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182880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8" w:lineRule="exact"/>
        <w:rPr>
          <w:sz w:val="24"/>
          <w:szCs w:val="24"/>
          <w:color w:val="auto"/>
        </w:rPr>
      </w:pPr>
    </w:p>
    <w:tbl>
      <w:tblPr>
        <w:tblLayout w:type="fixed"/>
        <w:tblInd w:w="50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transition period from</w:t>
            </w:r>
          </w:p>
        </w:tc>
        <w:tc>
          <w:tcPr>
            <w:tcW w:w="3940" w:type="dxa"/>
            <w:vAlign w:val="bottom"/>
            <w:gridSpan w:val="5"/>
          </w:tcPr>
          <w:p>
            <w:pPr>
              <w:ind w:left="20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80" w:type="dxa"/>
            <w:vAlign w:val="bottom"/>
            <w:gridSpan w:val="9"/>
          </w:tcPr>
          <w:p>
            <w:pPr>
              <w:jc w:val="center"/>
              <w:ind w:right="2300"/>
              <w:spacing w:after="0"/>
              <w:rPr>
                <w:sz w:val="20"/>
                <w:szCs w:val="20"/>
                <w:color w:val="auto"/>
              </w:rPr>
            </w:pPr>
            <w:r>
              <w:rPr>
                <w:rFonts w:ascii="Arial" w:cs="Arial" w:eastAsia="Arial" w:hAnsi="Arial"/>
                <w:sz w:val="18"/>
                <w:szCs w:val="18"/>
                <w:b w:val="1"/>
                <w:bCs w:val="1"/>
                <w:color w:val="auto"/>
                <w:w w:val="90"/>
              </w:rPr>
              <w:t>Commission File Number 1-12744</w:t>
            </w: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70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INC.</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80" w:type="dxa"/>
            <w:vAlign w:val="bottom"/>
            <w:gridSpan w:val="5"/>
          </w:tcPr>
          <w:p>
            <w:pPr>
              <w:ind w:left="860"/>
              <w:spacing w:after="0" w:line="190" w:lineRule="exact"/>
              <w:rPr>
                <w:sz w:val="20"/>
                <w:szCs w:val="20"/>
                <w:color w:val="auto"/>
              </w:rPr>
            </w:pPr>
            <w:r>
              <w:rPr>
                <w:rFonts w:ascii="Arial" w:cs="Arial" w:eastAsia="Arial" w:hAnsi="Arial"/>
                <w:sz w:val="18"/>
                <w:szCs w:val="18"/>
                <w:b w:val="1"/>
                <w:bCs w:val="1"/>
                <w:color w:val="auto"/>
                <w:w w:val="98"/>
              </w:rPr>
              <w:t>MARTIN MARIETTA MATERIALS,</w:t>
            </w:r>
          </w:p>
        </w:tc>
        <w:tc>
          <w:tcPr>
            <w:tcW w:w="37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80" w:type="dxa"/>
            <w:vAlign w:val="bottom"/>
            <w:gridSpan w:val="9"/>
          </w:tcPr>
          <w:p>
            <w:pPr>
              <w:jc w:val="center"/>
              <w:ind w:right="230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5420" w:type="dxa"/>
            <w:vAlign w:val="bottom"/>
            <w:gridSpan w:val="6"/>
          </w:tcPr>
          <w:p>
            <w:pPr>
              <w:jc w:val="center"/>
              <w:ind w:right="2160"/>
              <w:spacing w:after="0"/>
              <w:rPr>
                <w:sz w:val="20"/>
                <w:szCs w:val="20"/>
                <w:color w:val="auto"/>
              </w:rPr>
            </w:pPr>
            <w:r>
              <w:rPr>
                <w:rFonts w:ascii="Arial" w:cs="Arial" w:eastAsia="Arial" w:hAnsi="Arial"/>
                <w:sz w:val="18"/>
                <w:szCs w:val="18"/>
                <w:b w:val="1"/>
                <w:bCs w:val="1"/>
                <w:color w:val="auto"/>
                <w:w w:val="94"/>
              </w:rPr>
              <w:t>North Carolina</w:t>
            </w:r>
          </w:p>
        </w:tc>
        <w:tc>
          <w:tcPr>
            <w:tcW w:w="3540" w:type="dxa"/>
            <w:vAlign w:val="bottom"/>
            <w:gridSpan w:val="4"/>
          </w:tcPr>
          <w:p>
            <w:pPr>
              <w:jc w:val="center"/>
              <w:ind w:left="391"/>
              <w:spacing w:after="0"/>
              <w:rPr>
                <w:sz w:val="20"/>
                <w:szCs w:val="20"/>
                <w:color w:val="auto"/>
              </w:rPr>
            </w:pPr>
            <w:r>
              <w:rPr>
                <w:rFonts w:ascii="Arial" w:cs="Arial" w:eastAsia="Arial" w:hAnsi="Arial"/>
                <w:sz w:val="18"/>
                <w:szCs w:val="18"/>
                <w:b w:val="1"/>
                <w:bCs w:val="1"/>
                <w:color w:val="auto"/>
                <w:w w:val="89"/>
              </w:rPr>
              <w:t>56-1848578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120" w:type="dxa"/>
            <w:vAlign w:val="bottom"/>
            <w:gridSpan w:val="7"/>
          </w:tcPr>
          <w:p>
            <w:pPr>
              <w:jc w:val="center"/>
              <w:ind w:right="150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40" w:type="dxa"/>
            <w:vAlign w:val="bottom"/>
          </w:tcPr>
          <w:p>
            <w:pPr>
              <w:spacing w:after="0"/>
              <w:rPr>
                <w:sz w:val="20"/>
                <w:szCs w:val="20"/>
                <w:color w:val="auto"/>
              </w:rPr>
            </w:pPr>
          </w:p>
        </w:tc>
        <w:tc>
          <w:tcPr>
            <w:tcW w:w="3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(I.R.S. Employer Identification Number)</w:t>
            </w: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54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w w:val="92"/>
              </w:rPr>
              <w:t>2710 Wycliff Road, Raleigh, NC</w:t>
            </w:r>
          </w:p>
        </w:tc>
        <w:tc>
          <w:tcPr>
            <w:tcW w:w="3540" w:type="dxa"/>
            <w:vAlign w:val="bottom"/>
            <w:gridSpan w:val="4"/>
          </w:tcPr>
          <w:p>
            <w:pPr>
              <w:jc w:val="center"/>
              <w:ind w:left="391"/>
              <w:spacing w:after="0"/>
              <w:rPr>
                <w:sz w:val="20"/>
                <w:szCs w:val="20"/>
                <w:color w:val="auto"/>
              </w:rPr>
            </w:pPr>
            <w:r>
              <w:rPr>
                <w:rFonts w:ascii="Arial" w:cs="Arial" w:eastAsia="Arial" w:hAnsi="Arial"/>
                <w:sz w:val="18"/>
                <w:szCs w:val="18"/>
                <w:b w:val="1"/>
                <w:bCs w:val="1"/>
                <w:color w:val="auto"/>
                <w:w w:val="89"/>
              </w:rPr>
              <w:t>27607-3033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54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40" w:type="dxa"/>
            <w:vAlign w:val="bottom"/>
          </w:tcPr>
          <w:p>
            <w:pPr>
              <w:spacing w:after="0"/>
              <w:rPr>
                <w:sz w:val="18"/>
                <w:szCs w:val="18"/>
                <w:color w:val="auto"/>
              </w:rPr>
            </w:pPr>
          </w:p>
        </w:tc>
        <w:tc>
          <w:tcPr>
            <w:tcW w:w="3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8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88"/>
              </w:rPr>
              <w:t>Registrant’s telephone number, including area code 919-781-4550</w:t>
            </w:r>
          </w:p>
        </w:tc>
        <w:tc>
          <w:tcPr>
            <w:tcW w:w="0" w:type="dxa"/>
            <w:vAlign w:val="bottom"/>
          </w:tcPr>
          <w:p>
            <w:pPr>
              <w:spacing w:after="0"/>
              <w:rPr>
                <w:sz w:val="1"/>
                <w:szCs w:val="1"/>
                <w:color w:val="auto"/>
              </w:rPr>
            </w:pPr>
          </w:p>
        </w:tc>
      </w:tr>
      <w:tr>
        <w:trPr>
          <w:trHeight w:val="269"/>
        </w:trPr>
        <w:tc>
          <w:tcPr>
            <w:tcW w:w="700" w:type="dxa"/>
            <w:vAlign w:val="bottom"/>
          </w:tcPr>
          <w:p>
            <w:pPr>
              <w:spacing w:after="0"/>
              <w:rPr>
                <w:sz w:val="23"/>
                <w:szCs w:val="23"/>
                <w:color w:val="auto"/>
              </w:rPr>
            </w:pPr>
          </w:p>
        </w:tc>
        <w:tc>
          <w:tcPr>
            <w:tcW w:w="9360" w:type="dxa"/>
            <w:vAlign w:val="bottom"/>
            <w:gridSpan w:val="11"/>
          </w:tcPr>
          <w:p>
            <w:pPr>
              <w:jc w:val="center"/>
              <w:ind w:right="320"/>
              <w:spacing w:after="0"/>
              <w:rPr>
                <w:sz w:val="20"/>
                <w:szCs w:val="20"/>
                <w:color w:val="auto"/>
              </w:rPr>
            </w:pPr>
            <w:r>
              <w:rPr>
                <w:rFonts w:ascii="Arial" w:cs="Arial" w:eastAsia="Arial" w:hAnsi="Arial"/>
                <w:sz w:val="18"/>
                <w:szCs w:val="18"/>
                <w:b w:val="1"/>
                <w:bCs w:val="1"/>
                <w:color w:val="auto"/>
                <w:w w:val="88"/>
              </w:rPr>
              <w:t>Former name, former address and former fiscal year, if changes since last report: None</w:t>
            </w: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8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193"/>
        </w:trPr>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gridSpan w:val="4"/>
          </w:tcPr>
          <w:p>
            <w:pPr>
              <w:jc w:val="center"/>
              <w:ind w:left="1471"/>
              <w:spacing w:after="0" w:line="193" w:lineRule="exact"/>
              <w:rPr>
                <w:sz w:val="20"/>
                <w:szCs w:val="20"/>
                <w:color w:val="auto"/>
              </w:rPr>
            </w:pPr>
            <w:r>
              <w:rPr>
                <w:rFonts w:ascii="Arial" w:cs="Arial" w:eastAsia="Arial" w:hAnsi="Arial"/>
                <w:sz w:val="18"/>
                <w:szCs w:val="18"/>
                <w:b w:val="1"/>
                <w:bCs w:val="1"/>
                <w:color w:val="auto"/>
                <w:w w:val="87"/>
              </w:rPr>
              <w:t>Name of each exchange on</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14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Title of Each Class</w:t>
            </w: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Trading Symbol(s)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86"/>
              </w:rPr>
              <w:t>which registered</w:t>
            </w: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680" w:type="dxa"/>
            <w:vAlign w:val="bottom"/>
            <w:gridSpan w:val="3"/>
          </w:tcPr>
          <w:p>
            <w:pPr>
              <w:jc w:val="center"/>
              <w:ind w:left="51"/>
              <w:spacing w:after="0"/>
              <w:rPr>
                <w:sz w:val="20"/>
                <w:szCs w:val="20"/>
                <w:color w:val="auto"/>
              </w:rPr>
            </w:pPr>
            <w:r>
              <w:rPr>
                <w:rFonts w:ascii="Arial" w:cs="Arial" w:eastAsia="Arial" w:hAnsi="Arial"/>
                <w:sz w:val="18"/>
                <w:szCs w:val="18"/>
                <w:color w:val="auto"/>
                <w:w w:val="89"/>
              </w:rPr>
              <w:t>Common Stock (Par Value $0.01)</w:t>
            </w: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rPr>
              <w:t>MLM</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NYSE</w:t>
            </w:r>
          </w:p>
        </w:tc>
        <w:tc>
          <w:tcPr>
            <w:tcW w:w="0" w:type="dxa"/>
            <w:vAlign w:val="bottom"/>
          </w:tcPr>
          <w:p>
            <w:pPr>
              <w:spacing w:after="0"/>
              <w:rPr>
                <w:sz w:val="1"/>
                <w:szCs w:val="1"/>
                <w:color w:val="auto"/>
              </w:rPr>
            </w:pPr>
          </w:p>
        </w:tc>
      </w:tr>
    </w:tbl>
    <w:p>
      <w:pPr>
        <w:spacing w:after="0" w:line="93"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2"/>
        </w:trPr>
        <w:tc>
          <w:tcPr>
            <w:tcW w:w="27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27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73"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00" w:type="dxa"/>
            <w:vAlign w:val="bottom"/>
            <w:gridSpan w:val="2"/>
          </w:tcPr>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7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29"/>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349"/>
        </w:trPr>
        <w:tc>
          <w:tcPr>
            <w:tcW w:w="20" w:type="dxa"/>
            <w:vAlign w:val="bottom"/>
          </w:tcPr>
          <w:p>
            <w:pPr>
              <w:spacing w:after="0"/>
              <w:rPr>
                <w:sz w:val="24"/>
                <w:szCs w:val="24"/>
                <w:color w:val="auto"/>
              </w:rPr>
            </w:pPr>
          </w:p>
        </w:tc>
        <w:tc>
          <w:tcPr>
            <w:tcW w:w="5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w:t>
            </w:r>
          </w:p>
        </w:tc>
        <w:tc>
          <w:tcPr>
            <w:tcW w:w="1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October 24, 2019</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Borders>
              <w:top w:val="single" w:sz="8" w:color="auto"/>
            </w:tcBorders>
          </w:tcPr>
          <w:p>
            <w:pPr>
              <w:jc w:val="right"/>
              <w:ind w:right="2291"/>
              <w:spacing w:after="0"/>
              <w:rPr>
                <w:sz w:val="20"/>
                <w:szCs w:val="20"/>
                <w:color w:val="auto"/>
              </w:rPr>
            </w:pPr>
            <w:r>
              <w:rPr>
                <w:rFonts w:ascii="Arial" w:cs="Arial" w:eastAsia="Arial" w:hAnsi="Arial"/>
                <w:sz w:val="18"/>
                <w:szCs w:val="18"/>
                <w:color w:val="auto"/>
              </w:rPr>
              <w:t>62,500,533</w:t>
            </w:r>
          </w:p>
        </w:tc>
      </w:tr>
      <w:tr>
        <w:trPr>
          <w:trHeight w:val="160"/>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60" w:type="dxa"/>
            <w:vAlign w:val="bottom"/>
            <w:gridSpan w:val="18"/>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94"/>
              </w:rPr>
              <w:t>Page</w:t>
            </w:r>
          </w:p>
        </w:tc>
        <w:tc>
          <w:tcPr>
            <w:tcW w:w="0" w:type="dxa"/>
            <w:vAlign w:val="bottom"/>
          </w:tcPr>
          <w:p>
            <w:pPr>
              <w:spacing w:after="0"/>
              <w:rPr>
                <w:sz w:val="1"/>
                <w:szCs w:val="1"/>
                <w:color w:val="auto"/>
              </w:rPr>
            </w:pPr>
          </w:p>
        </w:tc>
      </w:tr>
      <w:tr>
        <w:trPr>
          <w:trHeight w:val="226"/>
        </w:trPr>
        <w:tc>
          <w:tcPr>
            <w:tcW w:w="10860" w:type="dxa"/>
            <w:vAlign w:val="bottom"/>
            <w:gridSpan w:val="18"/>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Item 1. Financial Statements</w:t>
              </w:r>
            </w:hyperlink>
          </w:p>
        </w:tc>
        <w:tc>
          <w:tcPr>
            <w:tcW w:w="83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September 30, 2019 and December 31, 2018</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Consolidated Statements of Earnings and Comprehensive Earnings – Three and Nine Months Ended September 30, 2019 and 2018</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tcBorders>
              <w:top w:val="single" w:sz="8" w:color="0000EE"/>
            </w:tcBorders>
            <w:gridSpan w:val="15"/>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Statements of Cash Flows – Nine Months Ended September 30, 2019 and 2018</w:t>
              </w:r>
            </w:hyperlink>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tcBorders>
              <w:bottom w:val="single" w:sz="8" w:color="0000EE"/>
            </w:tcBorders>
            <w:gridSpan w:val="14"/>
          </w:tcPr>
          <w:p>
            <w:pPr>
              <w:spacing w:after="0"/>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 of Total Equity – Three and Nine Months Ended September 30, 2019 and 2018</w:t>
              </w:r>
            </w:hyperlink>
          </w:p>
        </w:tc>
        <w:tc>
          <w:tcPr>
            <w:tcW w:w="22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20"/>
                <w:szCs w:val="20"/>
                <w:color w:val="0000EE"/>
                <w:w w:val="89"/>
              </w:rPr>
            </w:pPr>
            <w:hyperlink w:anchor="page29">
              <w:r>
                <w:rPr>
                  <w:rFonts w:ascii="Arial" w:cs="Arial" w:eastAsia="Arial" w:hAnsi="Arial"/>
                  <w:sz w:val="20"/>
                  <w:szCs w:val="20"/>
                  <w:color w:val="0000EE"/>
                  <w:w w:val="89"/>
                </w:rPr>
                <w:t>Item 2. Management’s Discussion and Analysis of Financial Condition and Results of Operations</w:t>
              </w:r>
            </w:hyperlink>
          </w:p>
        </w:tc>
        <w:tc>
          <w:tcPr>
            <w:tcW w:w="29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Arial" w:cs="Arial" w:eastAsia="Arial" w:hAnsi="Arial"/>
                <w:sz w:val="20"/>
                <w:szCs w:val="20"/>
                <w:color w:val="0000EE"/>
                <w:w w:val="90"/>
              </w:rPr>
            </w:pPr>
            <w:hyperlink w:anchor="page50">
              <w:r>
                <w:rPr>
                  <w:rFonts w:ascii="Arial" w:cs="Arial" w:eastAsia="Arial" w:hAnsi="Arial"/>
                  <w:sz w:val="20"/>
                  <w:szCs w:val="20"/>
                  <w:color w:val="0000EE"/>
                  <w:w w:val="90"/>
                </w:rPr>
                <w:t>Item 3. Quantitative and Qualitative Disclosures About Market Risk</w:t>
              </w:r>
            </w:hyperlink>
          </w:p>
        </w:tc>
        <w:tc>
          <w:tcPr>
            <w:tcW w:w="52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0860" w:type="dxa"/>
            <w:vAlign w:val="bottom"/>
            <w:gridSpan w:val="18"/>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52">
              <w:r>
                <w:rPr>
                  <w:rFonts w:ascii="Arial" w:cs="Arial" w:eastAsia="Arial" w:hAnsi="Arial"/>
                  <w:sz w:val="20"/>
                  <w:szCs w:val="20"/>
                  <w:color w:val="0000EE"/>
                  <w:w w:val="91"/>
                </w:rPr>
                <w:t>Item 1.</w:t>
              </w:r>
            </w:hyperlink>
          </w:p>
        </w:tc>
        <w:tc>
          <w:tcPr>
            <w:tcW w:w="10060" w:type="dxa"/>
            <w:vAlign w:val="bottom"/>
            <w:gridSpan w:val="15"/>
          </w:tcPr>
          <w:p>
            <w:pPr>
              <w:ind w:left="20"/>
              <w:spacing w:after="0"/>
              <w:rPr>
                <w:rFonts w:ascii="Arial" w:cs="Arial" w:eastAsia="Arial" w:hAnsi="Arial"/>
                <w:sz w:val="20"/>
                <w:szCs w:val="20"/>
                <w:color w:val="0000EE"/>
              </w:rPr>
            </w:pPr>
            <w:hyperlink w:anchor="page52">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060" w:type="dxa"/>
            <w:vAlign w:val="bottom"/>
            <w:tcBorders>
              <w:top w:val="single" w:sz="8" w:color="0000EE"/>
            </w:tcBorders>
            <w:gridSpan w:val="6"/>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Item 1A. Risk Factors</w:t>
              </w:r>
            </w:hyperlink>
          </w:p>
        </w:tc>
        <w:tc>
          <w:tcPr>
            <w:tcW w:w="85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52">
              <w:r>
                <w:rPr>
                  <w:rFonts w:ascii="Arial" w:cs="Arial" w:eastAsia="Arial" w:hAnsi="Arial"/>
                  <w:sz w:val="20"/>
                  <w:szCs w:val="20"/>
                  <w:color w:val="0000EE"/>
                  <w:w w:val="91"/>
                </w:rPr>
                <w:t>Item 2.</w:t>
              </w:r>
            </w:hyperlink>
          </w:p>
        </w:tc>
        <w:tc>
          <w:tcPr>
            <w:tcW w:w="10060" w:type="dxa"/>
            <w:vAlign w:val="bottom"/>
            <w:gridSpan w:val="15"/>
          </w:tcPr>
          <w:p>
            <w:pPr>
              <w:ind w:left="20"/>
              <w:spacing w:after="0"/>
              <w:rPr>
                <w:rFonts w:ascii="Arial" w:cs="Arial" w:eastAsia="Arial" w:hAnsi="Arial"/>
                <w:sz w:val="20"/>
                <w:szCs w:val="20"/>
                <w:color w:val="0000EE"/>
              </w:rPr>
            </w:pPr>
            <w:hyperlink w:anchor="page52">
              <w:r>
                <w:rPr>
                  <w:rFonts w:ascii="Arial" w:cs="Arial" w:eastAsia="Arial" w:hAnsi="Arial"/>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52">
              <w:r>
                <w:rPr>
                  <w:rFonts w:ascii="Arial" w:cs="Arial" w:eastAsia="Arial" w:hAnsi="Arial"/>
                  <w:sz w:val="20"/>
                  <w:szCs w:val="20"/>
                  <w:color w:val="0000EE"/>
                  <w:w w:val="91"/>
                </w:rPr>
                <w:t>Item 4.</w:t>
              </w:r>
            </w:hyperlink>
          </w:p>
        </w:tc>
        <w:tc>
          <w:tcPr>
            <w:tcW w:w="4780" w:type="dxa"/>
            <w:vAlign w:val="bottom"/>
            <w:tcBorders>
              <w:top w:val="single" w:sz="8" w:color="0000EE"/>
            </w:tcBorders>
            <w:gridSpan w:val="8"/>
          </w:tcPr>
          <w:p>
            <w:pPr>
              <w:ind w:left="20"/>
              <w:spacing w:after="0"/>
              <w:rPr>
                <w:rFonts w:ascii="Arial" w:cs="Arial" w:eastAsia="Arial" w:hAnsi="Arial"/>
                <w:sz w:val="20"/>
                <w:szCs w:val="20"/>
                <w:color w:val="0000EE"/>
              </w:rPr>
            </w:pPr>
            <w:hyperlink w:anchor="page52">
              <w:r>
                <w:rPr>
                  <w:rFonts w:ascii="Arial" w:cs="Arial" w:eastAsia="Arial" w:hAnsi="Arial"/>
                  <w:sz w:val="20"/>
                  <w:szCs w:val="20"/>
                  <w:color w:val="0000EE"/>
                </w:rPr>
                <w:t>Mine Safety Disclosures</w:t>
              </w:r>
            </w:hyperlink>
          </w:p>
        </w:tc>
        <w:tc>
          <w:tcPr>
            <w:tcW w:w="52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53">
              <w:r>
                <w:rPr>
                  <w:rFonts w:ascii="Arial" w:cs="Arial" w:eastAsia="Arial" w:hAnsi="Arial"/>
                  <w:sz w:val="20"/>
                  <w:szCs w:val="20"/>
                  <w:color w:val="0000EE"/>
                  <w:w w:val="91"/>
                </w:rPr>
                <w:t>Item 6.</w:t>
              </w:r>
            </w:hyperlink>
          </w:p>
        </w:tc>
        <w:tc>
          <w:tcPr>
            <w:tcW w:w="1960" w:type="dxa"/>
            <w:vAlign w:val="bottom"/>
            <w:tcBorders>
              <w:top w:val="single" w:sz="8" w:color="0000EE"/>
            </w:tcBorders>
            <w:gridSpan w:val="6"/>
          </w:tcPr>
          <w:p>
            <w:pPr>
              <w:ind w:left="20"/>
              <w:spacing w:after="0"/>
              <w:rPr>
                <w:rFonts w:ascii="Arial" w:cs="Arial" w:eastAsia="Arial" w:hAnsi="Arial"/>
                <w:sz w:val="20"/>
                <w:szCs w:val="20"/>
                <w:color w:val="0000EE"/>
              </w:rPr>
            </w:pPr>
            <w:hyperlink w:anchor="page53">
              <w:r>
                <w:rPr>
                  <w:rFonts w:ascii="Arial" w:cs="Arial" w:eastAsia="Arial" w:hAnsi="Arial"/>
                  <w:sz w:val="20"/>
                  <w:szCs w:val="20"/>
                  <w:color w:val="0000EE"/>
                </w:rPr>
                <w:t>Exhibits</w:t>
              </w:r>
            </w:hyperlink>
          </w:p>
        </w:tc>
        <w:tc>
          <w:tcPr>
            <w:tcW w:w="81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40" w:type="dxa"/>
            <w:vAlign w:val="bottom"/>
            <w:tcBorders>
              <w:bottom w:val="single" w:sz="8" w:color="0000EE"/>
            </w:tcBorders>
            <w:gridSpan w:val="4"/>
          </w:tcPr>
          <w:p>
            <w:pPr>
              <w:spacing w:after="0"/>
              <w:rPr>
                <w:rFonts w:ascii="Arial" w:cs="Arial" w:eastAsia="Arial" w:hAnsi="Arial"/>
                <w:sz w:val="20"/>
                <w:szCs w:val="20"/>
                <w:color w:val="0000EE"/>
                <w:w w:val="85"/>
              </w:rPr>
            </w:pPr>
            <w:hyperlink w:anchor="page54">
              <w:r>
                <w:rPr>
                  <w:rFonts w:ascii="Arial" w:cs="Arial" w:eastAsia="Arial" w:hAnsi="Arial"/>
                  <w:sz w:val="20"/>
                  <w:szCs w:val="20"/>
                  <w:color w:val="0000EE"/>
                  <w:w w:val="85"/>
                </w:rPr>
                <w:t>Signatures</w:t>
              </w:r>
            </w:hyperlink>
          </w:p>
        </w:tc>
        <w:tc>
          <w:tcPr>
            <w:tcW w:w="1002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gridSpan w:val="2"/>
          </w:tcPr>
          <w:p>
            <w:pPr>
              <w:jc w:val="right"/>
              <w:ind w:right="1040"/>
              <w:spacing w:after="0"/>
              <w:rPr>
                <w:sz w:val="20"/>
                <w:szCs w:val="20"/>
                <w:color w:val="auto"/>
              </w:rPr>
            </w:pPr>
            <w:r>
              <w:rPr>
                <w:rFonts w:ascii="Arial" w:cs="Arial" w:eastAsia="Arial" w:hAnsi="Arial"/>
                <w:sz w:val="16"/>
                <w:szCs w:val="16"/>
                <w:color w:val="auto"/>
              </w:rPr>
              <w:t>September 30,</w:t>
            </w:r>
          </w:p>
        </w:tc>
        <w:tc>
          <w:tcPr>
            <w:tcW w:w="620" w:type="dxa"/>
            <w:vAlign w:val="bottom"/>
          </w:tcPr>
          <w:p>
            <w:pPr>
              <w:spacing w:after="0"/>
              <w:rPr>
                <w:sz w:val="17"/>
                <w:szCs w:val="17"/>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6"/>
                <w:szCs w:val="16"/>
                <w:color w:val="auto"/>
                <w:w w:val="93"/>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2019</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49,087</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763,878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523,276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649,716</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115,717</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134,613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14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1,578,398</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1,365,816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8,476,830</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8,294,963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6"/>
                <w:szCs w:val="16"/>
                <w:color w:val="auto"/>
              </w:rPr>
              <w:t>(3,344,683)</w:t>
            </w:r>
          </w:p>
        </w:tc>
        <w:tc>
          <w:tcPr>
            <w:tcW w:w="6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6"/>
                <w:szCs w:val="16"/>
                <w:color w:val="auto"/>
              </w:rPr>
              <w:t>(3,137,734)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14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5,132,147</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5,157,229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2,396,955</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2,399,118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 net</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491,623</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Operating lease right-of-use assets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484,853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4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139,509</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10,223,485</w:t>
            </w:r>
          </w:p>
        </w:tc>
        <w:tc>
          <w:tcPr>
            <w:tcW w:w="360" w:type="dxa"/>
            <w:vAlign w:val="bottom"/>
          </w:tcPr>
          <w:p>
            <w:pPr>
              <w:spacing w:after="0"/>
              <w:rPr>
                <w:sz w:val="21"/>
                <w:szCs w:val="21"/>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9,551,419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00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238,559</w:t>
            </w:r>
          </w:p>
        </w:tc>
        <w:tc>
          <w:tcPr>
            <w:tcW w:w="360" w:type="dxa"/>
            <w:vAlign w:val="bottom"/>
          </w:tcPr>
          <w:p>
            <w:pPr>
              <w:spacing w:after="0"/>
              <w:rPr>
                <w:sz w:val="18"/>
                <w:szCs w:val="18"/>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210,808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56,837</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Pension and postretirement benefits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9,064</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67,127</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20" w:type="dxa"/>
            <w:vAlign w:val="bottom"/>
            <w:gridSpan w:val="2"/>
          </w:tcPr>
          <w:p>
            <w:pPr>
              <w:spacing w:after="0"/>
              <w:rPr>
                <w:sz w:val="20"/>
                <w:szCs w:val="20"/>
                <w:color w:val="auto"/>
              </w:rPr>
            </w:pPr>
            <w:r>
              <w:rPr>
                <w:rFonts w:ascii="Arial" w:cs="Arial" w:eastAsia="Arial" w:hAnsi="Arial"/>
                <w:sz w:val="16"/>
                <w:szCs w:val="16"/>
                <w:color w:val="auto"/>
              </w:rPr>
              <w:t>Current maturities of long-term debt and short-term</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6"/>
                <w:szCs w:val="16"/>
                <w:color w:val="auto"/>
              </w:rPr>
              <w:t>facilities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190,044</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390,042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51,751</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75,600</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Liabilities</w:t>
            </w:r>
          </w:p>
        </w:tc>
        <w:tc>
          <w:tcPr>
            <w:tcW w:w="14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688,982</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786,750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2,732,815</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Pension, postretirement and postemployment benefits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100,076</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134,469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 net</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725,096</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705,564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Noncurrent operating lease liabilities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436,698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4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235,380</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Liabilities</w:t>
            </w:r>
          </w:p>
        </w:tc>
        <w:tc>
          <w:tcPr>
            <w:tcW w:w="14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4,919,047</w:t>
            </w:r>
          </w:p>
        </w:tc>
        <w:tc>
          <w:tcPr>
            <w:tcW w:w="36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4,602,007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Common stock, par value $0.01 per share</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Preferred stock, par value $0.01 per share</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3,414,466</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6"/>
                <w:szCs w:val="16"/>
                <w:color w:val="auto"/>
              </w:rPr>
              <w:t>(134,765)</w:t>
            </w:r>
          </w:p>
        </w:tc>
        <w:tc>
          <w:tcPr>
            <w:tcW w:w="6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6"/>
                <w:szCs w:val="16"/>
                <w:color w:val="auto"/>
              </w:rPr>
              <w:t>(143,579)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14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2,021,647</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1,693,259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5,301,972</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4,946,363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14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2,466</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Equity</w:t>
            </w:r>
          </w:p>
        </w:tc>
        <w:tc>
          <w:tcPr>
            <w:tcW w:w="14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5,304,438</w:t>
            </w:r>
          </w:p>
        </w:tc>
        <w:tc>
          <w:tcPr>
            <w:tcW w:w="36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4,949,412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Liabilities and Equity</w:t>
            </w: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10,223,485</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9,551,419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2620" w:type="dxa"/>
            <w:vAlign w:val="bottom"/>
            <w:gridSpan w:val="6"/>
          </w:tcPr>
          <w:p>
            <w:pPr>
              <w:jc w:val="right"/>
              <w:ind w:right="7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89"/>
              </w:rPr>
              <w:t>2018</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7"/>
          </w:tcPr>
          <w:p>
            <w:pPr>
              <w:jc w:val="right"/>
              <w:ind w:right="140"/>
              <w:spacing w:after="0"/>
              <w:rPr>
                <w:sz w:val="20"/>
                <w:szCs w:val="20"/>
                <w:color w:val="auto"/>
              </w:rPr>
            </w:pPr>
            <w:r>
              <w:rPr>
                <w:rFonts w:ascii="Arial" w:cs="Arial" w:eastAsia="Arial" w:hAnsi="Arial"/>
                <w:sz w:val="18"/>
                <w:szCs w:val="18"/>
                <w:i w:val="1"/>
                <w:iCs w:val="1"/>
                <w:color w:val="auto"/>
                <w:w w:val="92"/>
              </w:rPr>
              <w:t>(In Thousands, Except Per Share Data)</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1,323,160</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1,142,218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3,397,599</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97,086</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1,420,246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1,219,640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3,638,668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901,844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828,110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2,474,333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999,601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906,656</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2,718,250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420,645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312,984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920,418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and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345,263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240,662</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700,365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and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(4,248)</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209,442</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591,995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66,178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248,622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180,353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480,918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52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248,573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180,221</w:t>
            </w:r>
          </w:p>
        </w:tc>
        <w:tc>
          <w:tcPr>
            <w:tcW w:w="26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480,901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251,142</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184,613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489,715</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Earnings attributable to noncontrolling interests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251,191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184,745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489,732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3"/>
                <w:szCs w:val="23"/>
                <w:color w:val="auto"/>
              </w:rPr>
            </w:pP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23"/>
                <w:szCs w:val="23"/>
                <w:color w:val="auto"/>
              </w:rPr>
            </w:pP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62,510</w:t>
            </w:r>
          </w:p>
        </w:tc>
        <w:tc>
          <w:tcPr>
            <w:tcW w:w="14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62,932</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62,679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63,167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1"/>
              </w:rPr>
              <w:t>Nine Months Ended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tcPr>
          <w:p>
            <w:pPr>
              <w:spacing w:after="0"/>
              <w:rPr>
                <w:sz w:val="19"/>
                <w:szCs w:val="19"/>
                <w:color w:val="auto"/>
              </w:rPr>
            </w:pPr>
          </w:p>
        </w:tc>
        <w:tc>
          <w:tcPr>
            <w:tcW w:w="3660" w:type="dxa"/>
            <w:vAlign w:val="bottom"/>
            <w:gridSpan w:val="5"/>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2600" w:type="dxa"/>
            <w:vAlign w:val="bottom"/>
            <w:gridSpan w:val="2"/>
            <w:shd w:val="clear" w:color="auto" w:fill="CFF0FC"/>
          </w:tcPr>
          <w:p>
            <w:pPr>
              <w:jc w:val="right"/>
              <w:ind w:right="856"/>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480,918</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tcPr>
          <w:p>
            <w:pPr>
              <w:jc w:val="right"/>
              <w:ind w:right="3511"/>
              <w:spacing w:after="0"/>
              <w:rPr>
                <w:sz w:val="20"/>
                <w:szCs w:val="20"/>
                <w:color w:val="auto"/>
              </w:rPr>
            </w:pPr>
            <w:r>
              <w:rPr>
                <w:rFonts w:ascii="Arial" w:cs="Arial" w:eastAsia="Arial" w:hAnsi="Arial"/>
                <w:sz w:val="18"/>
                <w:szCs w:val="18"/>
                <w:color w:val="auto"/>
                <w:w w:val="95"/>
              </w:rPr>
              <w:t>provided by operating activities: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276,974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28,414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divestitures and sales of assets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(4,950)</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18,352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items, net</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of</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tcPr>
          <w:p>
            <w:pPr>
              <w:jc w:val="right"/>
              <w:ind w:right="3511"/>
              <w:spacing w:after="0"/>
              <w:rPr>
                <w:sz w:val="20"/>
                <w:szCs w:val="20"/>
                <w:color w:val="auto"/>
              </w:rPr>
            </w:pPr>
            <w:r>
              <w:rPr>
                <w:rFonts w:ascii="Arial" w:cs="Arial" w:eastAsia="Arial" w:hAnsi="Arial"/>
                <w:sz w:val="18"/>
                <w:szCs w:val="18"/>
                <w:color w:val="auto"/>
              </w:rPr>
              <w:t>acquisitions and divestitures: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net</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(240,602)</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(132,176)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Inventories, net</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13,573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65,897</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Other assets and liabilities, net</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(145,005)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649,798</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(282,998)</w:t>
            </w: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(262,155)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net</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(1,640,698)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6,981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(56,033)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in life insurance contracts, net</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Other investing activities, net</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6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5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(276,672)</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(1,838,622)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245,000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(445,042)</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(695,039)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Payments of deferred acquisition consideration</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financing leases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(2,651)</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Payments on capital leases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Distributions to owners of noncontrolling interest</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6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Repurchases of common stock</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(57,288)</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(60,377)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(95,227)</w:t>
            </w: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(86,190)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12,295</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(25,418)</w:t>
            </w:r>
          </w:p>
        </w:tc>
        <w:tc>
          <w:tcPr>
            <w:tcW w:w="6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remaining interest in existing joint venture</w:t>
            </w:r>
          </w:p>
        </w:tc>
        <w:tc>
          <w:tcPr>
            <w:tcW w:w="1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Net Cash (Used for) Provided by Financing Activities</w:t>
            </w:r>
          </w:p>
        </w:tc>
        <w:tc>
          <w:tcPr>
            <w:tcW w:w="15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(368,931)</w:t>
            </w: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(1,392,403)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5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44,892</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1,446,364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5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49,087</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Common</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Paid-</w:t>
            </w:r>
          </w:p>
        </w:tc>
        <w:tc>
          <w:tcPr>
            <w:tcW w:w="1260" w:type="dxa"/>
            <w:vAlign w:val="bottom"/>
            <w:gridSpan w:val="3"/>
          </w:tcPr>
          <w:p>
            <w:pPr>
              <w:spacing w:after="0"/>
              <w:rPr>
                <w:sz w:val="20"/>
                <w:szCs w:val="20"/>
                <w:color w:val="auto"/>
              </w:rPr>
            </w:pPr>
            <w:r>
              <w:rPr>
                <w:rFonts w:ascii="Arial" w:cs="Arial" w:eastAsia="Arial" w:hAnsi="Arial"/>
                <w:sz w:val="18"/>
                <w:szCs w:val="18"/>
                <w:color w:val="auto"/>
                <w:w w:val="98"/>
              </w:rPr>
              <w:t>Comprehensive</w:t>
            </w:r>
          </w:p>
        </w:tc>
        <w:tc>
          <w:tcPr>
            <w:tcW w:w="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Retained</w:t>
            </w:r>
          </w:p>
        </w:tc>
        <w:tc>
          <w:tcPr>
            <w:tcW w:w="1180" w:type="dxa"/>
            <w:vAlign w:val="bottom"/>
            <w:gridSpan w:val="3"/>
          </w:tcPr>
          <w:p>
            <w:pPr>
              <w:spacing w:after="0"/>
              <w:rPr>
                <w:sz w:val="20"/>
                <w:szCs w:val="20"/>
                <w:color w:val="auto"/>
              </w:rPr>
            </w:pPr>
            <w:r>
              <w:rPr>
                <w:rFonts w:ascii="Arial" w:cs="Arial" w:eastAsia="Arial" w:hAnsi="Arial"/>
                <w:sz w:val="18"/>
                <w:szCs w:val="18"/>
                <w:color w:val="auto"/>
              </w:rPr>
              <w:t>Shareholders'</w:t>
            </w:r>
          </w:p>
        </w:tc>
        <w:tc>
          <w:tcPr>
            <w:tcW w:w="1520" w:type="dxa"/>
            <w:vAlign w:val="bottom"/>
            <w:gridSpan w:val="3"/>
          </w:tcPr>
          <w:p>
            <w:pPr>
              <w:ind w:left="20"/>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360" w:type="dxa"/>
            <w:vAlign w:val="bottom"/>
            <w:gridSpan w:val="3"/>
          </w:tcPr>
          <w:p>
            <w:pPr>
              <w:spacing w:after="0"/>
              <w:rPr>
                <w:sz w:val="20"/>
                <w:szCs w:val="20"/>
                <w:color w:val="auto"/>
              </w:rPr>
            </w:pPr>
            <w:r>
              <w:rPr>
                <w:rFonts w:ascii="Arial" w:cs="Arial" w:eastAsia="Arial" w:hAnsi="Arial"/>
                <w:sz w:val="18"/>
                <w:szCs w:val="18"/>
                <w:i w:val="1"/>
                <w:iCs w:val="1"/>
                <w:color w:val="auto"/>
              </w:rPr>
              <w:t>Share Data)</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Stock</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 Capital</w:t>
            </w:r>
          </w:p>
        </w:tc>
        <w:tc>
          <w:tcPr>
            <w:tcW w:w="220" w:type="dxa"/>
            <w:vAlign w:val="bottom"/>
          </w:tcPr>
          <w:p>
            <w:pPr>
              <w:spacing w:after="0"/>
              <w:rPr>
                <w:sz w:val="19"/>
                <w:szCs w:val="19"/>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Loss</w:t>
            </w:r>
          </w:p>
        </w:tc>
        <w:tc>
          <w:tcPr>
            <w:tcW w:w="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Interests</w:t>
            </w:r>
          </w:p>
        </w:tc>
        <w:tc>
          <w:tcPr>
            <w:tcW w:w="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$ 3,416,590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(137,334)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$ 1,814,974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5,094,853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$ 5,097,270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w w:val="99"/>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248,573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248,573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w w:val="99"/>
              </w:rPr>
              <w:t>Dividends declared ($0.55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(34,612)</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(34,612)</w:t>
            </w:r>
          </w:p>
        </w:tc>
        <w:tc>
          <w:tcPr>
            <w:tcW w:w="1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(34,612)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36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(13,244)</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(13,244)</w:t>
            </w:r>
          </w:p>
        </w:tc>
        <w:tc>
          <w:tcPr>
            <w:tcW w:w="1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(13,244)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(7,288)</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(7,288)</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40" w:type="dxa"/>
            <w:vAlign w:val="bottom"/>
            <w:tcBorders>
              <w:top w:val="single" w:sz="8" w:color="CFF0FC"/>
            </w:tcBorders>
            <w:gridSpan w:val="2"/>
            <w:shd w:val="clear" w:color="auto" w:fill="CFF0FC"/>
          </w:tcPr>
          <w:p>
            <w:pPr>
              <w:spacing w:after="0" w:line="194" w:lineRule="exact"/>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$ 3,414,466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(134,765)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$ 2,021,647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5,301,972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4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$ 5,304,438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62,515</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$ 3,396,059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(143,579)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$ 1,693,259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4,946,363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4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4,949,412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w w:val="99"/>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480,901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480,901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480,918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w w:val="99"/>
              </w:rPr>
              <w:t>Dividends declared ($1.51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(95,227)</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(95,227)</w:t>
            </w:r>
          </w:p>
        </w:tc>
        <w:tc>
          <w:tcPr>
            <w:tcW w:w="1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(95,227)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36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(25,418)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(25,418)</w:t>
            </w:r>
          </w:p>
        </w:tc>
        <w:tc>
          <w:tcPr>
            <w:tcW w:w="1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(57,286)</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(57,288)</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(57,288)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28,414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Distributions to owners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noncontrolling interest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(600)</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7"/>
        </w:trPr>
        <w:tc>
          <w:tcPr>
            <w:tcW w:w="2360" w:type="dxa"/>
            <w:vAlign w:val="bottom"/>
            <w:gridSpan w:val="3"/>
          </w:tcPr>
          <w:p>
            <w:pPr>
              <w:spacing w:after="0"/>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gridSpan w:val="2"/>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$ 3,414,466</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(134,765)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$ 2,021,647</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5,301,972</w:t>
            </w:r>
          </w:p>
        </w:tc>
        <w:tc>
          <w:tcPr>
            <w:tcW w:w="2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2,466</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$ 5,304,438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6" w:name="page7"/>
    <w:bookmarkEnd w:id="6"/>
    <w:p>
      <w:pPr>
        <w:jc w:val="both"/>
        <w:ind w:left="2580" w:right="2580" w:firstLine="11"/>
        <w:spacing w:after="0" w:line="305" w:lineRule="auto"/>
        <w:rPr>
          <w:sz w:val="20"/>
          <w:szCs w:val="20"/>
          <w:color w:val="auto"/>
        </w:rPr>
      </w:pPr>
      <w:r>
        <w:rPr>
          <w:rFonts w:ascii="Arial" w:cs="Arial" w:eastAsia="Arial" w:hAnsi="Arial"/>
          <w:sz w:val="17"/>
          <w:szCs w:val="17"/>
          <w:color w:val="auto"/>
        </w:rPr>
        <w:t>MARTIN MARIETTA MATERIALS, INC. AND CONSOLIDATED SUBSIDIARIES (UNAUDITED) CONSOLIDATED STATEMENTS OF TOTAL EQUITY (Continued)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Additional</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Common</w:t>
            </w:r>
          </w:p>
        </w:tc>
        <w:tc>
          <w:tcPr>
            <w:tcW w:w="6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Common</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Paid-</w:t>
            </w:r>
          </w:p>
        </w:tc>
        <w:tc>
          <w:tcPr>
            <w:tcW w:w="6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Accumulated Other</w:t>
            </w: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Retained</w:t>
            </w:r>
          </w:p>
        </w:tc>
        <w:tc>
          <w:tcPr>
            <w:tcW w:w="1080" w:type="dxa"/>
            <w:vAlign w:val="bottom"/>
            <w:gridSpan w:val="3"/>
          </w:tcPr>
          <w:p>
            <w:pPr>
              <w:spacing w:after="0"/>
              <w:rPr>
                <w:sz w:val="20"/>
                <w:szCs w:val="20"/>
                <w:color w:val="auto"/>
              </w:rPr>
            </w:pPr>
            <w:r>
              <w:rPr>
                <w:rFonts w:ascii="Arial" w:cs="Arial" w:eastAsia="Arial" w:hAnsi="Arial"/>
                <w:sz w:val="18"/>
                <w:szCs w:val="18"/>
                <w:color w:val="auto"/>
                <w:w w:val="95"/>
              </w:rPr>
              <w:t>Shareholders'</w:t>
            </w:r>
          </w:p>
        </w:tc>
        <w:tc>
          <w:tcPr>
            <w:tcW w:w="156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240" w:type="dxa"/>
            <w:vAlign w:val="bottom"/>
            <w:gridSpan w:val="3"/>
          </w:tcPr>
          <w:p>
            <w:pPr>
              <w:spacing w:after="0"/>
              <w:rPr>
                <w:sz w:val="20"/>
                <w:szCs w:val="20"/>
                <w:color w:val="auto"/>
              </w:rPr>
            </w:pPr>
            <w:r>
              <w:rPr>
                <w:rFonts w:ascii="Arial" w:cs="Arial" w:eastAsia="Arial" w:hAnsi="Arial"/>
                <w:sz w:val="18"/>
                <w:szCs w:val="18"/>
                <w:i w:val="1"/>
                <w:iCs w:val="1"/>
                <w:color w:val="auto"/>
              </w:rPr>
              <w:t>Share Data)</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in Capital</w:t>
            </w:r>
          </w:p>
        </w:tc>
        <w:tc>
          <w:tcPr>
            <w:tcW w:w="1700" w:type="dxa"/>
            <w:vAlign w:val="bottom"/>
            <w:gridSpan w:val="4"/>
          </w:tcPr>
          <w:p>
            <w:pPr>
              <w:ind w:left="60"/>
              <w:spacing w:after="0"/>
              <w:rPr>
                <w:sz w:val="20"/>
                <w:szCs w:val="20"/>
                <w:color w:val="auto"/>
              </w:rPr>
            </w:pPr>
            <w:r>
              <w:rPr>
                <w:rFonts w:ascii="Arial" w:cs="Arial" w:eastAsia="Arial" w:hAnsi="Arial"/>
                <w:sz w:val="18"/>
                <w:szCs w:val="18"/>
                <w:color w:val="auto"/>
                <w:w w:val="95"/>
              </w:rPr>
              <w:t>Comprehensive Loss</w:t>
            </w:r>
          </w:p>
        </w:tc>
        <w:tc>
          <w:tcPr>
            <w:tcW w:w="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Earnings</w:t>
            </w:r>
          </w:p>
        </w:tc>
        <w:tc>
          <w:tcPr>
            <w:tcW w:w="16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Interests</w:t>
            </w:r>
          </w:p>
        </w:tc>
        <w:tc>
          <w:tcPr>
            <w:tcW w:w="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8"/>
              </w:rPr>
              <w:t>Balance at June 30, 2018</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63,012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$ 3,389,028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(125,883)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$ 1,579,674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4,843,448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12,022</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$ 4,855,470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Consolidated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180,221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180,221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180,353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Dividends declared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($0.48 per share)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(30,394)</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(30,394)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(30,394)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employees'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tax obligations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7"/>
              </w:rPr>
              <w:t>Repurchases of common</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(60,375)</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(60,378)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(60,378)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Purchase of remaining</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 existing</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joint venture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(9,220)</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2"/>
          </w:tcPr>
          <w:p>
            <w:pPr>
              <w:spacing w:after="0" w:line="194" w:lineRule="exact"/>
              <w:rPr>
                <w:sz w:val="20"/>
                <w:szCs w:val="20"/>
                <w:color w:val="auto"/>
              </w:rPr>
            </w:pPr>
            <w:r>
              <w:rPr>
                <w:rFonts w:ascii="Arial" w:cs="Arial" w:eastAsia="Arial" w:hAnsi="Arial"/>
                <w:sz w:val="18"/>
                <w:szCs w:val="18"/>
                <w:color w:val="auto"/>
              </w:rPr>
              <w:t>Balance at September 30,</w:t>
            </w: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60" w:type="dxa"/>
            <w:vAlign w:val="bottom"/>
            <w:gridSpan w:val="2"/>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62,712</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$ 3,391,133</w:t>
            </w:r>
          </w:p>
        </w:tc>
        <w:tc>
          <w:tcPr>
            <w:tcW w:w="120" w:type="dxa"/>
            <w:vAlign w:val="bottom"/>
          </w:tcPr>
          <w:p>
            <w:pPr>
              <w:spacing w:after="0"/>
              <w:rPr>
                <w:sz w:val="23"/>
                <w:szCs w:val="23"/>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(121,491)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$ 1,669,126</w:t>
            </w:r>
          </w:p>
        </w:tc>
        <w:tc>
          <w:tcPr>
            <w:tcW w:w="1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4,939,394</w:t>
            </w:r>
          </w:p>
        </w:tc>
        <w:tc>
          <w:tcPr>
            <w:tcW w:w="12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2,934</w:t>
            </w:r>
          </w:p>
        </w:tc>
        <w:tc>
          <w:tcPr>
            <w:tcW w:w="4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$ 4,942,328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62,873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$ 3,368,007</w:t>
            </w:r>
          </w:p>
        </w:tc>
        <w:tc>
          <w:tcPr>
            <w:tcW w:w="12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(129,104)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$ 1,440,069</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4,679,600</w:t>
            </w:r>
          </w:p>
        </w:tc>
        <w:tc>
          <w:tcPr>
            <w:tcW w:w="1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2,877</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$ 4,682,477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375,621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375,621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($1.36 per share)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(86,190)</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(86,190)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award plans</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withheld for</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employees' income</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tax obligations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(10,416)</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(10,416)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w w:val="97"/>
              </w:rPr>
              <w:t>Repurchases of common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stock</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(60,374)</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(60,377)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(60,377)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compensation expense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acquired in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business combination</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9,001</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Purchase of remaining</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 existing</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joint venture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(9,220)</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07"/>
        </w:trPr>
        <w:tc>
          <w:tcPr>
            <w:tcW w:w="2240" w:type="dxa"/>
            <w:vAlign w:val="bottom"/>
            <w:gridSpan w:val="3"/>
          </w:tcPr>
          <w:p>
            <w:pPr>
              <w:spacing w:after="0"/>
              <w:rPr>
                <w:sz w:val="20"/>
                <w:szCs w:val="20"/>
                <w:color w:val="auto"/>
              </w:rPr>
            </w:pPr>
            <w:r>
              <w:rPr>
                <w:rFonts w:ascii="Arial" w:cs="Arial" w:eastAsia="Arial" w:hAnsi="Arial"/>
                <w:sz w:val="18"/>
                <w:szCs w:val="18"/>
                <w:color w:val="auto"/>
              </w:rPr>
              <w:t>Balance at September 30,</w:t>
            </w: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62,712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$ 3,391,133</w:t>
            </w:r>
          </w:p>
        </w:tc>
        <w:tc>
          <w:tcPr>
            <w:tcW w:w="12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(121,491)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$ 1,669,126</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4,939,394</w:t>
            </w:r>
          </w:p>
        </w:tc>
        <w:tc>
          <w:tcPr>
            <w:tcW w:w="1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2,934</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$ 4,942,328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3" w:lineRule="exact"/>
        <w:rPr>
          <w:sz w:val="20"/>
          <w:szCs w:val="20"/>
          <w:color w:val="auto"/>
        </w:rPr>
      </w:pPr>
    </w:p>
    <w:p>
      <w:pPr>
        <w:ind w:left="380" w:right="8440" w:hanging="373"/>
        <w:spacing w:after="0" w:line="353" w:lineRule="auto"/>
        <w:tabs>
          <w:tab w:leader="none" w:pos="376"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91" w:lineRule="auto"/>
        <w:rPr>
          <w:rFonts w:ascii="Arial" w:cs="Arial" w:eastAsia="Arial" w:hAnsi="Arial"/>
          <w:sz w:val="20"/>
          <w:szCs w:val="20"/>
          <w:b w:val="1"/>
          <w:bCs w:val="1"/>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more than 300 quarries, mines and distribution yards in 27 states, Canada and the Bahamas.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46" w:lineRule="exact"/>
        <w:rPr>
          <w:rFonts w:ascii="Arial" w:cs="Arial" w:eastAsia="Arial" w:hAnsi="Arial"/>
          <w:sz w:val="20"/>
          <w:szCs w:val="20"/>
          <w:b w:val="1"/>
          <w:bCs w:val="1"/>
          <w:color w:val="auto"/>
        </w:rPr>
      </w:pPr>
    </w:p>
    <w:p>
      <w:pPr>
        <w:ind w:left="380" w:right="2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three reportable segments: the Mid-America Group, the Southeast Group and the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1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20"/>
                <w:szCs w:val="20"/>
                <w:color w:val="auto"/>
                <w:w w:val="87"/>
              </w:rPr>
              <w:t>Southeast Group</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5"/>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9"/>
              </w:rPr>
              <w:t>Indiana, Iowa, northern Kansas,</w:t>
            </w:r>
          </w:p>
        </w:tc>
        <w:tc>
          <w:tcPr>
            <w:tcW w:w="140" w:type="dxa"/>
            <w:vAlign w:val="bottom"/>
          </w:tcPr>
          <w:p>
            <w:pPr>
              <w:spacing w:after="0"/>
              <w:rPr>
                <w:sz w:val="17"/>
                <w:szCs w:val="17"/>
                <w:color w:val="auto"/>
              </w:rPr>
            </w:pPr>
          </w:p>
        </w:tc>
        <w:tc>
          <w:tcPr>
            <w:tcW w:w="24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90"/>
              </w:rPr>
              <w:t>Alabama, Florida, Georgia,</w:t>
            </w:r>
          </w:p>
        </w:tc>
        <w:tc>
          <w:tcPr>
            <w:tcW w:w="180" w:type="dxa"/>
            <w:vAlign w:val="bottom"/>
          </w:tcPr>
          <w:p>
            <w:pPr>
              <w:spacing w:after="0"/>
              <w:rPr>
                <w:sz w:val="17"/>
                <w:szCs w:val="17"/>
                <w:color w:val="auto"/>
              </w:rPr>
            </w:pPr>
          </w:p>
        </w:tc>
        <w:tc>
          <w:tcPr>
            <w:tcW w:w="31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7"/>
              </w:rPr>
              <w:t>Arkansas, Colorado, southern Kansas,</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line="229" w:lineRule="exact"/>
              <w:rPr>
                <w:sz w:val="20"/>
                <w:szCs w:val="20"/>
                <w:color w:val="auto"/>
              </w:rPr>
            </w:pPr>
            <w:r>
              <w:rPr>
                <w:rFonts w:ascii="Arial" w:cs="Arial" w:eastAsia="Arial" w:hAnsi="Arial"/>
                <w:sz w:val="20"/>
                <w:szCs w:val="20"/>
                <w:color w:val="auto"/>
                <w:w w:val="91"/>
              </w:rPr>
              <w:t>Kentucky, Maryland, Minnesota,</w:t>
            </w:r>
          </w:p>
        </w:tc>
        <w:tc>
          <w:tcPr>
            <w:tcW w:w="2640" w:type="dxa"/>
            <w:vAlign w:val="bottom"/>
            <w:gridSpan w:val="2"/>
          </w:tcPr>
          <w:p>
            <w:pPr>
              <w:jc w:val="center"/>
              <w:ind w:right="200"/>
              <w:spacing w:after="0" w:line="229" w:lineRule="exact"/>
              <w:rPr>
                <w:sz w:val="20"/>
                <w:szCs w:val="20"/>
                <w:color w:val="auto"/>
              </w:rPr>
            </w:pPr>
            <w:r>
              <w:rPr>
                <w:rFonts w:ascii="Arial" w:cs="Arial" w:eastAsia="Arial" w:hAnsi="Arial"/>
                <w:sz w:val="20"/>
                <w:szCs w:val="20"/>
                <w:color w:val="auto"/>
                <w:w w:val="88"/>
              </w:rPr>
              <w:t>southwestern South Carolina,</w:t>
            </w:r>
          </w:p>
        </w:tc>
        <w:tc>
          <w:tcPr>
            <w:tcW w:w="3100" w:type="dxa"/>
            <w:vAlign w:val="bottom"/>
          </w:tcPr>
          <w:p>
            <w:pPr>
              <w:jc w:val="center"/>
              <w:spacing w:after="0" w:line="229" w:lineRule="exact"/>
              <w:rPr>
                <w:sz w:val="20"/>
                <w:szCs w:val="20"/>
                <w:color w:val="auto"/>
              </w:rPr>
            </w:pPr>
            <w:r>
              <w:rPr>
                <w:rFonts w:ascii="Arial" w:cs="Arial" w:eastAsia="Arial" w:hAnsi="Arial"/>
                <w:sz w:val="20"/>
                <w:szCs w:val="20"/>
                <w:color w:val="auto"/>
                <w:w w:val="88"/>
              </w:rPr>
              <w:t>Louisiana, western Nebraska, Nevada,</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line="229" w:lineRule="exact"/>
              <w:rPr>
                <w:sz w:val="20"/>
                <w:szCs w:val="20"/>
                <w:color w:val="auto"/>
              </w:rPr>
            </w:pPr>
            <w:r>
              <w:rPr>
                <w:rFonts w:ascii="Arial" w:cs="Arial" w:eastAsia="Arial" w:hAnsi="Arial"/>
                <w:sz w:val="20"/>
                <w:szCs w:val="20"/>
                <w:color w:val="auto"/>
                <w:w w:val="89"/>
              </w:rPr>
              <w:t>Missouri, eastern Nebraska, North</w:t>
            </w:r>
          </w:p>
        </w:tc>
        <w:tc>
          <w:tcPr>
            <w:tcW w:w="2640" w:type="dxa"/>
            <w:vAlign w:val="bottom"/>
            <w:gridSpan w:val="2"/>
          </w:tcPr>
          <w:p>
            <w:pPr>
              <w:ind w:left="780"/>
              <w:spacing w:after="0" w:line="229" w:lineRule="exact"/>
              <w:rPr>
                <w:sz w:val="20"/>
                <w:szCs w:val="20"/>
                <w:color w:val="auto"/>
              </w:rPr>
            </w:pPr>
            <w:r>
              <w:rPr>
                <w:rFonts w:ascii="Arial" w:cs="Arial" w:eastAsia="Arial" w:hAnsi="Arial"/>
                <w:sz w:val="20"/>
                <w:szCs w:val="20"/>
                <w:color w:val="auto"/>
              </w:rPr>
              <w:t>Tennessee,</w:t>
            </w:r>
          </w:p>
        </w:tc>
        <w:tc>
          <w:tcPr>
            <w:tcW w:w="3100" w:type="dxa"/>
            <w:vAlign w:val="bottom"/>
          </w:tcPr>
          <w:p>
            <w:pPr>
              <w:jc w:val="center"/>
              <w:spacing w:after="0" w:line="229" w:lineRule="exact"/>
              <w:rPr>
                <w:sz w:val="20"/>
                <w:szCs w:val="20"/>
                <w:color w:val="auto"/>
              </w:rPr>
            </w:pPr>
            <w:r>
              <w:rPr>
                <w:rFonts w:ascii="Arial" w:cs="Arial" w:eastAsia="Arial" w:hAnsi="Arial"/>
                <w:sz w:val="20"/>
                <w:szCs w:val="20"/>
                <w:color w:val="auto"/>
                <w:w w:val="88"/>
              </w:rPr>
              <w:t>Oklahoma, Texas, Utah and Wyoming</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0" w:type="dxa"/>
            <w:vAlign w:val="bottom"/>
            <w:gridSpan w:val="3"/>
          </w:tcPr>
          <w:p>
            <w:pPr>
              <w:jc w:val="center"/>
              <w:spacing w:after="0" w:line="229" w:lineRule="exact"/>
              <w:rPr>
                <w:sz w:val="20"/>
                <w:szCs w:val="20"/>
                <w:color w:val="auto"/>
              </w:rPr>
            </w:pPr>
            <w:r>
              <w:rPr>
                <w:rFonts w:ascii="Arial" w:cs="Arial" w:eastAsia="Arial" w:hAnsi="Arial"/>
                <w:sz w:val="20"/>
                <w:szCs w:val="20"/>
                <w:color w:val="auto"/>
                <w:w w:val="89"/>
              </w:rPr>
              <w:t>Carolina, Ohio, Pennsylvania, South</w:t>
            </w:r>
          </w:p>
        </w:tc>
        <w:tc>
          <w:tcPr>
            <w:tcW w:w="2640" w:type="dxa"/>
            <w:vAlign w:val="bottom"/>
            <w:gridSpan w:val="2"/>
          </w:tcPr>
          <w:p>
            <w:pPr>
              <w:jc w:val="center"/>
              <w:ind w:right="200"/>
              <w:spacing w:after="0" w:line="229" w:lineRule="exact"/>
              <w:rPr>
                <w:sz w:val="20"/>
                <w:szCs w:val="20"/>
                <w:color w:val="auto"/>
              </w:rPr>
            </w:pPr>
            <w:r>
              <w:rPr>
                <w:rFonts w:ascii="Arial" w:cs="Arial" w:eastAsia="Arial" w:hAnsi="Arial"/>
                <w:sz w:val="20"/>
                <w:szCs w:val="20"/>
                <w:color w:val="auto"/>
                <w:w w:val="87"/>
              </w:rPr>
              <w:t>Nova Scotia and the Bahamas</w:t>
            </w:r>
          </w:p>
        </w:tc>
        <w:tc>
          <w:tcPr>
            <w:tcW w:w="3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line="229" w:lineRule="exact"/>
              <w:rPr>
                <w:sz w:val="20"/>
                <w:szCs w:val="20"/>
                <w:color w:val="auto"/>
              </w:rPr>
            </w:pPr>
            <w:r>
              <w:rPr>
                <w:rFonts w:ascii="Arial" w:cs="Arial" w:eastAsia="Arial" w:hAnsi="Arial"/>
                <w:sz w:val="20"/>
                <w:szCs w:val="20"/>
                <w:color w:val="auto"/>
                <w:w w:val="90"/>
              </w:rPr>
              <w:t>Carolina, Virginia, Washington and</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2"/>
          </w:tcPr>
          <w:p>
            <w:pPr>
              <w:jc w:val="center"/>
              <w:ind w:right="160"/>
              <w:spacing w:after="0"/>
              <w:rPr>
                <w:sz w:val="20"/>
                <w:szCs w:val="20"/>
                <w:color w:val="auto"/>
              </w:rPr>
            </w:pPr>
            <w:r>
              <w:rPr>
                <w:rFonts w:ascii="Arial" w:cs="Arial" w:eastAsia="Arial" w:hAnsi="Arial"/>
                <w:sz w:val="20"/>
                <w:szCs w:val="20"/>
                <w:color w:val="auto"/>
                <w:w w:val="91"/>
              </w:rPr>
              <w:t>West Virginia</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435"/>
        </w:trPr>
        <w:tc>
          <w:tcPr>
            <w:tcW w:w="242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160" w:type="dxa"/>
            <w:vAlign w:val="bottom"/>
          </w:tcPr>
          <w:p>
            <w:pPr>
              <w:spacing w:after="0"/>
              <w:rPr>
                <w:sz w:val="24"/>
                <w:szCs w:val="24"/>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Aggregates</w:t>
            </w:r>
          </w:p>
        </w:tc>
        <w:tc>
          <w:tcPr>
            <w:tcW w:w="264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310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w:t>
            </w:r>
          </w:p>
        </w:tc>
      </w:tr>
      <w:tr>
        <w:trPr>
          <w:trHeight w:val="249"/>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bl>
    <w:p>
      <w:pPr>
        <w:spacing w:after="0" w:line="194"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12" w:lineRule="exact"/>
        <w:rPr>
          <w:sz w:val="20"/>
          <w:szCs w:val="20"/>
          <w:color w:val="auto"/>
        </w:rPr>
      </w:pPr>
    </w:p>
    <w:p>
      <w:pPr>
        <w:jc w:val="both"/>
        <w:ind w:left="380"/>
        <w:spacing w:after="0" w:line="254" w:lineRule="auto"/>
        <w:rPr>
          <w:sz w:val="20"/>
          <w:szCs w:val="20"/>
          <w:color w:val="auto"/>
        </w:rPr>
      </w:pPr>
      <w:r>
        <w:rPr>
          <w:rFonts w:ascii="Arial" w:cs="Arial" w:eastAsia="Arial" w:hAnsi="Arial"/>
          <w:sz w:val="19"/>
          <w:szCs w:val="19"/>
          <w:color w:val="auto"/>
        </w:rPr>
        <w:t xml:space="preserve">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Other than the required adoption of </w:t>
      </w:r>
      <w:r>
        <w:rPr>
          <w:rFonts w:ascii="Arial" w:cs="Arial" w:eastAsia="Arial" w:hAnsi="Arial"/>
          <w:sz w:val="19"/>
          <w:szCs w:val="19"/>
          <w:i w:val="1"/>
          <w:iCs w:val="1"/>
          <w:color w:val="auto"/>
        </w:rPr>
        <w:t>Accounting Standards Codification 842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Leases </w:t>
      </w:r>
      <w:r>
        <w:rPr>
          <w:rFonts w:ascii="Arial" w:cs="Arial" w:eastAsia="Arial" w:hAnsi="Arial"/>
          <w:sz w:val="19"/>
          <w:szCs w:val="19"/>
          <w:color w:val="auto"/>
        </w:rPr>
        <w:t>(ASC 842), the Company has continued to follow the accounting policies set forth in the audited consolidated financial statements</w:t>
      </w:r>
      <w:r>
        <w:rPr>
          <w:rFonts w:ascii="Arial" w:cs="Arial" w:eastAsia="Arial" w:hAnsi="Arial"/>
          <w:sz w:val="19"/>
          <w:szCs w:val="19"/>
          <w:i w:val="1"/>
          <w:iCs w:val="1"/>
          <w:color w:val="auto"/>
        </w:rPr>
        <w:t xml:space="preserve"> </w:t>
      </w:r>
      <w:r>
        <w:rPr>
          <w:rFonts w:ascii="Arial" w:cs="Arial" w:eastAsia="Arial" w:hAnsi="Arial"/>
          <w:sz w:val="19"/>
          <w:szCs w:val="19"/>
          <w:color w:val="auto"/>
        </w:rPr>
        <w:t>and related notes thereto included in the Company’s Annual Report on Form 10-K for the year ended December 31, 2018.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nine months ended September 30, 2019 are not indicative of the results expected for other interim periods or the full year. The consolidated balance sheet at December 31, 2018 has been derived from the audited consolidated financial statements at that date but does not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 w:name="page9"/>
    <w:bookmarkEnd w:id="8"/>
    <w:p>
      <w:pPr>
        <w:jc w:val="center"/>
        <w:ind w:right="3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FORM 10-Q</w:t>
      </w:r>
    </w:p>
    <w:p>
      <w:pPr>
        <w:jc w:val="center"/>
        <w:ind w:right="380"/>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2018.</w:t>
      </w:r>
    </w:p>
    <w:p>
      <w:pPr>
        <w:spacing w:after="0" w:line="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second quarter ended June 30, 2019, the Company identified a prior-period error that overstated its earnings from a nonconsolidated equity affiliate. The overstatement was not deemed material to the current period or any previously reported periods and was therefore corrected as an out-of-period expense of $15.7 million during the quarter ended June 30, 2019. The pretax noncash adjustment is recorded in other nonoperating expenses, consistent with the recurring classification of equity earnings from the nonconsolidated affiliate.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Leases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Effective January 1, 2019, the Company adopted ASC 842, which requires virtually all leases, excluding mineral interest leases, to be recorded as right-of-use (ROU) assets and lease liabilities on the balance sheet and provides guidance on the recognition of lease expense and income. ASC 842 requires the modified retrospective transition approach, applying the new standard to all leases existing at the date of initial application. It further states that an entity may use either 1) its effective date or 2) the beginning of the earliest comparative period presented in the financial statements as its date of initial application. The Company used the effective date as the date of initial application. As such, financial information and disclosures required under ASC 842 will not be provided for dates and periods prior to January 1, 2019.</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lease standard provides a number of practical expedients for transition and policy elections for ongoing accounting. The Company elected the “package of practical expedients”, which permits the Company to not reassess its prior conclusions about lease identification, lease classification and initial direct costs. The Company elected the practical expedients pertaining to the use of hindsight and to land easements. Applying the hindsight practical expedient resulted in longer lease terms for many leases. The standard provides policy election options for recognition exemption for short-term leases and separation of lease and non-lease components. The Company elected the short-term lease recognition exemption and elected not to separate lease and non-lease components for all underlying asset classes, with the exceptions of railcars and fleet vehicle leases. The Company determines lease and non-lease components based on observable information, including rates provided by the lessor.</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adoption of ASC 842 resulted in the recognition of ROU assets and lease liabilities of $502.5 million and $501.6 million, respectively, for operating leases and $10.9 million and $12.1 million, respectively, for finance leases. The adoption did not have a material impact on the Company’s consolidated statement of earnings or consolidated statement of cash flows.</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Subsequent to the date of adoption, the Company determines if a contract is or contains a lease at inception of the agreement. Operating and finance leases are recognized as ROU assets and the related obligations are recognized as current or noncurrent liabilities on the Company’s consolidated balance sheets. Leases with an initial lease term of one year or less are not recorded on the balance sheet.</w:t>
      </w:r>
    </w:p>
    <w:p>
      <w:pPr>
        <w:spacing w:after="0" w:line="2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ROU assets, which represent the Company’s right to use an underlying asset, and lease liabilities, which represent the Company’s obligation to make lease payments arising from the lease, are recognized based on the present value of the future lease payments over the lease term at commencement date. The ROU asset also includes any lease payments made at or before commencement date and any initial direct costs incurred and excludes lease incentives. Certain of the Company’s leases contain renewal and/or termination options. The Company recognizes renewal or termination options as part of its ROU assets and lease liabilities when the Company has the unilateral right to renew or terminate and it is reasonably certain these options will be exercised. The Company determines the present value of lease payments based on the implicit rate, which may be explicitly stated in the lease if available or may be the</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Page 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65405</wp:posOffset>
            </wp:positionV>
            <wp:extent cx="7272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040"/>
          </w:cols>
          <w:pgMar w:left="62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Company’s estimated collateralized incremental borrowing rate based on the term of the lease. For operating leases, lease expense is recognized on a straight-line basis over the lease term.</w:t>
      </w:r>
    </w:p>
    <w:p>
      <w:pPr>
        <w:spacing w:after="0" w:line="6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Some leases require the Company pay non-lease components, which may include taxes, maintenance, insurance and certain other expenses applicable to the leased property, and are primarily considered variable costs. The Company generally accounts for lease and non-lease components as a single amount. However, for railcars and fleet vehicle leases, the Company separately accounts for the lease and non-lease components.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Pending Accounting Pronouncement</w:t>
      </w:r>
    </w:p>
    <w:p>
      <w:pPr>
        <w:spacing w:after="0" w:line="112"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 xml:space="preserve">In June 2016, the Financial Accounting Standards Board issued Accounting Standards Update (ASU) 2016-13, </w:t>
      </w:r>
      <w:r>
        <w:rPr>
          <w:rFonts w:ascii="Arial" w:cs="Arial" w:eastAsia="Arial" w:hAnsi="Arial"/>
          <w:sz w:val="19"/>
          <w:szCs w:val="19"/>
          <w:i w:val="1"/>
          <w:iCs w:val="1"/>
          <w:color w:val="auto"/>
        </w:rPr>
        <w:t>Financial Instruments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Credit Losses </w:t>
      </w:r>
      <w:r>
        <w:rPr>
          <w:rFonts w:ascii="Arial" w:cs="Arial" w:eastAsia="Arial" w:hAnsi="Arial"/>
          <w:sz w:val="19"/>
          <w:szCs w:val="19"/>
          <w:color w:val="auto"/>
        </w:rPr>
        <w:t>(ASU 2016-13), which is effective and will be adopted January 1, 2020. ASU 2016-13 includes a current expected credit loss</w:t>
      </w:r>
      <w:r>
        <w:rPr>
          <w:rFonts w:ascii="Arial" w:cs="Arial" w:eastAsia="Arial" w:hAnsi="Arial"/>
          <w:sz w:val="19"/>
          <w:szCs w:val="19"/>
          <w:i w:val="1"/>
          <w:iCs w:val="1"/>
          <w:color w:val="auto"/>
        </w:rPr>
        <w:t xml:space="preserve"> </w:t>
      </w:r>
      <w:r>
        <w:rPr>
          <w:rFonts w:ascii="Arial" w:cs="Arial" w:eastAsia="Arial" w:hAnsi="Arial"/>
          <w:sz w:val="19"/>
          <w:szCs w:val="19"/>
          <w:color w:val="auto"/>
        </w:rPr>
        <w:t>(CECL)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Company has evaluated ASU 2016-13 and the adoption will not have a material impact on its financial position or statement of earnings and comprehensive earnings.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2"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20"/>
                <w:szCs w:val="20"/>
                <w:color w:val="auto"/>
                <w:w w:val="88"/>
              </w:rPr>
              <w:t>Three Months Ended</w:t>
            </w:r>
          </w:p>
        </w:tc>
        <w:tc>
          <w:tcPr>
            <w:tcW w:w="24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20"/>
                <w:szCs w:val="20"/>
                <w:color w:val="auto"/>
                <w:w w:val="89"/>
              </w:rPr>
              <w:t>Nine Months Ended</w:t>
            </w:r>
          </w:p>
        </w:tc>
      </w:tr>
      <w:tr>
        <w:trPr>
          <w:trHeight w:val="245"/>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20"/>
                <w:szCs w:val="20"/>
                <w:color w:val="auto"/>
                <w:w w:val="86"/>
              </w:rPr>
              <w:t>September 30,</w:t>
            </w:r>
          </w:p>
        </w:tc>
        <w:tc>
          <w:tcPr>
            <w:tcW w:w="24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20"/>
                <w:szCs w:val="20"/>
                <w:color w:val="auto"/>
                <w:w w:val="86"/>
              </w:rPr>
              <w:t>September 30,</w:t>
            </w:r>
          </w:p>
        </w:tc>
      </w:tr>
      <w:tr>
        <w:trPr>
          <w:trHeight w:val="235"/>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20"/>
                <w:szCs w:val="20"/>
                <w:color w:val="auto"/>
              </w:rPr>
              <w:t>2019</w:t>
            </w:r>
          </w:p>
        </w:tc>
        <w:tc>
          <w:tcPr>
            <w:tcW w:w="2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20"/>
                <w:szCs w:val="20"/>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r>
      <w:tr>
        <w:trPr>
          <w:trHeight w:val="235"/>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ind w:left="140"/>
              <w:spacing w:after="0"/>
              <w:rPr>
                <w:sz w:val="20"/>
                <w:szCs w:val="20"/>
                <w:color w:val="auto"/>
              </w:rPr>
            </w:pPr>
            <w:r>
              <w:rPr>
                <w:rFonts w:ascii="Arial" w:cs="Arial" w:eastAsia="Arial" w:hAnsi="Arial"/>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90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248,573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180,221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480,901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375,621</w:t>
            </w:r>
          </w:p>
        </w:tc>
        <w:tc>
          <w:tcPr>
            <w:tcW w:w="100" w:type="dxa"/>
            <w:vAlign w:val="bottom"/>
            <w:shd w:val="clear" w:color="auto" w:fill="CFF0FC"/>
          </w:tcPr>
          <w:p>
            <w:pPr>
              <w:spacing w:after="0"/>
              <w:rPr>
                <w:sz w:val="21"/>
                <w:szCs w:val="21"/>
                <w:color w:val="auto"/>
              </w:rPr>
            </w:pPr>
          </w:p>
        </w:tc>
      </w:tr>
      <w:tr>
        <w:trPr>
          <w:trHeight w:val="242"/>
        </w:trPr>
        <w:tc>
          <w:tcPr>
            <w:tcW w:w="5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2,569</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8,814</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7,613</w:t>
            </w:r>
          </w:p>
        </w:tc>
        <w:tc>
          <w:tcPr>
            <w:tcW w:w="100" w:type="dxa"/>
            <w:vAlign w:val="bottom"/>
            <w:tcBorders>
              <w:bottom w:val="single" w:sz="8" w:color="CFF0FC"/>
            </w:tcBorders>
          </w:tcPr>
          <w:p>
            <w:pPr>
              <w:spacing w:after="0"/>
              <w:rPr>
                <w:sz w:val="21"/>
                <w:szCs w:val="21"/>
                <w:color w:val="auto"/>
              </w:rPr>
            </w:pPr>
          </w:p>
        </w:tc>
      </w:tr>
      <w:tr>
        <w:trPr>
          <w:trHeight w:val="218"/>
        </w:trPr>
        <w:tc>
          <w:tcPr>
            <w:tcW w:w="5900" w:type="dxa"/>
            <w:vAlign w:val="bottom"/>
            <w:shd w:val="clear" w:color="auto" w:fill="CFF0FC"/>
          </w:tcPr>
          <w:p>
            <w:pPr>
              <w:spacing w:after="0" w:line="218" w:lineRule="exact"/>
              <w:rPr>
                <w:sz w:val="20"/>
                <w:szCs w:val="20"/>
                <w:color w:val="auto"/>
              </w:rPr>
            </w:pPr>
            <w:r>
              <w:rPr>
                <w:rFonts w:ascii="Arial" w:cs="Arial" w:eastAsia="Arial" w:hAnsi="Arial"/>
                <w:sz w:val="20"/>
                <w:szCs w:val="20"/>
                <w:color w:val="auto"/>
              </w:rPr>
              <w:t>Comprehensive earnings attributable to Martin Marietta</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5"/>
        </w:trPr>
        <w:tc>
          <w:tcPr>
            <w:tcW w:w="59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251,142</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489,715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383,234</w:t>
            </w:r>
          </w:p>
        </w:tc>
        <w:tc>
          <w:tcPr>
            <w:tcW w:w="100" w:type="dxa"/>
            <w:vAlign w:val="bottom"/>
            <w:shd w:val="clear" w:color="auto" w:fill="CFF0FC"/>
          </w:tcPr>
          <w:p>
            <w:pPr>
              <w:spacing w:after="0"/>
              <w:rPr>
                <w:sz w:val="21"/>
                <w:szCs w:val="2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left="380" w:right="40"/>
        <w:spacing w:after="0" w:line="258" w:lineRule="auto"/>
        <w:rPr>
          <w:sz w:val="20"/>
          <w:szCs w:val="20"/>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00" w:type="dxa"/>
            <w:vAlign w:val="bottom"/>
          </w:tcPr>
          <w:p>
            <w:pPr>
              <w:spacing w:after="0"/>
              <w:rPr>
                <w:sz w:val="21"/>
                <w:szCs w:val="21"/>
                <w:color w:val="auto"/>
              </w:rPr>
            </w:pPr>
          </w:p>
        </w:tc>
        <w:tc>
          <w:tcPr>
            <w:tcW w:w="2220" w:type="dxa"/>
            <w:vAlign w:val="bottom"/>
            <w:gridSpan w:val="4"/>
          </w:tcPr>
          <w:p>
            <w:pPr>
              <w:jc w:val="right"/>
              <w:ind w:right="2"/>
              <w:spacing w:after="0"/>
              <w:rPr>
                <w:sz w:val="20"/>
                <w:szCs w:val="20"/>
                <w:color w:val="auto"/>
              </w:rPr>
            </w:pPr>
            <w:r>
              <w:rPr>
                <w:rFonts w:ascii="Arial" w:cs="Arial" w:eastAsia="Arial" w:hAnsi="Arial"/>
                <w:sz w:val="20"/>
                <w:szCs w:val="20"/>
                <w:color w:val="auto"/>
              </w:rPr>
              <w:t>Three Months Ended</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20"/>
                <w:szCs w:val="20"/>
                <w:color w:val="auto"/>
                <w:w w:val="89"/>
              </w:rPr>
              <w:t>Nine Months Ended</w:t>
            </w:r>
          </w:p>
        </w:tc>
      </w:tr>
      <w:tr>
        <w:trPr>
          <w:trHeight w:val="245"/>
        </w:trPr>
        <w:tc>
          <w:tcPr>
            <w:tcW w:w="5900" w:type="dxa"/>
            <w:vAlign w:val="bottom"/>
          </w:tcPr>
          <w:p>
            <w:pPr>
              <w:spacing w:after="0"/>
              <w:rPr>
                <w:sz w:val="21"/>
                <w:szCs w:val="21"/>
                <w:color w:val="auto"/>
              </w:rPr>
            </w:pPr>
          </w:p>
        </w:tc>
        <w:tc>
          <w:tcPr>
            <w:tcW w:w="2220" w:type="dxa"/>
            <w:vAlign w:val="bottom"/>
            <w:gridSpan w:val="4"/>
          </w:tcPr>
          <w:p>
            <w:pPr>
              <w:jc w:val="right"/>
              <w:ind w:right="262"/>
              <w:spacing w:after="0"/>
              <w:rPr>
                <w:sz w:val="20"/>
                <w:szCs w:val="20"/>
                <w:color w:val="auto"/>
              </w:rPr>
            </w:pPr>
            <w:r>
              <w:rPr>
                <w:rFonts w:ascii="Arial" w:cs="Arial" w:eastAsia="Arial" w:hAnsi="Arial"/>
                <w:sz w:val="20"/>
                <w:szCs w:val="20"/>
                <w:color w:val="auto"/>
              </w:rPr>
              <w:t>September 30,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20"/>
                <w:szCs w:val="20"/>
                <w:color w:val="auto"/>
                <w:w w:val="86"/>
              </w:rPr>
              <w:t>September 30,</w:t>
            </w:r>
          </w:p>
        </w:tc>
      </w:tr>
      <w:tr>
        <w:trPr>
          <w:trHeight w:val="235"/>
        </w:trPr>
        <w:tc>
          <w:tcPr>
            <w:tcW w:w="59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2018</w:t>
            </w:r>
          </w:p>
        </w:tc>
        <w:tc>
          <w:tcPr>
            <w:tcW w:w="36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20"/>
                <w:szCs w:val="20"/>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r>
      <w:tr>
        <w:trPr>
          <w:trHeight w:val="235"/>
        </w:trPr>
        <w:tc>
          <w:tcPr>
            <w:tcW w:w="5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ind w:left="360"/>
              <w:spacing w:after="0"/>
              <w:rPr>
                <w:sz w:val="20"/>
                <w:szCs w:val="20"/>
                <w:color w:val="auto"/>
              </w:rPr>
            </w:pPr>
            <w:r>
              <w:rPr>
                <w:rFonts w:ascii="Arial" w:cs="Arial" w:eastAsia="Arial" w:hAnsi="Arial"/>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90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noncontrolling interests</w:t>
            </w:r>
          </w:p>
        </w:tc>
        <w:tc>
          <w:tcPr>
            <w:tcW w:w="860" w:type="dxa"/>
            <w:vAlign w:val="bottom"/>
            <w:shd w:val="clear" w:color="auto" w:fill="CFF0FC"/>
          </w:tcPr>
          <w:p>
            <w:pPr>
              <w:jc w:val="right"/>
              <w:ind w:right="662"/>
              <w:spacing w:after="0"/>
              <w:rPr>
                <w:sz w:val="20"/>
                <w:szCs w:val="20"/>
                <w:color w:val="auto"/>
              </w:rPr>
            </w:pPr>
            <w:r>
              <w:rPr>
                <w:rFonts w:ascii="Arial" w:cs="Arial" w:eastAsia="Arial" w:hAnsi="Arial"/>
                <w:sz w:val="20"/>
                <w:szCs w:val="2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1040" w:type="dxa"/>
            <w:vAlign w:val="bottom"/>
            <w:gridSpan w:val="2"/>
            <w:shd w:val="clear" w:color="auto" w:fill="CFF0FC"/>
          </w:tcPr>
          <w:p>
            <w:pPr>
              <w:jc w:val="right"/>
              <w:ind w:right="602"/>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132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100" w:type="dxa"/>
            <w:vAlign w:val="bottom"/>
            <w:shd w:val="clear" w:color="auto" w:fill="CFF0FC"/>
          </w:tcPr>
          <w:p>
            <w:pPr>
              <w:spacing w:after="0"/>
              <w:rPr>
                <w:sz w:val="21"/>
                <w:szCs w:val="21"/>
                <w:color w:val="auto"/>
              </w:rPr>
            </w:pPr>
          </w:p>
        </w:tc>
      </w:tr>
      <w:tr>
        <w:trPr>
          <w:trHeight w:val="242"/>
        </w:trPr>
        <w:tc>
          <w:tcPr>
            <w:tcW w:w="5900" w:type="dxa"/>
            <w:vAlign w:val="bottom"/>
          </w:tcPr>
          <w:p>
            <w:pPr>
              <w:spacing w:after="0"/>
              <w:rPr>
                <w:sz w:val="20"/>
                <w:szCs w:val="20"/>
                <w:color w:val="auto"/>
              </w:rPr>
            </w:pPr>
            <w:r>
              <w:rPr>
                <w:rFonts w:ascii="Arial" w:cs="Arial" w:eastAsia="Arial" w:hAnsi="Arial"/>
                <w:sz w:val="20"/>
                <w:szCs w:val="20"/>
                <w:color w:val="auto"/>
              </w:rPr>
              <w:t>Other comprehensive earnings, net of tax</w:t>
            </w:r>
          </w:p>
        </w:tc>
        <w:tc>
          <w:tcPr>
            <w:tcW w:w="8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1"/>
                <w:szCs w:val="21"/>
                <w:color w:val="auto"/>
              </w:rPr>
            </w:pPr>
          </w:p>
        </w:tc>
      </w:tr>
      <w:tr>
        <w:trPr>
          <w:trHeight w:val="218"/>
        </w:trPr>
        <w:tc>
          <w:tcPr>
            <w:tcW w:w="5900" w:type="dxa"/>
            <w:vAlign w:val="bottom"/>
            <w:tcBorders>
              <w:top w:val="single" w:sz="8" w:color="CFF0FC"/>
            </w:tcBorders>
            <w:shd w:val="clear" w:color="auto" w:fill="CFF0FC"/>
          </w:tcPr>
          <w:p>
            <w:pPr>
              <w:spacing w:after="0" w:line="218" w:lineRule="exact"/>
              <w:rPr>
                <w:sz w:val="20"/>
                <w:szCs w:val="20"/>
                <w:color w:val="auto"/>
              </w:rPr>
            </w:pPr>
            <w:r>
              <w:rPr>
                <w:rFonts w:ascii="Arial" w:cs="Arial" w:eastAsia="Arial" w:hAnsi="Arial"/>
                <w:sz w:val="20"/>
                <w:szCs w:val="20"/>
                <w:color w:val="auto"/>
              </w:rPr>
              <w:t>Comprehensive earnings attributable to</w:t>
            </w:r>
          </w:p>
        </w:tc>
        <w:tc>
          <w:tcPr>
            <w:tcW w:w="8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45"/>
        </w:trPr>
        <w:tc>
          <w:tcPr>
            <w:tcW w:w="59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noncontrolling interests</w:t>
            </w:r>
          </w:p>
        </w:tc>
        <w:tc>
          <w:tcPr>
            <w:tcW w:w="860" w:type="dxa"/>
            <w:vAlign w:val="bottom"/>
            <w:shd w:val="clear" w:color="auto" w:fill="CFF0FC"/>
          </w:tcPr>
          <w:p>
            <w:pPr>
              <w:jc w:val="right"/>
              <w:ind w:right="662"/>
              <w:spacing w:after="0"/>
              <w:rPr>
                <w:sz w:val="20"/>
                <w:szCs w:val="20"/>
                <w:color w:val="auto"/>
              </w:rPr>
            </w:pPr>
            <w:r>
              <w:rPr>
                <w:rFonts w:ascii="Arial" w:cs="Arial" w:eastAsia="Arial" w:hAnsi="Arial"/>
                <w:sz w:val="20"/>
                <w:szCs w:val="2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1040" w:type="dxa"/>
            <w:vAlign w:val="bottom"/>
            <w:gridSpan w:val="2"/>
            <w:shd w:val="clear" w:color="auto" w:fill="CFF0FC"/>
          </w:tcPr>
          <w:p>
            <w:pPr>
              <w:jc w:val="right"/>
              <w:ind w:right="602"/>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132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276</w:t>
            </w:r>
          </w:p>
        </w:tc>
        <w:tc>
          <w:tcPr>
            <w:tcW w:w="100" w:type="dxa"/>
            <w:vAlign w:val="bottom"/>
            <w:shd w:val="clear" w:color="auto" w:fill="CFF0FC"/>
          </w:tcPr>
          <w:p>
            <w:pPr>
              <w:spacing w:after="0"/>
              <w:rPr>
                <w:sz w:val="21"/>
                <w:szCs w:val="2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9"/>
                <w:szCs w:val="19"/>
                <w:i w:val="1"/>
                <w:iCs w:val="1"/>
                <w:color w:val="auto"/>
                <w:w w:val="92"/>
              </w:rPr>
              <w:t>(Dollars 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9"/>
        </w:trPr>
        <w:tc>
          <w:tcPr>
            <w:tcW w:w="4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440"/>
              <w:spacing w:after="0" w:line="199" w:lineRule="exact"/>
              <w:rPr>
                <w:sz w:val="20"/>
                <w:szCs w:val="20"/>
                <w:color w:val="auto"/>
              </w:rPr>
            </w:pPr>
            <w:r>
              <w:rPr>
                <w:rFonts w:ascii="Arial" w:cs="Arial" w:eastAsia="Arial" w:hAnsi="Arial"/>
                <w:sz w:val="19"/>
                <w:szCs w:val="19"/>
                <w:color w:val="auto"/>
                <w:w w:val="90"/>
              </w:rPr>
              <w:t>Unamortized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20"/>
              <w:spacing w:after="0" w:line="214" w:lineRule="exact"/>
              <w:rPr>
                <w:sz w:val="20"/>
                <w:szCs w:val="20"/>
                <w:color w:val="auto"/>
              </w:rPr>
            </w:pPr>
            <w:r>
              <w:rPr>
                <w:rFonts w:ascii="Arial" w:cs="Arial" w:eastAsia="Arial" w:hAnsi="Arial"/>
                <w:sz w:val="19"/>
                <w:szCs w:val="19"/>
                <w:color w:val="auto"/>
                <w:w w:val="91"/>
              </w:rPr>
              <w:t>Value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40"/>
              <w:spacing w:after="0" w:line="214" w:lineRule="exact"/>
              <w:rPr>
                <w:sz w:val="20"/>
                <w:szCs w:val="20"/>
                <w:color w:val="auto"/>
              </w:rPr>
            </w:pPr>
            <w:r>
              <w:rPr>
                <w:rFonts w:ascii="Arial" w:cs="Arial" w:eastAsia="Arial" w:hAnsi="Arial"/>
                <w:sz w:val="19"/>
                <w:szCs w:val="19"/>
                <w:color w:val="auto"/>
                <w:w w:val="89"/>
              </w:rPr>
              <w:t>Terminated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line="214" w:lineRule="exact"/>
              <w:rPr>
                <w:sz w:val="20"/>
                <w:szCs w:val="20"/>
                <w:color w:val="auto"/>
              </w:rPr>
            </w:pPr>
            <w:r>
              <w:rPr>
                <w:rFonts w:ascii="Arial" w:cs="Arial" w:eastAsia="Arial" w:hAnsi="Arial"/>
                <w:sz w:val="19"/>
                <w:szCs w:val="19"/>
                <w:color w:val="auto"/>
                <w:w w:val="91"/>
              </w:rPr>
              <w:t>Accumulated</w:t>
            </w: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line="214" w:lineRule="exact"/>
              <w:rPr>
                <w:sz w:val="20"/>
                <w:szCs w:val="20"/>
                <w:color w:val="auto"/>
              </w:rPr>
            </w:pPr>
            <w:r>
              <w:rPr>
                <w:rFonts w:ascii="Arial" w:cs="Arial" w:eastAsia="Arial" w:hAnsi="Arial"/>
                <w:sz w:val="19"/>
                <w:szCs w:val="19"/>
                <w:color w:val="auto"/>
                <w:w w:val="85"/>
              </w:rPr>
              <w:t>Pension and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right="280"/>
              <w:spacing w:after="0" w:line="214" w:lineRule="exact"/>
              <w:rPr>
                <w:sz w:val="20"/>
                <w:szCs w:val="20"/>
                <w:color w:val="auto"/>
              </w:rPr>
            </w:pPr>
            <w:r>
              <w:rPr>
                <w:rFonts w:ascii="Arial" w:cs="Arial" w:eastAsia="Arial" w:hAnsi="Arial"/>
                <w:sz w:val="19"/>
                <w:szCs w:val="19"/>
                <w:color w:val="auto"/>
                <w:w w:val="91"/>
              </w:rPr>
              <w:t>Forward Starting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line="214" w:lineRule="exact"/>
              <w:rPr>
                <w:sz w:val="20"/>
                <w:szCs w:val="20"/>
                <w:color w:val="auto"/>
              </w:rPr>
            </w:pPr>
            <w:r>
              <w:rPr>
                <w:rFonts w:ascii="Arial" w:cs="Arial" w:eastAsia="Arial" w:hAnsi="Arial"/>
                <w:sz w:val="19"/>
                <w:szCs w:val="19"/>
                <w:color w:val="auto"/>
                <w:w w:val="88"/>
              </w:rPr>
              <w:t>Other</w:t>
            </w: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line="214" w:lineRule="exact"/>
              <w:rPr>
                <w:sz w:val="20"/>
                <w:szCs w:val="20"/>
                <w:color w:val="auto"/>
              </w:rPr>
            </w:pPr>
            <w:r>
              <w:rPr>
                <w:rFonts w:ascii="Arial" w:cs="Arial" w:eastAsia="Arial" w:hAnsi="Arial"/>
                <w:sz w:val="19"/>
                <w:szCs w:val="19"/>
                <w:color w:val="auto"/>
                <w:w w:val="89"/>
              </w:rPr>
              <w:t>Postretirement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20"/>
              <w:spacing w:after="0" w:line="214" w:lineRule="exact"/>
              <w:rPr>
                <w:sz w:val="20"/>
                <w:szCs w:val="20"/>
                <w:color w:val="auto"/>
              </w:rPr>
            </w:pPr>
            <w:r>
              <w:rPr>
                <w:rFonts w:ascii="Arial" w:cs="Arial" w:eastAsia="Arial" w:hAnsi="Arial"/>
                <w:sz w:val="19"/>
                <w:szCs w:val="19"/>
                <w:color w:val="auto"/>
              </w:rPr>
              <w:t>Foreign</w:t>
            </w:r>
          </w:p>
        </w:tc>
        <w:tc>
          <w:tcPr>
            <w:tcW w:w="140" w:type="dxa"/>
            <w:vAlign w:val="bottom"/>
          </w:tcPr>
          <w:p>
            <w:pPr>
              <w:spacing w:after="0"/>
              <w:rPr>
                <w:sz w:val="18"/>
                <w:szCs w:val="18"/>
                <w:color w:val="auto"/>
              </w:rPr>
            </w:pPr>
          </w:p>
        </w:tc>
        <w:tc>
          <w:tcPr>
            <w:tcW w:w="1540" w:type="dxa"/>
            <w:vAlign w:val="bottom"/>
            <w:gridSpan w:val="2"/>
          </w:tcPr>
          <w:p>
            <w:pPr>
              <w:jc w:val="center"/>
              <w:ind w:right="420"/>
              <w:spacing w:after="0" w:line="214" w:lineRule="exact"/>
              <w:rPr>
                <w:sz w:val="20"/>
                <w:szCs w:val="20"/>
                <w:color w:val="auto"/>
              </w:rPr>
            </w:pPr>
            <w:r>
              <w:rPr>
                <w:rFonts w:ascii="Arial" w:cs="Arial" w:eastAsia="Arial" w:hAnsi="Arial"/>
                <w:sz w:val="19"/>
                <w:szCs w:val="19"/>
                <w:color w:val="auto"/>
                <w:w w:val="88"/>
              </w:rPr>
              <w:t>Interest 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line="214" w:lineRule="exact"/>
              <w:rPr>
                <w:sz w:val="20"/>
                <w:szCs w:val="20"/>
                <w:color w:val="auto"/>
              </w:rPr>
            </w:pPr>
            <w:r>
              <w:rPr>
                <w:rFonts w:ascii="Arial" w:cs="Arial" w:eastAsia="Arial" w:hAnsi="Arial"/>
                <w:sz w:val="19"/>
                <w:szCs w:val="19"/>
                <w:color w:val="auto"/>
                <w:w w:val="88"/>
              </w:rPr>
              <w:t>Comprehensive</w:t>
            </w:r>
          </w:p>
        </w:tc>
      </w:tr>
      <w:tr>
        <w:trPr>
          <w:trHeight w:val="237"/>
        </w:trPr>
        <w:tc>
          <w:tcPr>
            <w:tcW w:w="4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Benefit Plans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9"/>
                <w:szCs w:val="19"/>
                <w:color w:val="auto"/>
                <w:w w:val="98"/>
              </w:rPr>
              <w:t>Currency</w:t>
            </w:r>
          </w:p>
        </w:tc>
        <w:tc>
          <w:tcPr>
            <w:tcW w:w="140" w:type="dxa"/>
            <w:vAlign w:val="bottom"/>
          </w:tcPr>
          <w:p>
            <w:pPr>
              <w:spacing w:after="0"/>
              <w:rPr>
                <w:sz w:val="20"/>
                <w:szCs w:val="20"/>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9"/>
                <w:szCs w:val="19"/>
                <w:color w:val="auto"/>
                <w:w w:val="88"/>
              </w:rPr>
              <w:t>Swap</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9"/>
                <w:szCs w:val="19"/>
                <w:color w:val="auto"/>
                <w:w w:val="89"/>
              </w:rPr>
              <w:t>Loss</w:t>
            </w:r>
          </w:p>
        </w:tc>
      </w:tr>
      <w:tr>
        <w:trPr>
          <w:trHeight w:val="222"/>
        </w:trPr>
        <w:tc>
          <w:tcPr>
            <w:tcW w:w="4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360" w:type="dxa"/>
            <w:vAlign w:val="bottom"/>
            <w:tcBorders>
              <w:top w:val="single" w:sz="8" w:color="auto"/>
              <w:bottom w:val="single" w:sz="8" w:color="auto"/>
            </w:tcBorders>
            <w:gridSpan w:val="7"/>
          </w:tcPr>
          <w:p>
            <w:pPr>
              <w:jc w:val="center"/>
              <w:ind w:right="100"/>
              <w:spacing w:after="0"/>
              <w:rPr>
                <w:sz w:val="20"/>
                <w:szCs w:val="20"/>
                <w:color w:val="auto"/>
              </w:rPr>
            </w:pPr>
            <w:r>
              <w:rPr>
                <w:rFonts w:ascii="Arial" w:cs="Arial" w:eastAsia="Arial" w:hAnsi="Arial"/>
                <w:sz w:val="19"/>
                <w:szCs w:val="19"/>
                <w:color w:val="auto"/>
                <w:w w:val="88"/>
              </w:rPr>
              <w:t>Three Months Ended September 30, 2019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20" w:type="dxa"/>
            <w:vAlign w:val="bottom"/>
            <w:gridSpan w:val="2"/>
          </w:tcPr>
          <w:p>
            <w:pPr>
              <w:jc w:val="right"/>
              <w:ind w:right="60"/>
              <w:spacing w:after="0"/>
              <w:rPr>
                <w:sz w:val="20"/>
                <w:szCs w:val="20"/>
                <w:color w:val="auto"/>
              </w:rPr>
            </w:pPr>
            <w:r>
              <w:rPr>
                <w:rFonts w:ascii="Arial" w:cs="Arial" w:eastAsia="Arial" w:hAnsi="Arial"/>
                <w:sz w:val="19"/>
                <w:szCs w:val="19"/>
                <w:color w:val="auto"/>
              </w:rPr>
              <w:t>(136,021)</w:t>
            </w:r>
          </w:p>
        </w:tc>
        <w:tc>
          <w:tcPr>
            <w:tcW w:w="340" w:type="dxa"/>
            <w:vAlign w:val="bottom"/>
            <w:gridSpan w:val="2"/>
          </w:tcPr>
          <w:p>
            <w:pPr>
              <w:jc w:val="right"/>
              <w:ind w:right="27"/>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9"/>
                <w:szCs w:val="19"/>
                <w:color w:val="auto"/>
              </w:rPr>
              <w:t>(1,313)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(137,334)</w:t>
            </w:r>
          </w:p>
        </w:tc>
        <w:tc>
          <w:tcPr>
            <w:tcW w:w="120" w:type="dxa"/>
            <w:vAlign w:val="bottom"/>
          </w:tcPr>
          <w:p>
            <w:pPr>
              <w:spacing w:after="0"/>
              <w:rPr>
                <w:sz w:val="19"/>
                <w:szCs w:val="19"/>
                <w:color w:val="auto"/>
              </w:rPr>
            </w:pPr>
          </w:p>
        </w:tc>
      </w:tr>
      <w:tr>
        <w:trPr>
          <w:trHeight w:val="206"/>
        </w:trPr>
        <w:tc>
          <w:tcPr>
            <w:tcW w:w="4260" w:type="dxa"/>
            <w:vAlign w:val="bottom"/>
            <w:shd w:val="clear" w:color="auto" w:fill="CFF0FC"/>
          </w:tcPr>
          <w:p>
            <w:pPr>
              <w:spacing w:after="0" w:line="206" w:lineRule="exact"/>
              <w:rPr>
                <w:sz w:val="20"/>
                <w:szCs w:val="20"/>
                <w:color w:val="auto"/>
              </w:rPr>
            </w:pPr>
            <w:r>
              <w:rPr>
                <w:rFonts w:ascii="Arial" w:cs="Arial" w:eastAsia="Arial" w:hAnsi="Arial"/>
                <w:sz w:val="19"/>
                <w:szCs w:val="19"/>
                <w:color w:val="auto"/>
              </w:rPr>
              <w:t>Amounts reclassified from accumulated</w:t>
            </w: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7"/>
        </w:trPr>
        <w:tc>
          <w:tcPr>
            <w:tcW w:w="4260" w:type="dxa"/>
            <w:vAlign w:val="bottom"/>
            <w:shd w:val="clear" w:color="auto" w:fill="CFF0FC"/>
          </w:tcPr>
          <w:p>
            <w:pPr>
              <w:ind w:left="140"/>
              <w:spacing w:after="0"/>
              <w:rPr>
                <w:sz w:val="20"/>
                <w:szCs w:val="20"/>
                <w:color w:val="auto"/>
              </w:rPr>
            </w:pPr>
            <w:r>
              <w:rPr>
                <w:rFonts w:ascii="Arial" w:cs="Arial" w:eastAsia="Arial" w:hAnsi="Arial"/>
                <w:sz w:val="19"/>
                <w:szCs w:val="19"/>
                <w:color w:val="auto"/>
              </w:rPr>
              <w:t>other comprehensive loss, net of tax</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2,726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(157)</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9"/>
                <w:szCs w:val="19"/>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2,569</w:t>
            </w:r>
          </w:p>
        </w:tc>
        <w:tc>
          <w:tcPr>
            <w:tcW w:w="120" w:type="dxa"/>
            <w:vAlign w:val="bottom"/>
            <w:shd w:val="clear" w:color="auto" w:fill="CFF0FC"/>
          </w:tcPr>
          <w:p>
            <w:pPr>
              <w:spacing w:after="0"/>
              <w:rPr>
                <w:sz w:val="20"/>
                <w:szCs w:val="20"/>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(133,295)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(1,470)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(134,765)</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7"/>
        </w:trPr>
        <w:tc>
          <w:tcPr>
            <w:tcW w:w="4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9"/>
                <w:szCs w:val="19"/>
                <w:color w:val="auto"/>
                <w:w w:val="88"/>
              </w:rPr>
              <w:t>Three Months Ended September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20" w:type="dxa"/>
            <w:vAlign w:val="bottom"/>
            <w:gridSpan w:val="2"/>
          </w:tcPr>
          <w:p>
            <w:pPr>
              <w:jc w:val="right"/>
              <w:ind w:right="60"/>
              <w:spacing w:after="0"/>
              <w:rPr>
                <w:sz w:val="20"/>
                <w:szCs w:val="20"/>
                <w:color w:val="auto"/>
              </w:rPr>
            </w:pPr>
            <w:r>
              <w:rPr>
                <w:rFonts w:ascii="Arial" w:cs="Arial" w:eastAsia="Arial" w:hAnsi="Arial"/>
                <w:sz w:val="19"/>
                <w:szCs w:val="19"/>
                <w:color w:val="auto"/>
              </w:rPr>
              <w:t>(124,798)</w:t>
            </w:r>
          </w:p>
        </w:tc>
        <w:tc>
          <w:tcPr>
            <w:tcW w:w="340" w:type="dxa"/>
            <w:vAlign w:val="bottom"/>
            <w:gridSpan w:val="2"/>
          </w:tcPr>
          <w:p>
            <w:pPr>
              <w:jc w:val="right"/>
              <w:ind w:right="27"/>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9"/>
                <w:szCs w:val="19"/>
                <w:color w:val="auto"/>
              </w:rPr>
              <w:t>(1,085)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(125,883)</w:t>
            </w:r>
          </w:p>
        </w:tc>
        <w:tc>
          <w:tcPr>
            <w:tcW w:w="120" w:type="dxa"/>
            <w:vAlign w:val="bottom"/>
          </w:tcPr>
          <w:p>
            <w:pPr>
              <w:spacing w:after="0"/>
              <w:rPr>
                <w:sz w:val="19"/>
                <w:szCs w:val="19"/>
                <w:color w:val="auto"/>
              </w:rPr>
            </w:pPr>
          </w:p>
        </w:tc>
      </w:tr>
      <w:tr>
        <w:trPr>
          <w:trHeight w:val="206"/>
        </w:trPr>
        <w:tc>
          <w:tcPr>
            <w:tcW w:w="4260" w:type="dxa"/>
            <w:vAlign w:val="bottom"/>
            <w:shd w:val="clear" w:color="auto" w:fill="CFF2FA"/>
          </w:tcPr>
          <w:p>
            <w:pPr>
              <w:spacing w:after="0" w:line="206" w:lineRule="exact"/>
              <w:rPr>
                <w:sz w:val="20"/>
                <w:szCs w:val="20"/>
                <w:color w:val="auto"/>
              </w:rPr>
            </w:pPr>
            <w:r>
              <w:rPr>
                <w:rFonts w:ascii="Arial" w:cs="Arial" w:eastAsia="Arial" w:hAnsi="Arial"/>
                <w:sz w:val="19"/>
                <w:szCs w:val="19"/>
                <w:color w:val="auto"/>
              </w:rPr>
              <w:t>Other comprehensive earnings before</w:t>
            </w:r>
          </w:p>
        </w:tc>
        <w:tc>
          <w:tcPr>
            <w:tcW w:w="70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130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160" w:type="dxa"/>
            <w:vAlign w:val="bottom"/>
            <w:shd w:val="clear" w:color="auto" w:fill="CFF2FA"/>
          </w:tcPr>
          <w:p>
            <w:pPr>
              <w:spacing w:after="0"/>
              <w:rPr>
                <w:sz w:val="17"/>
                <w:szCs w:val="17"/>
                <w:color w:val="auto"/>
              </w:rPr>
            </w:pPr>
          </w:p>
        </w:tc>
        <w:tc>
          <w:tcPr>
            <w:tcW w:w="180" w:type="dxa"/>
            <w:vAlign w:val="bottom"/>
            <w:shd w:val="clear" w:color="auto" w:fill="CFF2FA"/>
          </w:tcPr>
          <w:p>
            <w:pPr>
              <w:spacing w:after="0"/>
              <w:rPr>
                <w:sz w:val="17"/>
                <w:szCs w:val="17"/>
                <w:color w:val="auto"/>
              </w:rPr>
            </w:pPr>
          </w:p>
        </w:tc>
        <w:tc>
          <w:tcPr>
            <w:tcW w:w="106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40" w:type="dxa"/>
            <w:vAlign w:val="bottom"/>
            <w:shd w:val="clear" w:color="auto" w:fill="CFF2FA"/>
          </w:tcPr>
          <w:p>
            <w:pPr>
              <w:spacing w:after="0"/>
              <w:rPr>
                <w:sz w:val="17"/>
                <w:szCs w:val="17"/>
                <w:color w:val="auto"/>
              </w:rPr>
            </w:pPr>
          </w:p>
        </w:tc>
        <w:tc>
          <w:tcPr>
            <w:tcW w:w="12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100" w:type="dxa"/>
            <w:vAlign w:val="bottom"/>
            <w:shd w:val="clear" w:color="auto" w:fill="CFF2FA"/>
          </w:tcPr>
          <w:p>
            <w:pPr>
              <w:spacing w:after="0"/>
              <w:rPr>
                <w:sz w:val="17"/>
                <w:szCs w:val="17"/>
                <w:color w:val="auto"/>
              </w:rPr>
            </w:pPr>
          </w:p>
        </w:tc>
        <w:tc>
          <w:tcPr>
            <w:tcW w:w="132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r>
      <w:tr>
        <w:trPr>
          <w:trHeight w:val="237"/>
        </w:trPr>
        <w:tc>
          <w:tcPr>
            <w:tcW w:w="4260" w:type="dxa"/>
            <w:vAlign w:val="bottom"/>
            <w:shd w:val="clear" w:color="auto" w:fill="CFF2FA"/>
          </w:tcPr>
          <w:p>
            <w:pPr>
              <w:ind w:left="140"/>
              <w:spacing w:after="0"/>
              <w:rPr>
                <w:sz w:val="20"/>
                <w:szCs w:val="20"/>
                <w:color w:val="auto"/>
              </w:rPr>
            </w:pPr>
            <w:r>
              <w:rPr>
                <w:rFonts w:ascii="Arial" w:cs="Arial" w:eastAsia="Arial" w:hAnsi="Arial"/>
                <w:sz w:val="19"/>
                <w:szCs w:val="19"/>
                <w:color w:val="auto"/>
              </w:rPr>
              <w:t>reclassifications, net of tax</w:t>
            </w:r>
          </w:p>
        </w:tc>
        <w:tc>
          <w:tcPr>
            <w:tcW w:w="7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420" w:type="dxa"/>
            <w:vAlign w:val="bottom"/>
            <w:gridSpan w:val="2"/>
            <w:shd w:val="clear" w:color="auto" w:fill="CFF2FA"/>
          </w:tcPr>
          <w:p>
            <w:pPr>
              <w:jc w:val="right"/>
              <w:ind w:right="120"/>
              <w:spacing w:after="0"/>
              <w:rPr>
                <w:sz w:val="20"/>
                <w:szCs w:val="20"/>
                <w:color w:val="auto"/>
              </w:rPr>
            </w:pPr>
            <w:r>
              <w:rPr>
                <w:rFonts w:ascii="Arial" w:cs="Arial" w:eastAsia="Arial" w:hAnsi="Arial"/>
                <w:sz w:val="19"/>
                <w:szCs w:val="19"/>
                <w:color w:val="auto"/>
              </w:rPr>
              <w:t>—</w:t>
            </w:r>
          </w:p>
        </w:tc>
        <w:tc>
          <w:tcPr>
            <w:tcW w:w="16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9"/>
                <w:szCs w:val="19"/>
                <w:color w:val="auto"/>
              </w:rPr>
              <w:t>365</w:t>
            </w:r>
          </w:p>
        </w:tc>
        <w:tc>
          <w:tcPr>
            <w:tcW w:w="28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540" w:type="dxa"/>
            <w:vAlign w:val="bottom"/>
            <w:gridSpan w:val="2"/>
            <w:shd w:val="clear" w:color="auto" w:fill="CFF2FA"/>
          </w:tcPr>
          <w:p>
            <w:pPr>
              <w:jc w:val="right"/>
              <w:ind w:right="280"/>
              <w:spacing w:after="0"/>
              <w:rPr>
                <w:sz w:val="20"/>
                <w:szCs w:val="20"/>
                <w:color w:val="auto"/>
              </w:rPr>
            </w:pPr>
            <w:r>
              <w:rPr>
                <w:rFonts w:ascii="Arial" w:cs="Arial" w:eastAsia="Arial" w:hAnsi="Arial"/>
                <w:sz w:val="19"/>
                <w:szCs w:val="19"/>
                <w:color w:val="auto"/>
              </w:rPr>
              <w:t>—</w:t>
            </w: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320" w:type="dxa"/>
            <w:vAlign w:val="bottom"/>
            <w:shd w:val="clear" w:color="auto" w:fill="CFF2FA"/>
          </w:tcPr>
          <w:p>
            <w:pPr>
              <w:jc w:val="right"/>
              <w:spacing w:after="0"/>
              <w:rPr>
                <w:sz w:val="20"/>
                <w:szCs w:val="20"/>
                <w:color w:val="auto"/>
              </w:rPr>
            </w:pPr>
            <w:r>
              <w:rPr>
                <w:rFonts w:ascii="Arial" w:cs="Arial" w:eastAsia="Arial" w:hAnsi="Arial"/>
                <w:sz w:val="19"/>
                <w:szCs w:val="19"/>
                <w:color w:val="auto"/>
              </w:rPr>
              <w:t>365</w:t>
            </w:r>
          </w:p>
        </w:tc>
        <w:tc>
          <w:tcPr>
            <w:tcW w:w="120" w:type="dxa"/>
            <w:vAlign w:val="bottom"/>
            <w:shd w:val="clear" w:color="auto" w:fill="CFF2FA"/>
          </w:tcPr>
          <w:p>
            <w:pPr>
              <w:spacing w:after="0"/>
              <w:rPr>
                <w:sz w:val="20"/>
                <w:szCs w:val="20"/>
                <w:color w:val="auto"/>
              </w:rPr>
            </w:pPr>
          </w:p>
        </w:tc>
      </w:tr>
      <w:tr>
        <w:trPr>
          <w:trHeight w:val="206"/>
        </w:trPr>
        <w:tc>
          <w:tcPr>
            <w:tcW w:w="4260" w:type="dxa"/>
            <w:vAlign w:val="bottom"/>
          </w:tcPr>
          <w:p>
            <w:pPr>
              <w:spacing w:after="0" w:line="206" w:lineRule="exact"/>
              <w:rPr>
                <w:sz w:val="20"/>
                <w:szCs w:val="20"/>
                <w:color w:val="auto"/>
              </w:rPr>
            </w:pPr>
            <w:r>
              <w:rPr>
                <w:rFonts w:ascii="Arial" w:cs="Arial" w:eastAsia="Arial" w:hAnsi="Arial"/>
                <w:sz w:val="19"/>
                <w:szCs w:val="19"/>
                <w:color w:val="auto"/>
              </w:rPr>
              <w:t>Amounts reclassified from accumulated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4260" w:type="dxa"/>
            <w:vAlign w:val="bottom"/>
          </w:tcPr>
          <w:p>
            <w:pPr>
              <w:ind w:left="140"/>
              <w:spacing w:after="0"/>
              <w:rPr>
                <w:sz w:val="20"/>
                <w:szCs w:val="20"/>
                <w:color w:val="auto"/>
              </w:rPr>
            </w:pPr>
            <w:r>
              <w:rPr>
                <w:rFonts w:ascii="Arial" w:cs="Arial" w:eastAsia="Arial" w:hAnsi="Arial"/>
                <w:sz w:val="19"/>
                <w:szCs w:val="19"/>
                <w:color w:val="auto"/>
              </w:rPr>
              <w:t>other comprehensive loss,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4,027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4,027</w:t>
            </w:r>
          </w:p>
        </w:tc>
        <w:tc>
          <w:tcPr>
            <w:tcW w:w="120" w:type="dxa"/>
            <w:vAlign w:val="bottom"/>
          </w:tcPr>
          <w:p>
            <w:pPr>
              <w:spacing w:after="0"/>
              <w:rPr>
                <w:sz w:val="20"/>
                <w:szCs w:val="20"/>
                <w:color w:val="auto"/>
              </w:rPr>
            </w:pPr>
          </w:p>
        </w:tc>
      </w:tr>
      <w:tr>
        <w:trPr>
          <w:trHeight w:val="222"/>
        </w:trPr>
        <w:tc>
          <w:tcPr>
            <w:tcW w:w="426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7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4,027</w:t>
            </w:r>
          </w:p>
        </w:tc>
        <w:tc>
          <w:tcPr>
            <w:tcW w:w="12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spacing w:after="0"/>
              <w:rPr>
                <w:sz w:val="19"/>
                <w:szCs w:val="19"/>
                <w:color w:val="auto"/>
              </w:rPr>
            </w:pP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365</w:t>
            </w:r>
          </w:p>
        </w:tc>
        <w:tc>
          <w:tcPr>
            <w:tcW w:w="28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2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4,392</w:t>
            </w:r>
          </w:p>
        </w:tc>
        <w:tc>
          <w:tcPr>
            <w:tcW w:w="120" w:type="dxa"/>
            <w:vAlign w:val="bottom"/>
            <w:tcBorders>
              <w:top w:val="single" w:sz="8" w:color="CFF2FA"/>
            </w:tcBorders>
            <w:shd w:val="clear" w:color="auto" w:fill="CFF2FA"/>
          </w:tcPr>
          <w:p>
            <w:pPr>
              <w:spacing w:after="0"/>
              <w:rPr>
                <w:sz w:val="19"/>
                <w:szCs w:val="19"/>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(120,771)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(720)</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(121,491)</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7"/>
        </w:trPr>
        <w:tc>
          <w:tcPr>
            <w:tcW w:w="4260" w:type="dxa"/>
            <w:vAlign w:val="bottom"/>
            <w:tcBorders>
              <w:bottom w:val="single" w:sz="8" w:color="CFF2FA"/>
            </w:tcBorders>
          </w:tcPr>
          <w:p>
            <w:pPr>
              <w:spacing w:after="0"/>
              <w:rPr>
                <w:sz w:val="24"/>
                <w:szCs w:val="24"/>
                <w:color w:val="auto"/>
              </w:rPr>
            </w:pPr>
          </w:p>
        </w:tc>
        <w:tc>
          <w:tcPr>
            <w:tcW w:w="700" w:type="dxa"/>
            <w:vAlign w:val="bottom"/>
            <w:tcBorders>
              <w:bottom w:val="single" w:sz="8" w:color="CFF2FA"/>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9"/>
                <w:szCs w:val="19"/>
                <w:color w:val="auto"/>
                <w:w w:val="89"/>
              </w:rPr>
              <w:t>Nine Months Ended September 30, 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CFF2FA"/>
            </w:tcBorders>
          </w:tcPr>
          <w:p>
            <w:pPr>
              <w:spacing w:after="0"/>
              <w:rPr>
                <w:sz w:val="24"/>
                <w:szCs w:val="24"/>
                <w:color w:val="auto"/>
              </w:rPr>
            </w:pPr>
          </w:p>
        </w:tc>
      </w:tr>
      <w:tr>
        <w:trPr>
          <w:trHeight w:val="222"/>
        </w:trPr>
        <w:tc>
          <w:tcPr>
            <w:tcW w:w="4260" w:type="dxa"/>
            <w:vAlign w:val="bottom"/>
            <w:shd w:val="clear" w:color="auto" w:fill="CFF2FA"/>
          </w:tcPr>
          <w:p>
            <w:pPr>
              <w:spacing w:after="0"/>
              <w:rPr>
                <w:sz w:val="20"/>
                <w:szCs w:val="20"/>
                <w:color w:val="auto"/>
              </w:rPr>
            </w:pPr>
            <w:r>
              <w:rPr>
                <w:rFonts w:ascii="Arial" w:cs="Arial" w:eastAsia="Arial" w:hAnsi="Arial"/>
                <w:sz w:val="19"/>
                <w:szCs w:val="19"/>
                <w:color w:val="auto"/>
              </w:rPr>
              <w:t>Balance at beginning of period</w:t>
            </w:r>
          </w:p>
        </w:tc>
        <w:tc>
          <w:tcPr>
            <w:tcW w:w="70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42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(141,505)</w:t>
            </w:r>
          </w:p>
        </w:tc>
        <w:tc>
          <w:tcPr>
            <w:tcW w:w="340" w:type="dxa"/>
            <w:vAlign w:val="bottom"/>
            <w:gridSpan w:val="2"/>
            <w:shd w:val="clear" w:color="auto" w:fill="CFF2FA"/>
          </w:tcPr>
          <w:p>
            <w:pPr>
              <w:jc w:val="right"/>
              <w:ind w:right="27"/>
              <w:spacing w:after="0"/>
              <w:rPr>
                <w:sz w:val="20"/>
                <w:szCs w:val="20"/>
                <w:color w:val="auto"/>
              </w:rPr>
            </w:pPr>
            <w:r>
              <w:rPr>
                <w:rFonts w:ascii="Arial" w:cs="Arial" w:eastAsia="Arial" w:hAnsi="Arial"/>
                <w:sz w:val="19"/>
                <w:szCs w:val="19"/>
                <w:color w:val="auto"/>
              </w:rPr>
              <w:t>$</w:t>
            </w:r>
          </w:p>
        </w:tc>
        <w:tc>
          <w:tcPr>
            <w:tcW w:w="1340" w:type="dxa"/>
            <w:vAlign w:val="bottom"/>
            <w:gridSpan w:val="2"/>
            <w:shd w:val="clear" w:color="auto" w:fill="CFF2FA"/>
          </w:tcPr>
          <w:p>
            <w:pPr>
              <w:jc w:val="right"/>
              <w:ind w:right="220"/>
              <w:spacing w:after="0"/>
              <w:rPr>
                <w:sz w:val="20"/>
                <w:szCs w:val="20"/>
                <w:color w:val="auto"/>
              </w:rPr>
            </w:pPr>
            <w:r>
              <w:rPr>
                <w:rFonts w:ascii="Arial" w:cs="Arial" w:eastAsia="Arial" w:hAnsi="Arial"/>
                <w:sz w:val="19"/>
                <w:szCs w:val="19"/>
                <w:color w:val="auto"/>
              </w:rPr>
              <w:t>(2,074)</w:t>
            </w: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2FA"/>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shd w:val="clear" w:color="auto" w:fill="CFF2FA"/>
          </w:tcPr>
          <w:p>
            <w:pPr>
              <w:jc w:val="right"/>
              <w:spacing w:after="0"/>
              <w:rPr>
                <w:sz w:val="20"/>
                <w:szCs w:val="20"/>
                <w:color w:val="auto"/>
              </w:rPr>
            </w:pPr>
            <w:r>
              <w:rPr>
                <w:rFonts w:ascii="Arial" w:cs="Arial" w:eastAsia="Arial" w:hAnsi="Arial"/>
                <w:sz w:val="19"/>
                <w:szCs w:val="19"/>
                <w:color w:val="auto"/>
              </w:rPr>
              <w:t>(143,579)</w:t>
            </w:r>
          </w:p>
        </w:tc>
        <w:tc>
          <w:tcPr>
            <w:tcW w:w="120" w:type="dxa"/>
            <w:vAlign w:val="bottom"/>
            <w:shd w:val="clear" w:color="auto" w:fill="CFF2FA"/>
          </w:tcPr>
          <w:p>
            <w:pPr>
              <w:spacing w:after="0"/>
              <w:rPr>
                <w:sz w:val="19"/>
                <w:szCs w:val="19"/>
                <w:color w:val="auto"/>
              </w:rPr>
            </w:pPr>
          </w:p>
        </w:tc>
      </w:tr>
      <w:tr>
        <w:trPr>
          <w:trHeight w:val="206"/>
        </w:trPr>
        <w:tc>
          <w:tcPr>
            <w:tcW w:w="4260" w:type="dxa"/>
            <w:vAlign w:val="bottom"/>
          </w:tcPr>
          <w:p>
            <w:pPr>
              <w:spacing w:after="0" w:line="206" w:lineRule="exact"/>
              <w:rPr>
                <w:sz w:val="20"/>
                <w:szCs w:val="20"/>
                <w:color w:val="auto"/>
              </w:rPr>
            </w:pPr>
            <w:r>
              <w:rPr>
                <w:rFonts w:ascii="Arial" w:cs="Arial" w:eastAsia="Arial" w:hAnsi="Arial"/>
                <w:sz w:val="19"/>
                <w:szCs w:val="19"/>
                <w:color w:val="auto"/>
              </w:rPr>
              <w:t>Amounts reclassified from accumulated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4260" w:type="dxa"/>
            <w:vAlign w:val="bottom"/>
          </w:tcPr>
          <w:p>
            <w:pPr>
              <w:ind w:left="140"/>
              <w:spacing w:after="0"/>
              <w:rPr>
                <w:sz w:val="20"/>
                <w:szCs w:val="20"/>
                <w:color w:val="auto"/>
              </w:rPr>
            </w:pPr>
            <w:r>
              <w:rPr>
                <w:rFonts w:ascii="Arial" w:cs="Arial" w:eastAsia="Arial" w:hAnsi="Arial"/>
                <w:sz w:val="19"/>
                <w:szCs w:val="19"/>
                <w:color w:val="auto"/>
              </w:rPr>
              <w:t>other comprehensive loss,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8,210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604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8,814</w:t>
            </w:r>
          </w:p>
        </w:tc>
        <w:tc>
          <w:tcPr>
            <w:tcW w:w="120" w:type="dxa"/>
            <w:vAlign w:val="bottom"/>
          </w:tcPr>
          <w:p>
            <w:pPr>
              <w:spacing w:after="0"/>
              <w:rPr>
                <w:sz w:val="20"/>
                <w:szCs w:val="20"/>
                <w:color w:val="auto"/>
              </w:rPr>
            </w:pPr>
          </w:p>
        </w:tc>
      </w:tr>
      <w:tr>
        <w:trPr>
          <w:trHeight w:val="222"/>
        </w:trPr>
        <w:tc>
          <w:tcPr>
            <w:tcW w:w="4260" w:type="dxa"/>
            <w:vAlign w:val="bottom"/>
            <w:tcBorders>
              <w:top w:val="single" w:sz="8" w:color="CFF2FA"/>
              <w:bottom w:val="single" w:sz="8" w:color="CFF2FA"/>
            </w:tcBorders>
            <w:shd w:val="clear" w:color="auto" w:fill="CFF2FA"/>
          </w:tcPr>
          <w:p>
            <w:pPr>
              <w:spacing w:after="0"/>
              <w:rPr>
                <w:sz w:val="20"/>
                <w:szCs w:val="20"/>
                <w:color w:val="auto"/>
              </w:rPr>
            </w:pPr>
            <w:r>
              <w:rPr>
                <w:rFonts w:ascii="Arial" w:cs="Arial" w:eastAsia="Arial" w:hAnsi="Arial"/>
                <w:sz w:val="19"/>
                <w:szCs w:val="19"/>
                <w:color w:val="auto"/>
              </w:rPr>
              <w:t>Balance at end of period</w:t>
            </w:r>
          </w:p>
        </w:tc>
        <w:tc>
          <w:tcPr>
            <w:tcW w:w="70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(133,295)</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160" w:type="dxa"/>
            <w:vAlign w:val="bottom"/>
            <w:tcBorders>
              <w:top w:val="single" w:sz="8" w:color="CFF2FA"/>
              <w:bottom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(1,470)</w:t>
            </w:r>
          </w:p>
        </w:tc>
        <w:tc>
          <w:tcPr>
            <w:tcW w:w="28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top w:val="single" w:sz="8" w:color="CFF2FA"/>
              <w:bottom w:val="single" w:sz="8" w:color="CFF2FA"/>
            </w:tcBorders>
            <w:shd w:val="clear" w:color="auto" w:fill="CFF2FA"/>
          </w:tcPr>
          <w:p>
            <w:pPr>
              <w:spacing w:after="0"/>
              <w:rPr>
                <w:sz w:val="19"/>
                <w:szCs w:val="19"/>
                <w:color w:val="auto"/>
              </w:rPr>
            </w:pPr>
          </w:p>
        </w:tc>
        <w:tc>
          <w:tcPr>
            <w:tcW w:w="2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(134,765)</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7"/>
        </w:trPr>
        <w:tc>
          <w:tcPr>
            <w:tcW w:w="4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9"/>
                <w:szCs w:val="19"/>
                <w:color w:val="auto"/>
                <w:w w:val="89"/>
              </w:rPr>
              <w:t>Nine Months Ended September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20" w:type="dxa"/>
            <w:vAlign w:val="bottom"/>
            <w:gridSpan w:val="2"/>
          </w:tcPr>
          <w:p>
            <w:pPr>
              <w:jc w:val="right"/>
              <w:ind w:right="60"/>
              <w:spacing w:after="0"/>
              <w:rPr>
                <w:sz w:val="20"/>
                <w:szCs w:val="20"/>
                <w:color w:val="auto"/>
              </w:rPr>
            </w:pPr>
            <w:r>
              <w:rPr>
                <w:rFonts w:ascii="Arial" w:cs="Arial" w:eastAsia="Arial" w:hAnsi="Arial"/>
                <w:sz w:val="19"/>
                <w:szCs w:val="19"/>
                <w:color w:val="auto"/>
              </w:rPr>
              <w:t>(128,802)</w:t>
            </w:r>
          </w:p>
        </w:tc>
        <w:tc>
          <w:tcPr>
            <w:tcW w:w="340" w:type="dxa"/>
            <w:vAlign w:val="bottom"/>
            <w:gridSpan w:val="2"/>
          </w:tcPr>
          <w:p>
            <w:pPr>
              <w:jc w:val="right"/>
              <w:ind w:right="27"/>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9"/>
                <w:szCs w:val="19"/>
                <w:color w:val="auto"/>
              </w:rPr>
              <w:t>(22)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9"/>
                <w:szCs w:val="19"/>
                <w:color w:val="auto"/>
              </w:rPr>
              <w:t>(280)</w:t>
            </w:r>
          </w:p>
        </w:tc>
        <w:tc>
          <w:tcPr>
            <w:tcW w:w="12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(129,104)</w:t>
            </w:r>
          </w:p>
        </w:tc>
        <w:tc>
          <w:tcPr>
            <w:tcW w:w="120" w:type="dxa"/>
            <w:vAlign w:val="bottom"/>
          </w:tcPr>
          <w:p>
            <w:pPr>
              <w:spacing w:after="0"/>
              <w:rPr>
                <w:sz w:val="19"/>
                <w:szCs w:val="19"/>
                <w:color w:val="auto"/>
              </w:rPr>
            </w:pPr>
          </w:p>
        </w:tc>
      </w:tr>
      <w:tr>
        <w:trPr>
          <w:trHeight w:val="206"/>
        </w:trPr>
        <w:tc>
          <w:tcPr>
            <w:tcW w:w="4260" w:type="dxa"/>
            <w:vAlign w:val="bottom"/>
            <w:shd w:val="clear" w:color="auto" w:fill="CFF2FA"/>
          </w:tcPr>
          <w:p>
            <w:pPr>
              <w:spacing w:after="0" w:line="206" w:lineRule="exact"/>
              <w:rPr>
                <w:sz w:val="20"/>
                <w:szCs w:val="20"/>
                <w:color w:val="auto"/>
              </w:rPr>
            </w:pPr>
            <w:r>
              <w:rPr>
                <w:rFonts w:ascii="Arial" w:cs="Arial" w:eastAsia="Arial" w:hAnsi="Arial"/>
                <w:sz w:val="19"/>
                <w:szCs w:val="19"/>
                <w:color w:val="auto"/>
              </w:rPr>
              <w:t>Other comprehensive loss before</w:t>
            </w:r>
          </w:p>
        </w:tc>
        <w:tc>
          <w:tcPr>
            <w:tcW w:w="70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130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160" w:type="dxa"/>
            <w:vAlign w:val="bottom"/>
            <w:shd w:val="clear" w:color="auto" w:fill="CFF2FA"/>
          </w:tcPr>
          <w:p>
            <w:pPr>
              <w:spacing w:after="0"/>
              <w:rPr>
                <w:sz w:val="17"/>
                <w:szCs w:val="17"/>
                <w:color w:val="auto"/>
              </w:rPr>
            </w:pPr>
          </w:p>
        </w:tc>
        <w:tc>
          <w:tcPr>
            <w:tcW w:w="180" w:type="dxa"/>
            <w:vAlign w:val="bottom"/>
            <w:shd w:val="clear" w:color="auto" w:fill="CFF2FA"/>
          </w:tcPr>
          <w:p>
            <w:pPr>
              <w:spacing w:after="0"/>
              <w:rPr>
                <w:sz w:val="17"/>
                <w:szCs w:val="17"/>
                <w:color w:val="auto"/>
              </w:rPr>
            </w:pPr>
          </w:p>
        </w:tc>
        <w:tc>
          <w:tcPr>
            <w:tcW w:w="106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40" w:type="dxa"/>
            <w:vAlign w:val="bottom"/>
            <w:shd w:val="clear" w:color="auto" w:fill="CFF2FA"/>
          </w:tcPr>
          <w:p>
            <w:pPr>
              <w:spacing w:after="0"/>
              <w:rPr>
                <w:sz w:val="17"/>
                <w:szCs w:val="17"/>
                <w:color w:val="auto"/>
              </w:rPr>
            </w:pPr>
          </w:p>
        </w:tc>
        <w:tc>
          <w:tcPr>
            <w:tcW w:w="12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100" w:type="dxa"/>
            <w:vAlign w:val="bottom"/>
            <w:shd w:val="clear" w:color="auto" w:fill="CFF2FA"/>
          </w:tcPr>
          <w:p>
            <w:pPr>
              <w:spacing w:after="0"/>
              <w:rPr>
                <w:sz w:val="17"/>
                <w:szCs w:val="17"/>
                <w:color w:val="auto"/>
              </w:rPr>
            </w:pPr>
          </w:p>
        </w:tc>
        <w:tc>
          <w:tcPr>
            <w:tcW w:w="132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r>
      <w:tr>
        <w:trPr>
          <w:trHeight w:val="237"/>
        </w:trPr>
        <w:tc>
          <w:tcPr>
            <w:tcW w:w="4260" w:type="dxa"/>
            <w:vAlign w:val="bottom"/>
            <w:shd w:val="clear" w:color="auto" w:fill="CFF2FA"/>
          </w:tcPr>
          <w:p>
            <w:pPr>
              <w:ind w:left="140"/>
              <w:spacing w:after="0"/>
              <w:rPr>
                <w:sz w:val="20"/>
                <w:szCs w:val="20"/>
                <w:color w:val="auto"/>
              </w:rPr>
            </w:pPr>
            <w:r>
              <w:rPr>
                <w:rFonts w:ascii="Arial" w:cs="Arial" w:eastAsia="Arial" w:hAnsi="Arial"/>
                <w:sz w:val="19"/>
                <w:szCs w:val="19"/>
                <w:color w:val="auto"/>
              </w:rPr>
              <w:t>reclassifications, net of tax</w:t>
            </w:r>
          </w:p>
        </w:tc>
        <w:tc>
          <w:tcPr>
            <w:tcW w:w="7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420" w:type="dxa"/>
            <w:vAlign w:val="bottom"/>
            <w:gridSpan w:val="2"/>
            <w:shd w:val="clear" w:color="auto" w:fill="CFF2FA"/>
          </w:tcPr>
          <w:p>
            <w:pPr>
              <w:jc w:val="right"/>
              <w:ind w:right="120"/>
              <w:spacing w:after="0"/>
              <w:rPr>
                <w:sz w:val="20"/>
                <w:szCs w:val="20"/>
                <w:color w:val="auto"/>
              </w:rPr>
            </w:pPr>
            <w:r>
              <w:rPr>
                <w:rFonts w:ascii="Arial" w:cs="Arial" w:eastAsia="Arial" w:hAnsi="Arial"/>
                <w:sz w:val="19"/>
                <w:szCs w:val="19"/>
                <w:color w:val="auto"/>
              </w:rPr>
              <w:t>—</w:t>
            </w:r>
          </w:p>
        </w:tc>
        <w:tc>
          <w:tcPr>
            <w:tcW w:w="16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220"/>
              <w:spacing w:after="0"/>
              <w:rPr>
                <w:sz w:val="20"/>
                <w:szCs w:val="20"/>
                <w:color w:val="auto"/>
              </w:rPr>
            </w:pPr>
            <w:r>
              <w:rPr>
                <w:rFonts w:ascii="Arial" w:cs="Arial" w:eastAsia="Arial" w:hAnsi="Arial"/>
                <w:sz w:val="19"/>
                <w:szCs w:val="19"/>
                <w:color w:val="auto"/>
              </w:rPr>
              <w:t>(698)</w:t>
            </w:r>
          </w:p>
        </w:tc>
        <w:tc>
          <w:tcPr>
            <w:tcW w:w="140" w:type="dxa"/>
            <w:vAlign w:val="bottom"/>
            <w:shd w:val="clear" w:color="auto" w:fill="CFF2FA"/>
          </w:tcPr>
          <w:p>
            <w:pPr>
              <w:spacing w:after="0"/>
              <w:rPr>
                <w:sz w:val="20"/>
                <w:szCs w:val="20"/>
                <w:color w:val="auto"/>
              </w:rPr>
            </w:pPr>
          </w:p>
        </w:tc>
        <w:tc>
          <w:tcPr>
            <w:tcW w:w="1540" w:type="dxa"/>
            <w:vAlign w:val="bottom"/>
            <w:gridSpan w:val="2"/>
            <w:shd w:val="clear" w:color="auto" w:fill="CFF2FA"/>
          </w:tcPr>
          <w:p>
            <w:pPr>
              <w:jc w:val="right"/>
              <w:ind w:right="280"/>
              <w:spacing w:after="0"/>
              <w:rPr>
                <w:sz w:val="20"/>
                <w:szCs w:val="20"/>
                <w:color w:val="auto"/>
              </w:rPr>
            </w:pPr>
            <w:r>
              <w:rPr>
                <w:rFonts w:ascii="Arial" w:cs="Arial" w:eastAsia="Arial" w:hAnsi="Arial"/>
                <w:sz w:val="19"/>
                <w:szCs w:val="19"/>
                <w:color w:val="auto"/>
              </w:rPr>
              <w:t>—</w:t>
            </w: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44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(698)</w:t>
            </w:r>
          </w:p>
        </w:tc>
      </w:tr>
      <w:tr>
        <w:trPr>
          <w:trHeight w:val="206"/>
        </w:trPr>
        <w:tc>
          <w:tcPr>
            <w:tcW w:w="4260" w:type="dxa"/>
            <w:vAlign w:val="bottom"/>
          </w:tcPr>
          <w:p>
            <w:pPr>
              <w:spacing w:after="0" w:line="206" w:lineRule="exact"/>
              <w:rPr>
                <w:sz w:val="20"/>
                <w:szCs w:val="20"/>
                <w:color w:val="auto"/>
              </w:rPr>
            </w:pPr>
            <w:r>
              <w:rPr>
                <w:rFonts w:ascii="Arial" w:cs="Arial" w:eastAsia="Arial" w:hAnsi="Arial"/>
                <w:sz w:val="19"/>
                <w:szCs w:val="19"/>
                <w:color w:val="auto"/>
              </w:rPr>
              <w:t>Amounts reclassified from accumulated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4260" w:type="dxa"/>
            <w:vAlign w:val="bottom"/>
          </w:tcPr>
          <w:p>
            <w:pPr>
              <w:ind w:left="140"/>
              <w:spacing w:after="0"/>
              <w:rPr>
                <w:sz w:val="20"/>
                <w:szCs w:val="20"/>
                <w:color w:val="auto"/>
              </w:rPr>
            </w:pPr>
            <w:r>
              <w:rPr>
                <w:rFonts w:ascii="Arial" w:cs="Arial" w:eastAsia="Arial" w:hAnsi="Arial"/>
                <w:sz w:val="19"/>
                <w:szCs w:val="19"/>
                <w:color w:val="auto"/>
              </w:rPr>
              <w:t>other comprehensive loss,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8,031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280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8,311</w:t>
            </w:r>
          </w:p>
        </w:tc>
        <w:tc>
          <w:tcPr>
            <w:tcW w:w="120" w:type="dxa"/>
            <w:vAlign w:val="bottom"/>
          </w:tcPr>
          <w:p>
            <w:pPr>
              <w:spacing w:after="0"/>
              <w:rPr>
                <w:sz w:val="20"/>
                <w:szCs w:val="20"/>
                <w:color w:val="auto"/>
              </w:rPr>
            </w:pPr>
          </w:p>
        </w:tc>
      </w:tr>
      <w:tr>
        <w:trPr>
          <w:trHeight w:val="222"/>
        </w:trPr>
        <w:tc>
          <w:tcPr>
            <w:tcW w:w="426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(loss), net of tax</w:t>
            </w:r>
          </w:p>
        </w:tc>
        <w:tc>
          <w:tcPr>
            <w:tcW w:w="7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8,031</w:t>
            </w:r>
          </w:p>
        </w:tc>
        <w:tc>
          <w:tcPr>
            <w:tcW w:w="12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spacing w:after="0"/>
              <w:rPr>
                <w:sz w:val="19"/>
                <w:szCs w:val="19"/>
                <w:color w:val="auto"/>
              </w:rPr>
            </w:pP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(698)</w:t>
            </w:r>
          </w:p>
        </w:tc>
        <w:tc>
          <w:tcPr>
            <w:tcW w:w="28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2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280</w:t>
            </w:r>
          </w:p>
        </w:tc>
        <w:tc>
          <w:tcPr>
            <w:tcW w:w="26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7,613</w:t>
            </w:r>
          </w:p>
        </w:tc>
        <w:tc>
          <w:tcPr>
            <w:tcW w:w="120" w:type="dxa"/>
            <w:vAlign w:val="bottom"/>
            <w:tcBorders>
              <w:top w:val="single" w:sz="8" w:color="CFF2FA"/>
            </w:tcBorders>
            <w:shd w:val="clear" w:color="auto" w:fill="CFF2FA"/>
          </w:tcPr>
          <w:p>
            <w:pPr>
              <w:spacing w:after="0"/>
              <w:rPr>
                <w:sz w:val="19"/>
                <w:szCs w:val="19"/>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(120,771)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(720)</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(121,491)</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0"/>
                <w:szCs w:val="20"/>
                <w:i w:val="1"/>
                <w:iCs w:val="1"/>
                <w:color w:val="auto"/>
                <w:w w:val="90"/>
              </w:rPr>
              <w:t>(Dollars in Thousands)</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8"/>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center"/>
              <w:ind w:right="340"/>
              <w:spacing w:after="0" w:line="218" w:lineRule="exact"/>
              <w:rPr>
                <w:sz w:val="20"/>
                <w:szCs w:val="20"/>
                <w:color w:val="auto"/>
              </w:rPr>
            </w:pPr>
            <w:r>
              <w:rPr>
                <w:rFonts w:ascii="Arial" w:cs="Arial" w:eastAsia="Arial" w:hAnsi="Arial"/>
                <w:sz w:val="20"/>
                <w:szCs w:val="20"/>
                <w:color w:val="auto"/>
                <w:w w:val="91"/>
              </w:rPr>
              <w:t>Unamortized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89"/>
              </w:rPr>
              <w:t>Value of</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88"/>
              </w:rPr>
              <w:t>Terminated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420"/>
              <w:spacing w:after="0" w:line="229" w:lineRule="exact"/>
              <w:rPr>
                <w:sz w:val="20"/>
                <w:szCs w:val="20"/>
                <w:color w:val="auto"/>
              </w:rPr>
            </w:pPr>
            <w:r>
              <w:rPr>
                <w:rFonts w:ascii="Arial" w:cs="Arial" w:eastAsia="Arial" w:hAnsi="Arial"/>
                <w:sz w:val="20"/>
                <w:szCs w:val="20"/>
                <w:color w:val="auto"/>
                <w:w w:val="86"/>
              </w:rPr>
              <w:t>Pension and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90"/>
              </w:rPr>
              <w:t>Forward Starting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center"/>
              <w:ind w:right="440"/>
              <w:spacing w:after="0" w:line="229" w:lineRule="exact"/>
              <w:rPr>
                <w:sz w:val="20"/>
                <w:szCs w:val="20"/>
                <w:color w:val="auto"/>
              </w:rPr>
            </w:pPr>
            <w:r>
              <w:rPr>
                <w:rFonts w:ascii="Arial" w:cs="Arial" w:eastAsia="Arial" w:hAnsi="Arial"/>
                <w:sz w:val="20"/>
                <w:szCs w:val="20"/>
                <w:color w:val="auto"/>
                <w:w w:val="89"/>
              </w:rPr>
              <w:t>Net Noncurrent</w:t>
            </w: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420"/>
              <w:spacing w:after="0" w:line="229" w:lineRule="exact"/>
              <w:rPr>
                <w:sz w:val="20"/>
                <w:szCs w:val="20"/>
                <w:color w:val="auto"/>
              </w:rPr>
            </w:pPr>
            <w:r>
              <w:rPr>
                <w:rFonts w:ascii="Arial" w:cs="Arial" w:eastAsia="Arial" w:hAnsi="Arial"/>
                <w:sz w:val="20"/>
                <w:szCs w:val="20"/>
                <w:color w:val="auto"/>
                <w:w w:val="89"/>
              </w:rPr>
              <w:t>Postretirement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40"/>
              <w:spacing w:after="0" w:line="229" w:lineRule="exact"/>
              <w:rPr>
                <w:sz w:val="20"/>
                <w:szCs w:val="20"/>
                <w:color w:val="auto"/>
              </w:rPr>
            </w:pPr>
            <w:r>
              <w:rPr>
                <w:rFonts w:ascii="Arial" w:cs="Arial" w:eastAsia="Arial" w:hAnsi="Arial"/>
                <w:sz w:val="20"/>
                <w:szCs w:val="20"/>
                <w:color w:val="auto"/>
                <w:w w:val="87"/>
              </w:rPr>
              <w:t>Interest Rate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center"/>
              <w:ind w:right="420"/>
              <w:spacing w:after="0" w:line="229" w:lineRule="exact"/>
              <w:rPr>
                <w:sz w:val="20"/>
                <w:szCs w:val="20"/>
                <w:color w:val="auto"/>
              </w:rPr>
            </w:pPr>
            <w:r>
              <w:rPr>
                <w:rFonts w:ascii="Arial" w:cs="Arial" w:eastAsia="Arial" w:hAnsi="Arial"/>
                <w:sz w:val="20"/>
                <w:szCs w:val="20"/>
                <w:color w:val="auto"/>
                <w:w w:val="89"/>
              </w:rPr>
              <w:t>Deferred Tax</w:t>
            </w:r>
          </w:p>
        </w:tc>
      </w:tr>
      <w:tr>
        <w:trPr>
          <w:trHeight w:val="245"/>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88"/>
              </w:rPr>
              <w:t>Benefit Plans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7"/>
              </w:rPr>
              <w:t>Swap</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222"/>
              <w:spacing w:after="0"/>
              <w:rPr>
                <w:sz w:val="20"/>
                <w:szCs w:val="20"/>
                <w:color w:val="auto"/>
              </w:rPr>
            </w:pPr>
            <w:r>
              <w:rPr>
                <w:rFonts w:ascii="Arial" w:cs="Arial" w:eastAsia="Arial" w:hAnsi="Arial"/>
                <w:sz w:val="20"/>
                <w:szCs w:val="20"/>
                <w:color w:val="auto"/>
                <w:w w:val="83"/>
              </w:rPr>
              <w:t>Assets</w:t>
            </w:r>
          </w:p>
        </w:tc>
        <w:tc>
          <w:tcPr>
            <w:tcW w:w="120" w:type="dxa"/>
            <w:vAlign w:val="bottom"/>
          </w:tcPr>
          <w:p>
            <w:pPr>
              <w:spacing w:after="0"/>
              <w:rPr>
                <w:sz w:val="21"/>
                <w:szCs w:val="21"/>
                <w:color w:val="auto"/>
              </w:rPr>
            </w:pPr>
          </w:p>
        </w:tc>
      </w:tr>
      <w:tr>
        <w:trPr>
          <w:trHeight w:val="477"/>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8"/>
          </w:tcPr>
          <w:p>
            <w:pPr>
              <w:jc w:val="center"/>
              <w:ind w:left="1282"/>
              <w:spacing w:after="0"/>
              <w:rPr>
                <w:sz w:val="20"/>
                <w:szCs w:val="20"/>
                <w:color w:val="auto"/>
              </w:rPr>
            </w:pPr>
            <w:r>
              <w:rPr>
                <w:rFonts w:ascii="Arial" w:cs="Arial" w:eastAsia="Arial" w:hAnsi="Arial"/>
                <w:sz w:val="20"/>
                <w:szCs w:val="20"/>
                <w:color w:val="auto"/>
                <w:w w:val="88"/>
              </w:rPr>
              <w:t>Three Months Ended September 30, 2019</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82,417</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00" w:type="dxa"/>
            <w:vAlign w:val="bottom"/>
            <w:gridSpan w:val="2"/>
            <w:shd w:val="clear" w:color="auto" w:fill="CFF0FC"/>
          </w:tcPr>
          <w:p>
            <w:pPr>
              <w:jc w:val="right"/>
              <w:ind w:right="102"/>
              <w:spacing w:after="0"/>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82,417</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rPr>
              <w:t>(899)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20"/>
                <w:szCs w:val="20"/>
                <w:color w:val="auto"/>
              </w:rPr>
              <w:t>(899)</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81,518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81,518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8"/>
          </w:tcPr>
          <w:p>
            <w:pPr>
              <w:jc w:val="center"/>
              <w:ind w:left="1282"/>
              <w:spacing w:after="0"/>
              <w:rPr>
                <w:sz w:val="20"/>
                <w:szCs w:val="20"/>
                <w:color w:val="auto"/>
              </w:rPr>
            </w:pPr>
            <w:r>
              <w:rPr>
                <w:rFonts w:ascii="Arial" w:cs="Arial" w:eastAsia="Arial" w:hAnsi="Arial"/>
                <w:sz w:val="20"/>
                <w:szCs w:val="20"/>
                <w:color w:val="auto"/>
                <w:w w:val="88"/>
              </w:rPr>
              <w:t>Three Months Ended September 30, 2018</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00" w:type="dxa"/>
            <w:vAlign w:val="bottom"/>
            <w:gridSpan w:val="2"/>
            <w:shd w:val="clear" w:color="auto" w:fill="CFF0FC"/>
          </w:tcPr>
          <w:p>
            <w:pPr>
              <w:jc w:val="right"/>
              <w:ind w:right="102"/>
              <w:spacing w:after="0"/>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rPr>
              <w:t>(1,326)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20"/>
                <w:szCs w:val="20"/>
                <w:color w:val="auto"/>
              </w:rPr>
              <w:t>(1,326)</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8"/>
          </w:tcPr>
          <w:p>
            <w:pPr>
              <w:jc w:val="center"/>
              <w:ind w:left="1282"/>
              <w:spacing w:after="0"/>
              <w:rPr>
                <w:sz w:val="20"/>
                <w:szCs w:val="20"/>
                <w:color w:val="auto"/>
              </w:rPr>
            </w:pPr>
            <w:r>
              <w:rPr>
                <w:rFonts w:ascii="Arial" w:cs="Arial" w:eastAsia="Arial" w:hAnsi="Arial"/>
                <w:sz w:val="20"/>
                <w:szCs w:val="20"/>
                <w:color w:val="auto"/>
                <w:w w:val="88"/>
              </w:rPr>
              <w:t>Nine Months Ended September 30, 2019</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84,207</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00" w:type="dxa"/>
            <w:vAlign w:val="bottom"/>
            <w:gridSpan w:val="2"/>
            <w:shd w:val="clear" w:color="auto" w:fill="CFF0FC"/>
          </w:tcPr>
          <w:p>
            <w:pPr>
              <w:jc w:val="right"/>
              <w:ind w:right="102"/>
              <w:spacing w:after="0"/>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84,207</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rPr>
              <w:t>(2,689)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20"/>
                <w:szCs w:val="20"/>
                <w:color w:val="auto"/>
              </w:rPr>
              <w:t>(2,689)</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81,518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81,518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8"/>
          </w:tcPr>
          <w:p>
            <w:pPr>
              <w:jc w:val="center"/>
              <w:ind w:left="1282"/>
              <w:spacing w:after="0"/>
              <w:rPr>
                <w:sz w:val="20"/>
                <w:szCs w:val="20"/>
                <w:color w:val="auto"/>
              </w:rPr>
            </w:pPr>
            <w:r>
              <w:rPr>
                <w:rFonts w:ascii="Arial" w:cs="Arial" w:eastAsia="Arial" w:hAnsi="Arial"/>
                <w:sz w:val="20"/>
                <w:szCs w:val="20"/>
                <w:color w:val="auto"/>
                <w:w w:val="88"/>
              </w:rPr>
              <w:t>Nine Months Ended September 30, 2018</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79,938</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02"/>
              <w:spacing w:after="0"/>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80,116</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rPr>
              <w:t>(2,645)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20"/>
                <w:szCs w:val="20"/>
                <w:color w:val="auto"/>
              </w:rPr>
              <w:t>(178)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20"/>
                <w:szCs w:val="20"/>
                <w:color w:val="auto"/>
              </w:rPr>
              <w:t>(2,823)</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jc w:val="center"/>
              <w:ind w:left="22"/>
              <w:spacing w:after="0"/>
              <w:rPr>
                <w:sz w:val="20"/>
                <w:szCs w:val="20"/>
                <w:color w:val="auto"/>
              </w:rPr>
            </w:pPr>
            <w:r>
              <w:rPr>
                <w:rFonts w:ascii="Arial" w:cs="Arial" w:eastAsia="Arial" w:hAnsi="Arial"/>
                <w:sz w:val="20"/>
                <w:szCs w:val="20"/>
                <w:color w:val="auto"/>
                <w:w w:val="91"/>
              </w:rPr>
              <w:t>Affected line items in the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20"/>
                <w:szCs w:val="20"/>
                <w:color w:val="auto"/>
                <w:w w:val="92"/>
              </w:rPr>
              <w:t>Three Months Ended</w:t>
            </w:r>
          </w:p>
        </w:tc>
        <w:tc>
          <w:tcPr>
            <w:tcW w:w="200" w:type="dxa"/>
            <w:vAlign w:val="bottom"/>
          </w:tcPr>
          <w:p>
            <w:pPr>
              <w:spacing w:after="0"/>
              <w:rPr>
                <w:sz w:val="21"/>
                <w:szCs w:val="21"/>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20"/>
                <w:szCs w:val="20"/>
                <w:color w:val="auto"/>
                <w:w w:val="94"/>
              </w:rPr>
              <w:t>Nine Months Ended</w:t>
            </w:r>
          </w:p>
        </w:tc>
        <w:tc>
          <w:tcPr>
            <w:tcW w:w="3120" w:type="dxa"/>
            <w:vAlign w:val="bottom"/>
          </w:tcPr>
          <w:p>
            <w:pPr>
              <w:jc w:val="center"/>
              <w:ind w:left="22"/>
              <w:spacing w:after="0"/>
              <w:rPr>
                <w:sz w:val="20"/>
                <w:szCs w:val="20"/>
                <w:color w:val="auto"/>
              </w:rPr>
            </w:pPr>
            <w:r>
              <w:rPr>
                <w:rFonts w:ascii="Arial" w:cs="Arial" w:eastAsia="Arial" w:hAnsi="Arial"/>
                <w:sz w:val="20"/>
                <w:szCs w:val="20"/>
                <w:color w:val="auto"/>
                <w:w w:val="89"/>
              </w:rPr>
              <w:t>consolidated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20"/>
                <w:szCs w:val="20"/>
                <w:color w:val="auto"/>
              </w:rPr>
              <w:t>September 30,</w:t>
            </w:r>
          </w:p>
        </w:tc>
        <w:tc>
          <w:tcPr>
            <w:tcW w:w="200" w:type="dxa"/>
            <w:vAlign w:val="bottom"/>
          </w:tcPr>
          <w:p>
            <w:pPr>
              <w:spacing w:after="0"/>
              <w:rPr>
                <w:sz w:val="21"/>
                <w:szCs w:val="21"/>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20"/>
                <w:szCs w:val="20"/>
                <w:color w:val="auto"/>
              </w:rPr>
              <w:t>September 30,</w:t>
            </w:r>
          </w:p>
        </w:tc>
        <w:tc>
          <w:tcPr>
            <w:tcW w:w="3120" w:type="dxa"/>
            <w:vAlign w:val="bottom"/>
          </w:tcPr>
          <w:p>
            <w:pPr>
              <w:jc w:val="center"/>
              <w:ind w:left="22"/>
              <w:spacing w:after="0"/>
              <w:rPr>
                <w:sz w:val="20"/>
                <w:szCs w:val="20"/>
                <w:color w:val="auto"/>
              </w:rPr>
            </w:pPr>
            <w:r>
              <w:rPr>
                <w:rFonts w:ascii="Arial" w:cs="Arial" w:eastAsia="Arial" w:hAnsi="Arial"/>
                <w:sz w:val="20"/>
                <w:szCs w:val="20"/>
                <w:color w:val="auto"/>
                <w:w w:val="86"/>
              </w:rPr>
              <w:t>statements of earnings and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20"/>
                <w:szCs w:val="20"/>
                <w:color w:val="auto"/>
              </w:rPr>
              <w:t>2019</w:t>
            </w: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20"/>
                <w:szCs w:val="20"/>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0"/>
                <w:szCs w:val="20"/>
                <w:color w:val="auto"/>
              </w:rPr>
            </w:pPr>
          </w:p>
        </w:tc>
        <w:tc>
          <w:tcPr>
            <w:tcW w:w="3120" w:type="dxa"/>
            <w:vAlign w:val="bottom"/>
            <w:tcBorders>
              <w:bottom w:val="single" w:sz="8" w:color="auto"/>
            </w:tcBorders>
          </w:tcPr>
          <w:p>
            <w:pPr>
              <w:jc w:val="center"/>
              <w:ind w:left="22"/>
              <w:spacing w:after="0"/>
              <w:rPr>
                <w:sz w:val="20"/>
                <w:szCs w:val="20"/>
                <w:color w:val="auto"/>
              </w:rPr>
            </w:pPr>
            <w:r>
              <w:rPr>
                <w:rFonts w:ascii="Arial" w:cs="Arial" w:eastAsia="Arial" w:hAnsi="Arial"/>
                <w:sz w:val="20"/>
                <w:szCs w:val="20"/>
                <w:color w:val="auto"/>
                <w:w w:val="88"/>
              </w:rPr>
              <w:t>comprehensive earnings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right"/>
              <w:ind w:right="32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Pension and postretirement benefit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plans</w:t>
            </w: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Settlement expense</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2,692</w:t>
            </w:r>
          </w:p>
        </w:tc>
        <w:tc>
          <w:tcPr>
            <w:tcW w:w="24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2,692</w:t>
            </w:r>
          </w:p>
        </w:tc>
        <w:tc>
          <w:tcPr>
            <w:tcW w:w="1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Amortization of:</w:t>
            </w: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tcPr>
          <w:p>
            <w:pPr>
              <w:ind w:left="480"/>
              <w:spacing w:after="0"/>
              <w:rPr>
                <w:sz w:val="20"/>
                <w:szCs w:val="20"/>
                <w:color w:val="auto"/>
              </w:rPr>
            </w:pPr>
            <w:r>
              <w:rPr>
                <w:rFonts w:ascii="Arial" w:cs="Arial" w:eastAsia="Arial" w:hAnsi="Arial"/>
                <w:sz w:val="20"/>
                <w:szCs w:val="20"/>
                <w:color w:val="auto"/>
              </w:rPr>
              <w:t>Prior service credit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(188)</w:t>
            </w: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(492)</w:t>
            </w: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0"/>
                <w:szCs w:val="20"/>
                <w:color w:val="auto"/>
              </w:rPr>
              <w:t>(566)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auto"/>
              </w:rPr>
              <w:t>(1,479)</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Actuarial loss</w:t>
            </w:r>
          </w:p>
        </w:tc>
        <w:tc>
          <w:tcPr>
            <w:tcW w:w="4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3,813</w:t>
            </w:r>
          </w:p>
        </w:tc>
        <w:tc>
          <w:tcPr>
            <w:tcW w:w="2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3,153</w:t>
            </w:r>
          </w:p>
        </w:tc>
        <w:tc>
          <w:tcPr>
            <w:tcW w:w="2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11,465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9,463</w:t>
            </w:r>
          </w:p>
        </w:tc>
        <w:tc>
          <w:tcPr>
            <w:tcW w:w="12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ind w:left="120"/>
              <w:spacing w:after="0" w:line="218" w:lineRule="exact"/>
              <w:rPr>
                <w:sz w:val="20"/>
                <w:szCs w:val="20"/>
                <w:color w:val="auto"/>
              </w:rPr>
            </w:pPr>
            <w:r>
              <w:rPr>
                <w:rFonts w:ascii="Arial" w:cs="Arial" w:eastAsia="Arial" w:hAnsi="Arial"/>
                <w:sz w:val="20"/>
                <w:szCs w:val="20"/>
                <w:color w:val="auto"/>
              </w:rPr>
              <w:t>Other nonoperating (income) and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3,625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5,353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10,899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10,676</w:t>
            </w:r>
          </w:p>
        </w:tc>
        <w:tc>
          <w:tcPr>
            <w:tcW w:w="120" w:type="dxa"/>
            <w:vAlign w:val="bottom"/>
          </w:tcPr>
          <w:p>
            <w:pPr>
              <w:spacing w:after="0"/>
              <w:rPr>
                <w:sz w:val="21"/>
                <w:szCs w:val="21"/>
                <w:color w:val="auto"/>
              </w:rPr>
            </w:pPr>
          </w:p>
        </w:tc>
        <w:tc>
          <w:tcPr>
            <w:tcW w:w="3120" w:type="dxa"/>
            <w:vAlign w:val="bottom"/>
          </w:tcPr>
          <w:p>
            <w:pPr>
              <w:ind w:left="120"/>
              <w:spacing w:after="0"/>
              <w:rPr>
                <w:sz w:val="20"/>
                <w:szCs w:val="20"/>
                <w:color w:val="auto"/>
              </w:rPr>
            </w:pPr>
            <w:r>
              <w:rPr>
                <w:rFonts w:ascii="Arial" w:cs="Arial" w:eastAsia="Arial" w:hAnsi="Arial"/>
                <w:sz w:val="20"/>
                <w:szCs w:val="20"/>
                <w:color w:val="auto"/>
              </w:rPr>
              <w:t>expense, net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Tax benefit</w:t>
            </w: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(899)</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(1,326)</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(2,689)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(2,645)</w:t>
            </w:r>
          </w:p>
        </w:tc>
        <w:tc>
          <w:tcPr>
            <w:tcW w:w="31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Income tax expense</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40" w:type="dxa"/>
            <w:vAlign w:val="bottom"/>
            <w:tcBorders>
              <w:bottom w:val="single" w:sz="8" w:color="CFF0FC"/>
            </w:tcBorders>
          </w:tcPr>
          <w:p>
            <w:pPr>
              <w:spacing w:after="0"/>
              <w:rPr>
                <w:sz w:val="23"/>
                <w:szCs w:val="23"/>
                <w:color w:val="auto"/>
              </w:rPr>
            </w:pPr>
          </w:p>
        </w:tc>
        <w:tc>
          <w:tcPr>
            <w:tcW w:w="440" w:type="dxa"/>
            <w:vAlign w:val="bottom"/>
            <w:tcBorders>
              <w:bottom w:val="single" w:sz="8" w:color="CFF0FC"/>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2,726</w:t>
            </w:r>
          </w:p>
        </w:tc>
        <w:tc>
          <w:tcPr>
            <w:tcW w:w="240" w:type="dxa"/>
            <w:vAlign w:val="bottom"/>
            <w:tcBorders>
              <w:bottom w:val="single" w:sz="8" w:color="CFF0FC"/>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4,027</w:t>
            </w:r>
          </w:p>
        </w:tc>
        <w:tc>
          <w:tcPr>
            <w:tcW w:w="240" w:type="dxa"/>
            <w:vAlign w:val="bottom"/>
            <w:tcBorders>
              <w:bottom w:val="single" w:sz="8" w:color="CFF0FC"/>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8,210</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8,031</w:t>
            </w:r>
          </w:p>
        </w:tc>
        <w:tc>
          <w:tcPr>
            <w:tcW w:w="120" w:type="dxa"/>
            <w:vAlign w:val="bottom"/>
            <w:tcBorders>
              <w:bottom w:val="single" w:sz="8" w:color="CFF0FC"/>
            </w:tcBorders>
          </w:tcPr>
          <w:p>
            <w:pPr>
              <w:spacing w:after="0"/>
              <w:rPr>
                <w:sz w:val="23"/>
                <w:szCs w:val="23"/>
                <w:color w:val="auto"/>
              </w:rPr>
            </w:pPr>
          </w:p>
        </w:tc>
        <w:tc>
          <w:tcPr>
            <w:tcW w:w="3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140" w:type="dxa"/>
            <w:vAlign w:val="bottom"/>
          </w:tcPr>
          <w:p>
            <w:pPr>
              <w:spacing w:after="0" w:line="225" w:lineRule="exact"/>
              <w:rPr>
                <w:sz w:val="20"/>
                <w:szCs w:val="20"/>
                <w:color w:val="auto"/>
              </w:rPr>
            </w:pPr>
            <w:r>
              <w:rPr>
                <w:rFonts w:ascii="Arial" w:cs="Arial" w:eastAsia="Arial" w:hAnsi="Arial"/>
                <w:sz w:val="20"/>
                <w:szCs w:val="20"/>
                <w:color w:val="auto"/>
              </w:rPr>
              <w:t>Unamortized value of terminated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ind w:left="140"/>
              <w:spacing w:after="0" w:line="229" w:lineRule="exact"/>
              <w:rPr>
                <w:sz w:val="20"/>
                <w:szCs w:val="20"/>
                <w:color w:val="auto"/>
              </w:rPr>
            </w:pPr>
            <w:r>
              <w:rPr>
                <w:rFonts w:ascii="Arial" w:cs="Arial" w:eastAsia="Arial" w:hAnsi="Arial"/>
                <w:sz w:val="20"/>
                <w:szCs w:val="20"/>
                <w:color w:val="auto"/>
              </w:rPr>
              <w:t>forward starting interest rate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ind w:left="140"/>
              <w:spacing w:after="0"/>
              <w:rPr>
                <w:sz w:val="20"/>
                <w:szCs w:val="20"/>
                <w:color w:val="auto"/>
              </w:rPr>
            </w:pPr>
            <w:r>
              <w:rPr>
                <w:rFonts w:ascii="Arial" w:cs="Arial" w:eastAsia="Arial" w:hAnsi="Arial"/>
                <w:sz w:val="20"/>
                <w:szCs w:val="20"/>
                <w:color w:val="auto"/>
              </w:rPr>
              <w:t>swap</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Additional interest expense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458</w:t>
            </w:r>
          </w:p>
        </w:tc>
        <w:tc>
          <w:tcPr>
            <w:tcW w:w="120" w:type="dxa"/>
            <w:vAlign w:val="bottom"/>
            <w:shd w:val="clear" w:color="auto" w:fill="CFF0FC"/>
          </w:tcPr>
          <w:p>
            <w:pPr>
              <w:spacing w:after="0"/>
              <w:rPr>
                <w:sz w:val="21"/>
                <w:szCs w:val="21"/>
                <w:color w:val="auto"/>
              </w:rPr>
            </w:pPr>
          </w:p>
        </w:tc>
        <w:tc>
          <w:tcPr>
            <w:tcW w:w="31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Interest expense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tcPr>
          <w:p>
            <w:pPr>
              <w:ind w:left="240"/>
              <w:spacing w:after="0"/>
              <w:rPr>
                <w:sz w:val="20"/>
                <w:szCs w:val="20"/>
                <w:color w:val="auto"/>
              </w:rPr>
            </w:pPr>
            <w:r>
              <w:rPr>
                <w:rFonts w:ascii="Arial" w:cs="Arial" w:eastAsia="Arial" w:hAnsi="Arial"/>
                <w:sz w:val="20"/>
                <w:szCs w:val="20"/>
                <w:color w:val="auto"/>
              </w:rPr>
              <w:t>Tax benefit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auto"/>
              </w:rPr>
              <w:t>(178)</w:t>
            </w:r>
          </w:p>
        </w:tc>
        <w:tc>
          <w:tcPr>
            <w:tcW w:w="3120" w:type="dxa"/>
            <w:vAlign w:val="bottom"/>
          </w:tcPr>
          <w:p>
            <w:pPr>
              <w:ind w:left="120"/>
              <w:spacing w:after="0"/>
              <w:rPr>
                <w:sz w:val="20"/>
                <w:szCs w:val="20"/>
                <w:color w:val="auto"/>
              </w:rPr>
            </w:pPr>
            <w:r>
              <w:rPr>
                <w:rFonts w:ascii="Arial" w:cs="Arial" w:eastAsia="Arial" w:hAnsi="Arial"/>
                <w:sz w:val="20"/>
                <w:szCs w:val="20"/>
                <w:color w:val="auto"/>
              </w:rPr>
              <w:t>Income tax expense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2" w:lineRule="exact"/>
        <w:rPr>
          <w:sz w:val="20"/>
          <w:szCs w:val="20"/>
          <w:color w:val="auto"/>
        </w:rPr>
      </w:pPr>
    </w:p>
    <w:p>
      <w:pPr>
        <w:jc w:val="both"/>
        <w:ind w:left="380"/>
        <w:spacing w:after="0" w:line="254"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nine months ended September 30, 2019 and 2018, the diluted per-share computations reflect the number of common shares outstanding to include the number of additional shares that would have been outstanding if the potentially dilutive common shares had been issued.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462"/>
              <w:spacing w:after="0"/>
              <w:rPr>
                <w:sz w:val="20"/>
                <w:szCs w:val="20"/>
                <w:color w:val="auto"/>
              </w:rPr>
            </w:pPr>
            <w:r>
              <w:rPr>
                <w:rFonts w:ascii="Arial" w:cs="Arial" w:eastAsia="Arial" w:hAnsi="Arial"/>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722"/>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20"/>
                <w:szCs w:val="20"/>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20"/>
                <w:szCs w:val="20"/>
                <w:color w:val="auto"/>
              </w:rPr>
              <w:t>2018</w:t>
            </w:r>
          </w:p>
        </w:tc>
        <w:tc>
          <w:tcPr>
            <w:tcW w:w="26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20"/>
                <w:szCs w:val="20"/>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5"/>
          </w:tcPr>
          <w:p>
            <w:pPr>
              <w:ind w:left="540"/>
              <w:spacing w:after="0"/>
              <w:rPr>
                <w:sz w:val="20"/>
                <w:szCs w:val="20"/>
                <w:color w:val="auto"/>
              </w:rPr>
            </w:pPr>
            <w:r>
              <w:rPr>
                <w:rFonts w:ascii="Arial" w:cs="Arial" w:eastAsia="Arial" w:hAnsi="Arial"/>
                <w:sz w:val="20"/>
                <w:szCs w:val="20"/>
                <w:i w:val="1"/>
                <w:iCs w:val="1"/>
                <w:color w:val="auto"/>
              </w:rPr>
              <w:t>(In Thousands)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Net earnings attributable to Martin Marietta</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Materials, Inc.</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248,573</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180,221</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480,901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tcPr>
          <w:p>
            <w:pPr>
              <w:spacing w:after="0" w:line="225" w:lineRule="exact"/>
              <w:rPr>
                <w:sz w:val="20"/>
                <w:szCs w:val="20"/>
                <w:color w:val="auto"/>
              </w:rPr>
            </w:pPr>
            <w:r>
              <w:rPr>
                <w:rFonts w:ascii="Arial" w:cs="Arial" w:eastAsia="Arial" w:hAnsi="Arial"/>
                <w:sz w:val="20"/>
                <w:szCs w:val="20"/>
                <w:color w:val="auto"/>
              </w:rPr>
              <w:t>Less: Distributed and undistributed earnings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attributable to unvested awards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886</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FF0FC"/>
          </w:tcPr>
          <w:p>
            <w:pPr>
              <w:spacing w:after="0" w:line="218" w:lineRule="exact"/>
              <w:rPr>
                <w:sz w:val="20"/>
                <w:szCs w:val="20"/>
                <w:color w:val="auto"/>
              </w:rPr>
            </w:pPr>
            <w:r>
              <w:rPr>
                <w:rFonts w:ascii="Arial" w:cs="Arial" w:eastAsia="Arial" w:hAnsi="Arial"/>
                <w:sz w:val="20"/>
                <w:szCs w:val="20"/>
                <w:color w:val="auto"/>
              </w:rPr>
              <w:t>Basic and diluted net earnings available to common</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FF0FC"/>
          </w:tcPr>
          <w:p>
            <w:pPr>
              <w:ind w:left="140"/>
              <w:spacing w:after="0" w:line="229" w:lineRule="exact"/>
              <w:rPr>
                <w:sz w:val="20"/>
                <w:szCs w:val="20"/>
                <w:color w:val="auto"/>
              </w:rPr>
            </w:pPr>
            <w:r>
              <w:rPr>
                <w:rFonts w:ascii="Arial" w:cs="Arial" w:eastAsia="Arial" w:hAnsi="Arial"/>
                <w:sz w:val="20"/>
                <w:szCs w:val="20"/>
                <w:color w:val="auto"/>
              </w:rPr>
              <w:t>shareholders attributable to Martin Marietta</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Materials, Inc.</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248,228</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179,950</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480,015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374,949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62,510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62,552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62,679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63,167</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62,725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63,224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380" w:hanging="373"/>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1" w:lineRule="exact"/>
        <w:rPr>
          <w:rFonts w:ascii="Arial" w:cs="Arial" w:eastAsia="Arial" w:hAnsi="Arial"/>
          <w:sz w:val="20"/>
          <w:szCs w:val="20"/>
          <w:b w:val="1"/>
          <w:bCs w:val="1"/>
          <w:color w:val="auto"/>
        </w:rPr>
      </w:pPr>
    </w:p>
    <w:p>
      <w:pPr>
        <w:jc w:val="both"/>
        <w:ind w:left="380"/>
        <w:spacing w:after="0" w:line="296" w:lineRule="auto"/>
        <w:rPr>
          <w:rFonts w:ascii="Arial" w:cs="Arial" w:eastAsia="Arial" w:hAnsi="Arial"/>
          <w:sz w:val="20"/>
          <w:szCs w:val="20"/>
          <w:b w:val="1"/>
          <w:bCs w:val="1"/>
          <w:color w:val="auto"/>
        </w:rPr>
      </w:pPr>
      <w:r>
        <w:rPr>
          <w:rFonts w:ascii="Arial" w:cs="Arial" w:eastAsia="Arial" w:hAnsi="Arial"/>
          <w:sz w:val="17"/>
          <w:szCs w:val="17"/>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Freight revenues reflect delivery arranged by the Company using a third party on behalf of the customer and are recognized consistently with the timing of the product revenues.</w:t>
      </w:r>
    </w:p>
    <w:p>
      <w:pPr>
        <w:spacing w:after="0" w:line="4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20 months. For product revenues and freight revenues, customer payment terms are generally 30 days from invoice date. Customer payments for the paving operations are based on a contractual billing schedule and are due 30 days from invoice date.</w:t>
      </w:r>
    </w:p>
    <w:p>
      <w:pPr>
        <w:spacing w:after="0" w:line="69"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September 30, 2019 and 2018 were $133.9 million and $111.7 million, respectively, where the remaining periods to complete these obligations ranged from one month to 15 months and one month to 27 months,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Three Months Ended</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color w:val="auto"/>
                <w:w w:val="87"/>
              </w:rPr>
              <w:t>September 30, 2019</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89"/>
              </w:rPr>
              <w:t>Products and Services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color w:val="auto"/>
                <w:w w:val="93"/>
              </w:rPr>
              <w:t>Freight</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color w:val="auto"/>
              </w:rPr>
              <w:t>Total</w:t>
            </w:r>
          </w:p>
        </w:tc>
        <w:tc>
          <w:tcPr>
            <w:tcW w:w="1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5"/>
        </w:trPr>
        <w:tc>
          <w:tcPr>
            <w:tcW w:w="5320" w:type="dxa"/>
            <w:vAlign w:val="bottom"/>
            <w:gridSpan w:val="2"/>
          </w:tcPr>
          <w:p>
            <w:pPr>
              <w:spacing w:after="0"/>
              <w:rPr>
                <w:sz w:val="20"/>
                <w:szCs w:val="20"/>
                <w:color w:val="auto"/>
              </w:rPr>
            </w:pPr>
            <w:r>
              <w:rPr>
                <w:rFonts w:ascii="Arial" w:cs="Arial" w:eastAsia="Arial" w:hAnsi="Arial"/>
                <w:sz w:val="20"/>
                <w:szCs w:val="20"/>
                <w:color w:val="auto"/>
              </w:rPr>
              <w:t>Mid-America Group</w:t>
            </w:r>
          </w:p>
        </w:tc>
        <w:tc>
          <w:tcPr>
            <w:tcW w:w="600" w:type="dxa"/>
            <w:vAlign w:val="bottom"/>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411,045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37,713</w:t>
            </w:r>
          </w:p>
        </w:tc>
        <w:tc>
          <w:tcPr>
            <w:tcW w:w="100" w:type="dxa"/>
            <w:vAlign w:val="bottom"/>
          </w:tcPr>
          <w:p>
            <w:pPr>
              <w:spacing w:after="0"/>
              <w:rPr>
                <w:sz w:val="21"/>
                <w:szCs w:val="21"/>
                <w:color w:val="auto"/>
              </w:rPr>
            </w:pPr>
          </w:p>
        </w:tc>
        <w:tc>
          <w:tcPr>
            <w:tcW w:w="440" w:type="dxa"/>
            <w:vAlign w:val="bottom"/>
            <w:gridSpan w:val="2"/>
          </w:tcPr>
          <w:p>
            <w:pPr>
              <w:jc w:val="right"/>
              <w:ind w:right="263"/>
              <w:spacing w:after="0"/>
              <w:rPr>
                <w:sz w:val="20"/>
                <w:szCs w:val="20"/>
                <w:color w:val="auto"/>
              </w:rPr>
            </w:pPr>
            <w:r>
              <w:rPr>
                <w:rFonts w:ascii="Arial" w:cs="Arial" w:eastAsia="Arial" w:hAnsi="Arial"/>
                <w:sz w:val="20"/>
                <w:szCs w:val="20"/>
                <w:color w:val="auto"/>
                <w:w w:val="71"/>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448,758</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6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129,619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4,519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134,138</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723,162</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49,311</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772,473</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1,263,826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91,543</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1,355,369</w:t>
            </w:r>
          </w:p>
        </w:tc>
        <w:tc>
          <w:tcPr>
            <w:tcW w:w="120" w:type="dxa"/>
            <w:vAlign w:val="bottom"/>
            <w:shd w:val="clear" w:color="auto" w:fill="CFF0FC"/>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59,334</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5,543</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64,877</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1,323,160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97,086</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1,420,246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Three Months Ended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color w:val="auto"/>
                <w:w w:val="87"/>
              </w:rPr>
              <w:t>September 30, 2018</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89"/>
              </w:rPr>
              <w:t>Products and Services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color w:val="auto"/>
                <w:w w:val="93"/>
              </w:rPr>
              <w:t>Freight</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color w:val="auto"/>
              </w:rPr>
              <w:t>Total</w:t>
            </w:r>
          </w:p>
        </w:tc>
        <w:tc>
          <w:tcPr>
            <w:tcW w:w="12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600" w:type="dxa"/>
            <w:vAlign w:val="bottom"/>
            <w:shd w:val="clear" w:color="auto" w:fill="CFF0FC"/>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348,429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28,576</w:t>
            </w: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63"/>
              <w:spacing w:after="0"/>
              <w:rPr>
                <w:sz w:val="20"/>
                <w:szCs w:val="20"/>
                <w:color w:val="auto"/>
              </w:rPr>
            </w:pPr>
            <w:r>
              <w:rPr>
                <w:rFonts w:ascii="Arial" w:cs="Arial" w:eastAsia="Arial" w:hAnsi="Arial"/>
                <w:sz w:val="20"/>
                <w:szCs w:val="2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377,005</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121,661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3,886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125,547</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603,763</w:t>
            </w: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39,802</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643,565</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1,073,853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72,264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1,146,117</w:t>
            </w: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68,365</w:t>
            </w: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5,158</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73,523</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1,142,218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77,422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1,219,640</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7" w:lineRule="exact"/>
        <w:rPr>
          <w:sz w:val="20"/>
          <w:szCs w:val="20"/>
          <w:color w:val="auto"/>
        </w:rPr>
      </w:pPr>
    </w:p>
    <w:p>
      <w:pPr>
        <w:ind w:left="380"/>
        <w:spacing w:after="0" w:line="258" w:lineRule="auto"/>
        <w:rPr>
          <w:sz w:val="20"/>
          <w:szCs w:val="20"/>
          <w:color w:val="auto"/>
        </w:rPr>
      </w:pPr>
      <w:r>
        <w:rPr>
          <w:rFonts w:ascii="Arial" w:cs="Arial" w:eastAsia="Arial" w:hAnsi="Arial"/>
          <w:sz w:val="20"/>
          <w:szCs w:val="20"/>
          <w:color w:val="auto"/>
        </w:rPr>
        <w:t>Service revenues, which include paving operations located in Colorado, were $110.9 million and $82.2 million for the three months ended September 30, 2019 and 2018,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center"/>
              <w:ind w:right="42"/>
              <w:spacing w:after="0"/>
              <w:rPr>
                <w:sz w:val="20"/>
                <w:szCs w:val="20"/>
                <w:color w:val="auto"/>
              </w:rPr>
            </w:pPr>
            <w:r>
              <w:rPr>
                <w:rFonts w:ascii="Arial" w:cs="Arial" w:eastAsia="Arial" w:hAnsi="Arial"/>
                <w:sz w:val="20"/>
                <w:szCs w:val="20"/>
                <w:color w:val="auto"/>
                <w:w w:val="91"/>
              </w:rPr>
              <w:t>Nine Months Ended</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7"/>
              </w:rPr>
              <w:t>September 30, 2019</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89"/>
              </w:rPr>
              <w:t>Products and Services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3"/>
              </w:rPr>
              <w:t>Freight</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color w:val="auto"/>
              </w:rPr>
              <w:t>Total</w:t>
            </w:r>
          </w:p>
        </w:tc>
        <w:tc>
          <w:tcPr>
            <w:tcW w:w="12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600" w:type="dxa"/>
            <w:vAlign w:val="bottom"/>
            <w:shd w:val="clear" w:color="auto" w:fill="CFF0FC"/>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1,024,069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88,828</w:t>
            </w:r>
          </w:p>
        </w:tc>
        <w:tc>
          <w:tcPr>
            <w:tcW w:w="540" w:type="dxa"/>
            <w:vAlign w:val="bottom"/>
            <w:gridSpan w:val="2"/>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1,112,897</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376,967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13,432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390,399</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1,797,677</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122,505</w:t>
            </w:r>
          </w:p>
        </w:tc>
        <w:tc>
          <w:tcPr>
            <w:tcW w:w="10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1,920,182</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3,198,713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224,765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3,423,478</w:t>
            </w: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198,886</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16,304</w:t>
            </w:r>
          </w:p>
        </w:tc>
        <w:tc>
          <w:tcPr>
            <w:tcW w:w="10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215,190</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3,397,599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241,069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3,638,668</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jc w:val="center"/>
              <w:ind w:right="42"/>
              <w:spacing w:after="0"/>
              <w:rPr>
                <w:sz w:val="20"/>
                <w:szCs w:val="20"/>
                <w:color w:val="auto"/>
              </w:rPr>
            </w:pPr>
            <w:r>
              <w:rPr>
                <w:rFonts w:ascii="Arial" w:cs="Arial" w:eastAsia="Arial" w:hAnsi="Arial"/>
                <w:sz w:val="20"/>
                <w:szCs w:val="20"/>
                <w:color w:val="auto"/>
                <w:w w:val="91"/>
              </w:rPr>
              <w:t>Nine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7"/>
              </w:rPr>
              <w:t>September 30, 2018</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89"/>
              </w:rPr>
              <w:t>Products and Services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3"/>
              </w:rPr>
              <w:t>Freight</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color w:val="auto"/>
              </w:rPr>
              <w:t>Total</w:t>
            </w:r>
          </w:p>
        </w:tc>
        <w:tc>
          <w:tcPr>
            <w:tcW w:w="1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5"/>
        </w:trPr>
        <w:tc>
          <w:tcPr>
            <w:tcW w:w="5320" w:type="dxa"/>
            <w:vAlign w:val="bottom"/>
            <w:gridSpan w:val="2"/>
          </w:tcPr>
          <w:p>
            <w:pPr>
              <w:spacing w:after="0"/>
              <w:rPr>
                <w:sz w:val="20"/>
                <w:szCs w:val="20"/>
                <w:color w:val="auto"/>
              </w:rPr>
            </w:pPr>
            <w:r>
              <w:rPr>
                <w:rFonts w:ascii="Arial" w:cs="Arial" w:eastAsia="Arial" w:hAnsi="Arial"/>
                <w:sz w:val="20"/>
                <w:szCs w:val="20"/>
                <w:color w:val="auto"/>
              </w:rPr>
              <w:t>Mid-America Group</w:t>
            </w:r>
          </w:p>
        </w:tc>
        <w:tc>
          <w:tcPr>
            <w:tcW w:w="600" w:type="dxa"/>
            <w:vAlign w:val="bottom"/>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841,897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64,480</w:t>
            </w:r>
          </w:p>
        </w:tc>
        <w:tc>
          <w:tcPr>
            <w:tcW w:w="54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906,377</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6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308,306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10,443</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318,749</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1,672,707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110,467</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1,783,174</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2,822,910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185,390</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3,008,300</w:t>
            </w:r>
          </w:p>
        </w:tc>
        <w:tc>
          <w:tcPr>
            <w:tcW w:w="120" w:type="dxa"/>
            <w:vAlign w:val="bottom"/>
            <w:shd w:val="clear" w:color="auto" w:fill="CFF0FC"/>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201,390</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14,357</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215,747</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3,024,300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199,747</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20"/>
                <w:szCs w:val="20"/>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3,224,047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Service revenues for the nine months ended September 30, 2019 and 2018 were $191.8 million and $162.9 million, respectively.</w:t>
      </w:r>
    </w:p>
    <w:p>
      <w:pPr>
        <w:spacing w:after="0" w:line="117" w:lineRule="exact"/>
        <w:rPr>
          <w:sz w:val="20"/>
          <w:szCs w:val="20"/>
          <w:color w:val="auto"/>
        </w:rPr>
      </w:pPr>
    </w:p>
    <w:p>
      <w:pPr>
        <w:jc w:val="both"/>
        <w:ind w:left="380"/>
        <w:spacing w:after="0" w:line="302" w:lineRule="auto"/>
        <w:rPr>
          <w:sz w:val="20"/>
          <w:szCs w:val="20"/>
          <w:color w:val="auto"/>
        </w:rPr>
      </w:pPr>
      <w:r>
        <w:rPr>
          <w:rFonts w:ascii="Arial" w:cs="Arial" w:eastAsia="Arial" w:hAnsi="Arial"/>
          <w:sz w:val="17"/>
          <w:szCs w:val="17"/>
          <w:b w:val="1"/>
          <w:bCs w:val="1"/>
          <w:i w:val="1"/>
          <w:iCs w:val="1"/>
          <w:color w:val="auto"/>
        </w:rPr>
        <w:t xml:space="preserve">Contract Balances. </w:t>
      </w:r>
      <w:r>
        <w:rPr>
          <w:rFonts w:ascii="Arial" w:cs="Arial" w:eastAsia="Arial" w:hAnsi="Arial"/>
          <w:sz w:val="17"/>
          <w:szCs w:val="17"/>
          <w:color w:val="auto"/>
        </w:rPr>
        <w:t>Costs in excess of billings relate to the conditional right to consideration for completed contractual performance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2440" w:type="dxa"/>
            <w:vAlign w:val="bottom"/>
          </w:tcPr>
          <w:p>
            <w:pPr>
              <w:spacing w:after="0"/>
              <w:rPr>
                <w:sz w:val="21"/>
                <w:szCs w:val="21"/>
                <w:color w:val="auto"/>
              </w:rPr>
            </w:pPr>
          </w:p>
        </w:tc>
        <w:tc>
          <w:tcPr>
            <w:tcW w:w="2160" w:type="dxa"/>
            <w:vAlign w:val="bottom"/>
          </w:tcPr>
          <w:p>
            <w:pPr>
              <w:jc w:val="right"/>
              <w:ind w:right="342"/>
              <w:spacing w:after="0"/>
              <w:rPr>
                <w:sz w:val="20"/>
                <w:szCs w:val="20"/>
                <w:color w:val="auto"/>
              </w:rPr>
            </w:pPr>
            <w:r>
              <w:rPr>
                <w:rFonts w:ascii="Arial" w:cs="Arial" w:eastAsia="Arial" w:hAnsi="Arial"/>
                <w:sz w:val="20"/>
                <w:szCs w:val="20"/>
                <w:color w:val="auto"/>
                <w:w w:val="93"/>
              </w:rPr>
              <w:t>September 30, 2019</w:t>
            </w:r>
          </w:p>
        </w:tc>
        <w:tc>
          <w:tcPr>
            <w:tcW w:w="300" w:type="dxa"/>
            <w:vAlign w:val="bottom"/>
          </w:tcPr>
          <w:p>
            <w:pPr>
              <w:spacing w:after="0"/>
              <w:rPr>
                <w:sz w:val="21"/>
                <w:szCs w:val="21"/>
                <w:color w:val="auto"/>
              </w:rPr>
            </w:pPr>
          </w:p>
        </w:tc>
        <w:tc>
          <w:tcPr>
            <w:tcW w:w="2240" w:type="dxa"/>
            <w:vAlign w:val="bottom"/>
            <w:gridSpan w:val="2"/>
          </w:tcPr>
          <w:p>
            <w:pPr>
              <w:ind w:left="160"/>
              <w:spacing w:after="0"/>
              <w:rPr>
                <w:sz w:val="20"/>
                <w:szCs w:val="20"/>
                <w:color w:val="auto"/>
              </w:rPr>
            </w:pPr>
            <w:r>
              <w:rPr>
                <w:rFonts w:ascii="Arial" w:cs="Arial" w:eastAsia="Arial" w:hAnsi="Arial"/>
                <w:sz w:val="20"/>
                <w:szCs w:val="20"/>
                <w:color w:val="auto"/>
              </w:rPr>
              <w:t>December 31, 2018</w:t>
            </w:r>
          </w:p>
        </w:tc>
      </w:tr>
      <w:tr>
        <w:trPr>
          <w:trHeight w:val="235"/>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4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7,725</w:t>
            </w:r>
          </w:p>
        </w:tc>
        <w:tc>
          <w:tcPr>
            <w:tcW w:w="3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1,975</w:t>
            </w:r>
          </w:p>
        </w:tc>
        <w:tc>
          <w:tcPr>
            <w:tcW w:w="120" w:type="dxa"/>
            <w:vAlign w:val="bottom"/>
            <w:tcBorders>
              <w:top w:val="single" w:sz="8" w:color="CFF0FC"/>
            </w:tcBorders>
            <w:shd w:val="clear" w:color="auto" w:fill="CFF0FC"/>
          </w:tcPr>
          <w:p>
            <w:pPr>
              <w:spacing w:after="0"/>
              <w:rPr>
                <w:sz w:val="20"/>
                <w:szCs w:val="20"/>
                <w:color w:val="auto"/>
              </w:rPr>
            </w:pPr>
          </w:p>
        </w:tc>
      </w:tr>
      <w:tr>
        <w:trPr>
          <w:trHeight w:val="249"/>
        </w:trPr>
        <w:tc>
          <w:tcPr>
            <w:tcW w:w="428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44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8,021</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6,743</w:t>
            </w:r>
          </w:p>
        </w:tc>
        <w:tc>
          <w:tcPr>
            <w:tcW w:w="120" w:type="dxa"/>
            <w:vAlign w:val="bottom"/>
          </w:tcPr>
          <w:p>
            <w:pPr>
              <w:spacing w:after="0"/>
              <w:rPr>
                <w:sz w:val="21"/>
                <w:szCs w:val="21"/>
                <w:color w:val="auto"/>
              </w:rPr>
            </w:pPr>
          </w:p>
        </w:tc>
      </w:tr>
    </w:tbl>
    <w:p>
      <w:pPr>
        <w:spacing w:after="0" w:line="190"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Revenues recognized from the beginning balance of contract liabilities for the three months ended September 30, 2019 and 2018 were $8.0 million and $6.2 million, respectively, and for the nine months ended September 30, 2019 and 2018 were $6.5 million and $6.8 million, respectively.</w:t>
      </w:r>
    </w:p>
    <w:p>
      <w:pPr>
        <w:spacing w:after="0" w:line="79" w:lineRule="exact"/>
        <w:rPr>
          <w:sz w:val="20"/>
          <w:szCs w:val="20"/>
          <w:color w:val="auto"/>
        </w:rPr>
      </w:pPr>
    </w:p>
    <w:p>
      <w:pPr>
        <w:jc w:val="both"/>
        <w:ind w:left="380"/>
        <w:spacing w:after="0" w:line="267" w:lineRule="auto"/>
        <w:rPr>
          <w:sz w:val="20"/>
          <w:szCs w:val="20"/>
          <w:color w:val="auto"/>
        </w:rPr>
      </w:pPr>
      <w:r>
        <w:rPr>
          <w:rFonts w:ascii="Arial" w:cs="Arial" w:eastAsia="Arial" w:hAnsi="Arial"/>
          <w:sz w:val="19"/>
          <w:szCs w:val="19"/>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$11.0 million and $7.5 million at September 30, 2019 and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42" w:lineRule="auto"/>
        <w:rPr>
          <w:sz w:val="20"/>
          <w:szCs w:val="20"/>
          <w:color w:val="auto"/>
        </w:rPr>
      </w:pPr>
      <w:r>
        <w:rPr>
          <w:rFonts w:ascii="Arial" w:cs="Arial" w:eastAsia="Arial" w:hAnsi="Arial"/>
          <w:sz w:val="20"/>
          <w:szCs w:val="20"/>
          <w:b w:val="1"/>
          <w:bCs w:val="1"/>
          <w:i w:val="1"/>
          <w:iCs w:val="1"/>
          <w:color w:val="auto"/>
        </w:rPr>
        <w:t xml:space="preserve">Warranties. </w:t>
      </w:r>
      <w:r>
        <w:rPr>
          <w:rFonts w:ascii="Arial" w:cs="Arial" w:eastAsia="Arial" w:hAnsi="Arial"/>
          <w:sz w:val="20"/>
          <w:szCs w:val="20"/>
          <w:color w:val="auto"/>
        </w:rPr>
        <w:t>The Company’s construction contracts generally contain warranty provisions typically for a period of nine months to one year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after 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 and nine months ended September 30, 2019 and September 30, 2018.</w:t>
      </w:r>
    </w:p>
    <w:p>
      <w:pPr>
        <w:spacing w:after="0" w:line="86"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360" w:type="dxa"/>
            <w:vAlign w:val="bottom"/>
          </w:tcPr>
          <w:p>
            <w:pPr>
              <w:spacing w:after="0"/>
              <w:rPr>
                <w:sz w:val="20"/>
                <w:szCs w:val="20"/>
                <w:color w:val="auto"/>
              </w:rPr>
            </w:pPr>
            <w:r>
              <w:rPr>
                <w:rFonts w:ascii="Arial" w:cs="Arial" w:eastAsia="Arial" w:hAnsi="Arial"/>
                <w:sz w:val="20"/>
                <w:szCs w:val="20"/>
                <w:b w:val="1"/>
                <w:bCs w:val="1"/>
                <w:color w:val="auto"/>
              </w:rPr>
              <w:t>3.  Inventories, Net</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6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ind w:left="60"/>
              <w:spacing w:after="0"/>
              <w:rPr>
                <w:sz w:val="20"/>
                <w:szCs w:val="20"/>
                <w:color w:val="auto"/>
              </w:rPr>
            </w:pPr>
            <w:r>
              <w:rPr>
                <w:rFonts w:ascii="Arial" w:cs="Arial" w:eastAsia="Arial" w:hAnsi="Arial"/>
                <w:sz w:val="20"/>
                <w:szCs w:val="20"/>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20"/>
                <w:szCs w:val="20"/>
                <w:color w:val="auto"/>
                <w:w w:val="95"/>
              </w:rPr>
              <w:t>December 31,</w:t>
            </w:r>
          </w:p>
        </w:tc>
        <w:tc>
          <w:tcPr>
            <w:tcW w:w="0" w:type="dxa"/>
            <w:vAlign w:val="bottom"/>
          </w:tcPr>
          <w:p>
            <w:pPr>
              <w:spacing w:after="0"/>
              <w:rPr>
                <w:sz w:val="1"/>
                <w:szCs w:val="1"/>
                <w:color w:val="auto"/>
              </w:rPr>
            </w:pPr>
          </w:p>
        </w:tc>
      </w:tr>
      <w:tr>
        <w:trPr>
          <w:trHeight w:val="245"/>
        </w:trPr>
        <w:tc>
          <w:tcPr>
            <w:tcW w:w="6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64"/>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4"/>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6"/>
          </w:tcPr>
          <w:p>
            <w:pPr>
              <w:jc w:val="center"/>
              <w:ind w:right="84"/>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605,912</w:t>
            </w:r>
          </w:p>
        </w:tc>
        <w:tc>
          <w:tcPr>
            <w:tcW w:w="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615,719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6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65,928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66,920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6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142,032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139,566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813,872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822,205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6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(164,156)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(159,170)</w:t>
            </w:r>
          </w:p>
        </w:tc>
        <w:tc>
          <w:tcPr>
            <w:tcW w:w="0" w:type="dxa"/>
            <w:vAlign w:val="bottom"/>
          </w:tcPr>
          <w:p>
            <w:pPr>
              <w:spacing w:after="0"/>
              <w:rPr>
                <w:sz w:val="1"/>
                <w:szCs w:val="1"/>
                <w:color w:val="auto"/>
              </w:rPr>
            </w:pPr>
          </w:p>
        </w:tc>
      </w:tr>
      <w:tr>
        <w:trPr>
          <w:trHeight w:val="235"/>
        </w:trPr>
        <w:tc>
          <w:tcPr>
            <w:tcW w:w="6360" w:type="dxa"/>
            <w:vAlign w:val="bottom"/>
          </w:tcPr>
          <w:p>
            <w:pPr>
              <w:spacing w:after="0"/>
              <w:rPr>
                <w:sz w:val="20"/>
                <w:szCs w:val="20"/>
                <w:color w:val="auto"/>
              </w:rPr>
            </w:pPr>
            <w:r>
              <w:rPr>
                <w:rFonts w:ascii="Arial" w:cs="Arial" w:eastAsia="Arial" w:hAnsi="Arial"/>
                <w:sz w:val="20"/>
                <w:szCs w:val="20"/>
                <w:color w:val="auto"/>
              </w:rPr>
              <w:t>Total</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649,716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663,035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20"/>
                <w:szCs w:val="20"/>
                <w:b w:val="1"/>
                <w:bCs w:val="1"/>
                <w:color w:val="auto"/>
              </w:rPr>
              <w:t>4.  Long-Term Debt</w:t>
            </w: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9"/>
                <w:szCs w:val="19"/>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9"/>
                <w:szCs w:val="19"/>
                <w:color w:val="auto"/>
                <w:w w:val="88"/>
              </w:rPr>
              <w:t>December 31,</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2019</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24"/>
              <w:spacing w:after="0"/>
              <w:rPr>
                <w:sz w:val="20"/>
                <w:szCs w:val="20"/>
                <w:color w:val="auto"/>
              </w:rPr>
            </w:pPr>
            <w:r>
              <w:rPr>
                <w:rFonts w:ascii="Arial" w:cs="Arial" w:eastAsia="Arial" w:hAnsi="Arial"/>
                <w:sz w:val="19"/>
                <w:szCs w:val="19"/>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6"/>
          </w:tcPr>
          <w:p>
            <w:pPr>
              <w:jc w:val="right"/>
              <w:ind w:right="1024"/>
              <w:spacing w:after="0"/>
              <w:rPr>
                <w:sz w:val="20"/>
                <w:szCs w:val="20"/>
                <w:color w:val="auto"/>
              </w:rPr>
            </w:pPr>
            <w:r>
              <w:rPr>
                <w:rFonts w:ascii="Arial" w:cs="Arial" w:eastAsia="Arial" w:hAnsi="Arial"/>
                <w:sz w:val="19"/>
                <w:szCs w:val="19"/>
                <w:i w:val="1"/>
                <w:iCs w:val="1"/>
                <w:color w:val="auto"/>
              </w:rPr>
              <w:t>(Dollars 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9"/>
                <w:szCs w:val="19"/>
                <w:color w:val="auto"/>
              </w:rPr>
              <w:t>4.25% Senior Notes, due 2024</w:t>
            </w:r>
          </w:p>
        </w:tc>
        <w:tc>
          <w:tcPr>
            <w:tcW w:w="1480" w:type="dxa"/>
            <w:vAlign w:val="bottom"/>
            <w:gridSpan w:val="2"/>
            <w:shd w:val="clear" w:color="auto" w:fill="CFF0FC"/>
          </w:tcPr>
          <w:p>
            <w:pPr>
              <w:jc w:val="right"/>
              <w:ind w:right="326"/>
              <w:spacing w:after="0"/>
              <w:rPr>
                <w:sz w:val="20"/>
                <w:szCs w:val="20"/>
                <w:color w:val="auto"/>
              </w:rPr>
            </w:pPr>
            <w:r>
              <w:rPr>
                <w:rFonts w:ascii="Arial" w:cs="Arial" w:eastAsia="Arial" w:hAnsi="Arial"/>
                <w:sz w:val="19"/>
                <w:szCs w:val="19"/>
                <w:color w:val="auto"/>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396,849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center"/>
              <w:ind w:right="25"/>
              <w:spacing w:after="0"/>
              <w:rPr>
                <w:sz w:val="20"/>
                <w:szCs w:val="20"/>
                <w:color w:val="auto"/>
              </w:rPr>
            </w:pPr>
            <w:r>
              <w:rPr>
                <w:rFonts w:ascii="Arial" w:cs="Arial" w:eastAsia="Arial" w:hAnsi="Arial"/>
                <w:sz w:val="19"/>
                <w:szCs w:val="19"/>
                <w:color w:val="auto"/>
                <w:w w:val="75"/>
              </w:rPr>
              <w:t>$</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396,398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9"/>
                <w:szCs w:val="19"/>
                <w:color w:val="auto"/>
              </w:rPr>
              <w:t>7% Debentures, due 2025</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124,343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124,272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297,178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495,136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494,765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9"/>
                <w:szCs w:val="19"/>
                <w:color w:val="auto"/>
              </w:rPr>
              <w:t>6.25% Senior Notes, due 2037</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228,142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9"/>
                <w:szCs w:val="19"/>
                <w:color w:val="auto"/>
              </w:rPr>
              <w:t>4.250% Senior Notes, due 2047</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591,669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591,541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FF0FC"/>
          </w:tcPr>
          <w:p>
            <w:pPr>
              <w:spacing w:after="0" w:line="206" w:lineRule="exact"/>
              <w:rPr>
                <w:sz w:val="20"/>
                <w:szCs w:val="20"/>
                <w:color w:val="auto"/>
              </w:rPr>
            </w:pPr>
            <w:r>
              <w:rPr>
                <w:rFonts w:ascii="Arial" w:cs="Arial" w:eastAsia="Arial" w:hAnsi="Arial"/>
                <w:sz w:val="19"/>
                <w:szCs w:val="19"/>
                <w:color w:val="auto"/>
              </w:rPr>
              <w:t>Floating Rate Senior Notes, due 2019, interest rate of 2.66% and 3.29%</w:t>
            </w: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FF0FC"/>
          </w:tcPr>
          <w:p>
            <w:pPr>
              <w:ind w:left="140"/>
              <w:spacing w:after="0"/>
              <w:rPr>
                <w:sz w:val="20"/>
                <w:szCs w:val="20"/>
                <w:color w:val="auto"/>
              </w:rPr>
            </w:pPr>
            <w:r>
              <w:rPr>
                <w:rFonts w:ascii="Arial" w:cs="Arial" w:eastAsia="Arial" w:hAnsi="Arial"/>
                <w:sz w:val="19"/>
                <w:szCs w:val="19"/>
                <w:color w:val="auto"/>
              </w:rPr>
              <w:t>at September 30, 2019 and December 31, 2018, respectively</w:t>
            </w: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299,820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299,260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360" w:type="dxa"/>
            <w:vAlign w:val="bottom"/>
          </w:tcPr>
          <w:p>
            <w:pPr>
              <w:spacing w:after="0" w:line="206" w:lineRule="exact"/>
              <w:rPr>
                <w:sz w:val="20"/>
                <w:szCs w:val="20"/>
                <w:color w:val="auto"/>
              </w:rPr>
            </w:pPr>
            <w:r>
              <w:rPr>
                <w:rFonts w:ascii="Arial" w:cs="Arial" w:eastAsia="Arial" w:hAnsi="Arial"/>
                <w:sz w:val="19"/>
                <w:szCs w:val="19"/>
                <w:color w:val="auto"/>
              </w:rPr>
              <w:t>Floating Rate Senior Notes, due 2020, interest rate of 2.80% and 3.30%</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40"/>
              <w:spacing w:after="0"/>
              <w:rPr>
                <w:sz w:val="20"/>
                <w:szCs w:val="20"/>
                <w:color w:val="auto"/>
              </w:rPr>
            </w:pPr>
            <w:r>
              <w:rPr>
                <w:rFonts w:ascii="Arial" w:cs="Arial" w:eastAsia="Arial" w:hAnsi="Arial"/>
                <w:sz w:val="19"/>
                <w:szCs w:val="19"/>
                <w:color w:val="auto"/>
              </w:rPr>
              <w:t>at September 30, 2019 and December 31, 2018, respectively</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299,508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298,956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FF0FC"/>
          </w:tcPr>
          <w:p>
            <w:pPr>
              <w:spacing w:after="0" w:line="206" w:lineRule="exact"/>
              <w:rPr>
                <w:sz w:val="20"/>
                <w:szCs w:val="20"/>
                <w:color w:val="auto"/>
              </w:rPr>
            </w:pPr>
            <w:r>
              <w:rPr>
                <w:rFonts w:ascii="Arial" w:cs="Arial" w:eastAsia="Arial" w:hAnsi="Arial"/>
                <w:sz w:val="19"/>
                <w:szCs w:val="19"/>
                <w:color w:val="auto"/>
              </w:rPr>
              <w:t>Trade Receivable Facility, interest rate of 2.83% and 3.07% at</w:t>
            </w: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FF0FC"/>
          </w:tcPr>
          <w:p>
            <w:pPr>
              <w:ind w:left="140"/>
              <w:spacing w:after="0"/>
              <w:rPr>
                <w:sz w:val="20"/>
                <w:szCs w:val="20"/>
                <w:color w:val="auto"/>
              </w:rPr>
            </w:pPr>
            <w:r>
              <w:rPr>
                <w:rFonts w:ascii="Arial" w:cs="Arial" w:eastAsia="Arial" w:hAnsi="Arial"/>
                <w:sz w:val="19"/>
                <w:szCs w:val="19"/>
                <w:color w:val="auto"/>
              </w:rPr>
              <w:t>September 30, 2019 and December 31, 2018, respectively</w:t>
            </w: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190,000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6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9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6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2,922,859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3,120,481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360" w:type="dxa"/>
            <w:vAlign w:val="bottom"/>
          </w:tcPr>
          <w:p>
            <w:pPr>
              <w:spacing w:after="0" w:line="206" w:lineRule="exact"/>
              <w:rPr>
                <w:sz w:val="20"/>
                <w:szCs w:val="20"/>
                <w:color w:val="auto"/>
              </w:rPr>
            </w:pPr>
            <w:r>
              <w:rPr>
                <w:rFonts w:ascii="Arial" w:cs="Arial" w:eastAsia="Arial" w:hAnsi="Arial"/>
                <w:sz w:val="19"/>
                <w:szCs w:val="19"/>
                <w:color w:val="auto"/>
              </w:rPr>
              <w:t>Less: Current maturities of long-term debt and short-term</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9"/>
                <w:szCs w:val="19"/>
                <w:color w:val="auto"/>
              </w:rPr>
              <w:t>(190,044)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9"/>
                <w:szCs w:val="19"/>
                <w:color w:val="auto"/>
              </w:rPr>
              <w:t>(390,042)</w:t>
            </w:r>
          </w:p>
        </w:tc>
        <w:tc>
          <w:tcPr>
            <w:tcW w:w="0" w:type="dxa"/>
            <w:vAlign w:val="bottom"/>
          </w:tcPr>
          <w:p>
            <w:pPr>
              <w:spacing w:after="0"/>
              <w:rPr>
                <w:sz w:val="1"/>
                <w:szCs w:val="1"/>
                <w:color w:val="auto"/>
              </w:rPr>
            </w:pPr>
          </w:p>
        </w:tc>
      </w:tr>
      <w:tr>
        <w:trPr>
          <w:trHeight w:val="222"/>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26"/>
              <w:spacing w:after="0"/>
              <w:rPr>
                <w:sz w:val="20"/>
                <w:szCs w:val="20"/>
                <w:color w:val="auto"/>
              </w:rPr>
            </w:pPr>
            <w:r>
              <w:rPr>
                <w:rFonts w:ascii="Arial" w:cs="Arial" w:eastAsia="Arial" w:hAnsi="Arial"/>
                <w:sz w:val="19"/>
                <w:szCs w:val="19"/>
                <w:color w:val="auto"/>
                <w:w w:val="75"/>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2,732,815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center"/>
              <w:ind w:right="25"/>
              <w:spacing w:after="0"/>
              <w:rPr>
                <w:sz w:val="20"/>
                <w:szCs w:val="20"/>
                <w:color w:val="auto"/>
              </w:rPr>
            </w:pPr>
            <w:r>
              <w:rPr>
                <w:rFonts w:ascii="Arial" w:cs="Arial" w:eastAsia="Arial" w:hAnsi="Arial"/>
                <w:sz w:val="19"/>
                <w:szCs w:val="19"/>
                <w:color w:val="auto"/>
                <w:w w:val="75"/>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2,730,439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54" w:lineRule="auto"/>
        <w:rPr>
          <w:sz w:val="20"/>
          <w:szCs w:val="20"/>
          <w:color w:val="auto"/>
        </w:rPr>
      </w:pPr>
      <w:r>
        <w:rPr>
          <w:rFonts w:ascii="Arial" w:cs="Arial" w:eastAsia="Arial" w:hAnsi="Arial"/>
          <w:sz w:val="19"/>
          <w:szCs w:val="19"/>
          <w:color w:val="auto"/>
        </w:rPr>
        <w:t>The Company, through a wholly-owned special-purpose subsidiary, has a $400 million trade receivable securitization facility (the Trade Receivable Facility).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contains a cross-default provision to the Company’s other debt agreements. On September 24, 2019, the Company extended the maturity of the Trade Receivable Facility to September 23, 2020.</w:t>
      </w:r>
    </w:p>
    <w:p>
      <w:pPr>
        <w:spacing w:after="0" w:line="78" w:lineRule="exact"/>
        <w:rPr>
          <w:sz w:val="20"/>
          <w:szCs w:val="20"/>
          <w:color w:val="auto"/>
        </w:rPr>
      </w:pPr>
    </w:p>
    <w:p>
      <w:pPr>
        <w:jc w:val="both"/>
        <w:ind w:left="380"/>
        <w:spacing w:after="0" w:line="253" w:lineRule="auto"/>
        <w:rPr>
          <w:sz w:val="20"/>
          <w:szCs w:val="20"/>
          <w:color w:val="auto"/>
        </w:rPr>
      </w:pPr>
      <w:r>
        <w:rPr>
          <w:rFonts w:ascii="Arial" w:cs="Arial" w:eastAsia="Arial" w:hAnsi="Arial"/>
          <w:sz w:val="19"/>
          <w:szCs w:val="19"/>
          <w:color w:val="auto"/>
        </w:rPr>
        <w:t>The Company has a $700 million five-year senior unsecured revolving facility (the Revolving Facility), which expires on December 5, 2023, with JPMorgan Chase Bank, N.A., as Administrative Agent, Branch Banking and Trust Company (BB&amp;T), Deutsche Bank Securities, Inc., SunTrust Bank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of the Revolving Facility at September 30, 2019 and December 31, 2018.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Ratio at September 30, 2019.</w:t>
      </w:r>
    </w:p>
    <w:p>
      <w:pPr>
        <w:spacing w:after="0" w:line="81"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Available borrowings under the Revolving Facility are reduced by any outstanding letters of credit issued by the Company under the Revolving Facility. The Company had $2.3 million of outstanding letters of credit issued under the Revolving Facility at September 30, 2019 and December 31, 2018.</w:t>
      </w:r>
    </w:p>
    <w:p>
      <w:pPr>
        <w:spacing w:after="0" w:line="79"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The Floating Rate Senior Notes due 2019 and Floating Rate Senior Notes due 2020 are classified as noncurrent long-term debt on the consolidated balance sheets as of September 30, 2019 and December 31, 2018 as the Company has the intent and ability to refinance the notes on a long-term basis.</w:t>
      </w:r>
    </w:p>
    <w:p>
      <w:pPr>
        <w:spacing w:after="0" w:line="288" w:lineRule="exact"/>
        <w:rPr>
          <w:sz w:val="20"/>
          <w:szCs w:val="20"/>
          <w:color w:val="auto"/>
        </w:rPr>
      </w:pPr>
    </w:p>
    <w:p>
      <w:pPr>
        <w:ind w:left="380" w:hanging="373"/>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1" w:lineRule="exact"/>
        <w:rPr>
          <w:rFonts w:ascii="Arial" w:cs="Arial" w:eastAsia="Arial" w:hAnsi="Arial"/>
          <w:sz w:val="20"/>
          <w:szCs w:val="20"/>
          <w:b w:val="1"/>
          <w:bCs w:val="1"/>
          <w:color w:val="auto"/>
        </w:rPr>
      </w:pPr>
    </w:p>
    <w:p>
      <w:pPr>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accounts payable, publicly-registered long-term notes, debentures and other long-term debt.</w:t>
      </w:r>
    </w:p>
    <w:p>
      <w:pPr>
        <w:spacing w:after="0" w:line="69"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9" w:lineRule="exact"/>
        <w:rPr>
          <w:rFonts w:ascii="Arial" w:cs="Arial" w:eastAsia="Arial" w:hAnsi="Arial"/>
          <w:sz w:val="20"/>
          <w:szCs w:val="20"/>
          <w:b w:val="1"/>
          <w:bCs w:val="1"/>
          <w:color w:val="auto"/>
        </w:rPr>
      </w:pPr>
    </w:p>
    <w:p>
      <w:pPr>
        <w:jc w:val="both"/>
        <w:ind w:left="380" w:right="20"/>
        <w:spacing w:after="0" w:line="267" w:lineRule="auto"/>
        <w:rPr>
          <w:rFonts w:ascii="Arial" w:cs="Arial" w:eastAsia="Arial" w:hAnsi="Arial"/>
          <w:sz w:val="20"/>
          <w:szCs w:val="20"/>
          <w:b w:val="1"/>
          <w:bCs w:val="1"/>
          <w:color w:val="auto"/>
        </w:rPr>
      </w:pPr>
      <w:r>
        <w:rPr>
          <w:rFonts w:ascii="Arial" w:cs="Arial" w:eastAsia="Arial" w:hAnsi="Arial"/>
          <w:sz w:val="19"/>
          <w:szCs w:val="19"/>
          <w:color w:val="auto"/>
        </w:rPr>
        <w:t>Accounts receivable are due from a large number of customers, primarily in the construction industry, and are dispersed across wide geographic and economic regions. No single customer accounted for 10% or more of consolidated total revenues. The estimated fair values of accounts receivable approximate their carrying amounts due to the short-term nature of the receivables.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9"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6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The carrying values and fair values of the Company’s long-term debt were $2.92 billion and $3.07 billion, respectively, at September 30, 2019 and $3.12 billion and $3.01 billion, respectively, at December 31, 2018. The estimated fair value of the publicly-registered long-term notes was estimated based on Level 2 of the fair value hierarchy using quoted market prices. The estimated fair value of other borrowings approximate their carrying amounts as the interest rates reset periodically.</w:t>
      </w:r>
    </w:p>
    <w:p>
      <w:pPr>
        <w:spacing w:after="0" w:line="294" w:lineRule="exact"/>
        <w:rPr>
          <w:sz w:val="20"/>
          <w:szCs w:val="20"/>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1" w:lineRule="exact"/>
        <w:rPr>
          <w:rFonts w:ascii="Arial" w:cs="Arial" w:eastAsia="Arial" w:hAnsi="Arial"/>
          <w:sz w:val="20"/>
          <w:szCs w:val="20"/>
          <w:b w:val="1"/>
          <w:bCs w:val="1"/>
          <w:color w:val="auto"/>
        </w:rPr>
      </w:pPr>
    </w:p>
    <w:p>
      <w:pPr>
        <w:jc w:val="both"/>
        <w:ind w:left="380"/>
        <w:spacing w:after="0" w:line="262" w:lineRule="auto"/>
        <w:rPr>
          <w:rFonts w:ascii="Arial" w:cs="Arial" w:eastAsia="Arial" w:hAnsi="Arial"/>
          <w:sz w:val="20"/>
          <w:szCs w:val="20"/>
          <w:b w:val="1"/>
          <w:bCs w:val="1"/>
          <w:color w:val="auto"/>
        </w:rPr>
      </w:pPr>
      <w:r>
        <w:rPr>
          <w:rFonts w:ascii="Arial" w:cs="Arial" w:eastAsia="Arial" w:hAnsi="Arial"/>
          <w:sz w:val="19"/>
          <w:szCs w:val="19"/>
          <w:color w:val="auto"/>
        </w:rPr>
        <w:t>The effective income tax rate reflects the effect of federal and state income taxes on earnings and the impact of differences in book and tax accounting arising from the permanent tax benefits associated with the statutory depletion deduction for mineral reserves. For the nine months ended September 30, 2019, the lower effective income tax rate of 18.8% is primarily attributable to a $13.2 million discrete benefit from a change in the tax status of a subsidiary from a partnership to a corporation.</w:t>
      </w:r>
    </w:p>
    <w:p>
      <w:pPr>
        <w:spacing w:after="0" w:line="66" w:lineRule="exact"/>
        <w:rPr>
          <w:rFonts w:ascii="Arial" w:cs="Arial" w:eastAsia="Arial" w:hAnsi="Arial"/>
          <w:sz w:val="20"/>
          <w:szCs w:val="20"/>
          <w:b w:val="1"/>
          <w:bCs w:val="1"/>
          <w:color w:val="auto"/>
        </w:rPr>
      </w:pPr>
    </w:p>
    <w:p>
      <w:pPr>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78" w:lineRule="exact"/>
        <w:rPr>
          <w:rFonts w:ascii="Arial" w:cs="Arial" w:eastAsia="Arial" w:hAnsi="Arial"/>
          <w:sz w:val="20"/>
          <w:szCs w:val="20"/>
          <w:b w:val="1"/>
          <w:bCs w:val="1"/>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Pension</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960"/>
              <w:spacing w:after="0"/>
              <w:rPr>
                <w:sz w:val="20"/>
                <w:szCs w:val="20"/>
                <w:color w:val="auto"/>
              </w:rPr>
            </w:pPr>
            <w:r>
              <w:rPr>
                <w:rFonts w:ascii="Arial" w:cs="Arial" w:eastAsia="Arial" w:hAnsi="Arial"/>
                <w:sz w:val="20"/>
                <w:szCs w:val="20"/>
                <w:color w:val="auto"/>
              </w:rPr>
              <w:t>Postretirement Benefits</w:t>
            </w: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460" w:type="dxa"/>
            <w:vAlign w:val="bottom"/>
            <w:tcBorders>
              <w:top w:val="single" w:sz="8" w:color="auto"/>
              <w:bottom w:val="single" w:sz="8" w:color="auto"/>
            </w:tcBorders>
            <w:gridSpan w:val="5"/>
          </w:tcPr>
          <w:p>
            <w:pPr>
              <w:jc w:val="right"/>
              <w:ind w:right="520"/>
              <w:spacing w:after="0"/>
              <w:rPr>
                <w:sz w:val="20"/>
                <w:szCs w:val="20"/>
                <w:color w:val="auto"/>
              </w:rPr>
            </w:pPr>
            <w:r>
              <w:rPr>
                <w:rFonts w:ascii="Arial" w:cs="Arial" w:eastAsia="Arial" w:hAnsi="Arial"/>
                <w:sz w:val="20"/>
                <w:szCs w:val="20"/>
                <w:color w:val="auto"/>
                <w:w w:val="90"/>
              </w:rPr>
              <w:t>Three Months Ended September 30,</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2019</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r>
      <w:tr>
        <w:trPr>
          <w:trHeight w:val="232"/>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5"/>
          </w:tcPr>
          <w:p>
            <w:pPr>
              <w:jc w:val="right"/>
              <w:ind w:right="1020"/>
              <w:spacing w:after="0"/>
              <w:rPr>
                <w:sz w:val="20"/>
                <w:szCs w:val="20"/>
                <w:color w:val="auto"/>
              </w:rPr>
            </w:pPr>
            <w:r>
              <w:rPr>
                <w:rFonts w:ascii="Arial" w:cs="Arial" w:eastAsia="Arial" w:hAnsi="Arial"/>
                <w:sz w:val="20"/>
                <w:szCs w:val="20"/>
                <w:i w:val="1"/>
                <w:iCs w:val="1"/>
                <w:color w:val="auto"/>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280" w:type="dxa"/>
            <w:vAlign w:val="bottom"/>
          </w:tcPr>
          <w:p>
            <w:pPr>
              <w:spacing w:after="0"/>
              <w:rPr>
                <w:sz w:val="20"/>
                <w:szCs w:val="20"/>
                <w:color w:val="auto"/>
              </w:rPr>
            </w:pPr>
            <w:r>
              <w:rPr>
                <w:rFonts w:ascii="Arial" w:cs="Arial" w:eastAsia="Arial" w:hAnsi="Arial"/>
                <w:sz w:val="20"/>
                <w:szCs w:val="20"/>
                <w:color w:val="auto"/>
              </w:rPr>
              <w:t>Service cost</w:t>
            </w:r>
          </w:p>
        </w:tc>
        <w:tc>
          <w:tcPr>
            <w:tcW w:w="104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7,711</w:t>
            </w:r>
          </w:p>
        </w:tc>
        <w:tc>
          <w:tcPr>
            <w:tcW w:w="280" w:type="dxa"/>
            <w:vAlign w:val="bottom"/>
          </w:tcPr>
          <w:p>
            <w:pPr>
              <w:spacing w:after="0"/>
              <w:rPr>
                <w:sz w:val="21"/>
                <w:szCs w:val="21"/>
                <w:color w:val="auto"/>
              </w:rPr>
            </w:pP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7,911</w:t>
            </w:r>
          </w:p>
        </w:tc>
        <w:tc>
          <w:tcPr>
            <w:tcW w:w="280" w:type="dxa"/>
            <w:vAlign w:val="bottom"/>
          </w:tcPr>
          <w:p>
            <w:pPr>
              <w:spacing w:after="0"/>
              <w:rPr>
                <w:sz w:val="21"/>
                <w:szCs w:val="21"/>
                <w:color w:val="auto"/>
              </w:rPr>
            </w:pPr>
          </w:p>
        </w:tc>
        <w:tc>
          <w:tcPr>
            <w:tcW w:w="360" w:type="dxa"/>
            <w:vAlign w:val="bottom"/>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15</w:t>
            </w:r>
          </w:p>
        </w:tc>
        <w:tc>
          <w:tcPr>
            <w:tcW w:w="180" w:type="dxa"/>
            <w:vAlign w:val="bottom"/>
          </w:tcPr>
          <w:p>
            <w:pPr>
              <w:spacing w:after="0"/>
              <w:rPr>
                <w:sz w:val="21"/>
                <w:szCs w:val="21"/>
                <w:color w:val="auto"/>
              </w:rPr>
            </w:pPr>
          </w:p>
        </w:tc>
        <w:tc>
          <w:tcPr>
            <w:tcW w:w="46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9,424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8,307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w:t>
            </w:r>
          </w:p>
        </w:tc>
        <w:tc>
          <w:tcPr>
            <w:tcW w:w="100" w:type="dxa"/>
            <w:vAlign w:val="bottom"/>
            <w:shd w:val="clear" w:color="auto" w:fill="CFF0FC"/>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(11,929)</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20"/>
                <w:szCs w:val="20"/>
                <w:color w:val="auto"/>
              </w:rPr>
              <w:t>(11,516)</w:t>
            </w:r>
          </w:p>
        </w:tc>
        <w:tc>
          <w:tcPr>
            <w:tcW w:w="3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328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0"/>
                <w:szCs w:val="20"/>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(519)</w:t>
            </w:r>
          </w:p>
        </w:tc>
      </w:tr>
      <w:tr>
        <w:trPr>
          <w:trHeight w:val="242"/>
        </w:trPr>
        <w:tc>
          <w:tcPr>
            <w:tcW w:w="3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3,927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(53)</w:t>
            </w:r>
          </w:p>
        </w:tc>
      </w:tr>
      <w:tr>
        <w:trPr>
          <w:trHeight w:val="242"/>
        </w:trPr>
        <w:tc>
          <w:tcPr>
            <w:tcW w:w="3280" w:type="dxa"/>
            <w:vAlign w:val="bottom"/>
          </w:tcPr>
          <w:p>
            <w:pPr>
              <w:spacing w:after="0"/>
              <w:rPr>
                <w:sz w:val="20"/>
                <w:szCs w:val="20"/>
                <w:color w:val="auto"/>
              </w:rPr>
            </w:pPr>
            <w:r>
              <w:rPr>
                <w:rFonts w:ascii="Arial" w:cs="Arial" w:eastAsia="Arial" w:hAnsi="Arial"/>
                <w:sz w:val="20"/>
                <w:szCs w:val="20"/>
                <w:color w:val="auto"/>
              </w:rPr>
              <w:t>Settlement charge</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2,692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5"/>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9,135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10,627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right"/>
              <w:ind w:right="2"/>
              <w:spacing w:after="0"/>
              <w:rPr>
                <w:sz w:val="20"/>
                <w:szCs w:val="20"/>
                <w:color w:val="auto"/>
              </w:rPr>
            </w:pPr>
            <w:r>
              <w:rPr>
                <w:rFonts w:ascii="Arial" w:cs="Arial" w:eastAsia="Arial" w:hAnsi="Arial"/>
                <w:sz w:val="20"/>
                <w:szCs w:val="20"/>
                <w:color w:val="auto"/>
              </w:rPr>
              <w:t>Pension</w:t>
            </w: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gridSpan w:val="6"/>
          </w:tcPr>
          <w:p>
            <w:pPr>
              <w:jc w:val="right"/>
              <w:ind w:right="960"/>
              <w:spacing w:after="0"/>
              <w:rPr>
                <w:sz w:val="20"/>
                <w:szCs w:val="20"/>
                <w:color w:val="auto"/>
              </w:rPr>
            </w:pPr>
            <w:r>
              <w:rPr>
                <w:rFonts w:ascii="Arial" w:cs="Arial" w:eastAsia="Arial" w:hAnsi="Arial"/>
                <w:sz w:val="20"/>
                <w:szCs w:val="20"/>
                <w:color w:val="auto"/>
              </w:rPr>
              <w:t>Postretirement Benefits</w:t>
            </w: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540" w:type="dxa"/>
            <w:vAlign w:val="bottom"/>
            <w:tcBorders>
              <w:top w:val="single" w:sz="8" w:color="auto"/>
              <w:bottom w:val="single" w:sz="8" w:color="auto"/>
            </w:tcBorders>
            <w:gridSpan w:val="5"/>
          </w:tcPr>
          <w:p>
            <w:pPr>
              <w:jc w:val="right"/>
              <w:ind w:right="660"/>
              <w:spacing w:after="0"/>
              <w:rPr>
                <w:sz w:val="20"/>
                <w:szCs w:val="20"/>
                <w:color w:val="auto"/>
              </w:rPr>
            </w:pPr>
            <w:r>
              <w:rPr>
                <w:rFonts w:ascii="Arial" w:cs="Arial" w:eastAsia="Arial" w:hAnsi="Arial"/>
                <w:sz w:val="20"/>
                <w:szCs w:val="20"/>
                <w:color w:val="auto"/>
                <w:w w:val="91"/>
              </w:rPr>
              <w:t>Nine Months Ended September 30,</w:t>
            </w:r>
          </w:p>
        </w:tc>
        <w:tc>
          <w:tcPr>
            <w:tcW w:w="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5"/>
          </w:tcPr>
          <w:p>
            <w:pPr>
              <w:jc w:val="right"/>
              <w:ind w:right="1120"/>
              <w:spacing w:after="0"/>
              <w:rPr>
                <w:sz w:val="20"/>
                <w:szCs w:val="20"/>
                <w:color w:val="auto"/>
              </w:rPr>
            </w:pPr>
            <w:r>
              <w:rPr>
                <w:rFonts w:ascii="Arial" w:cs="Arial" w:eastAsia="Arial" w:hAnsi="Arial"/>
                <w:sz w:val="20"/>
                <w:szCs w:val="20"/>
                <w:i w:val="1"/>
                <w:iCs w:val="1"/>
                <w:color w:val="auto"/>
              </w:rPr>
              <w:t>(Dollars 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104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23,133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23,732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2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3"/>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100" w:type="dxa"/>
            <w:vAlign w:val="bottom"/>
            <w:shd w:val="clear" w:color="auto" w:fill="CFF0FC"/>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Arial" w:cs="Arial" w:eastAsia="Arial" w:hAnsi="Arial"/>
                <w:sz w:val="20"/>
                <w:szCs w:val="20"/>
                <w:color w:val="auto"/>
              </w:rPr>
              <w:t>Interest cost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28,280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24,921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437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389</w:t>
            </w: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(35,864)</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(34,549)</w:t>
            </w:r>
          </w:p>
        </w:tc>
        <w:tc>
          <w:tcPr>
            <w:tcW w:w="3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2"/>
        </w:trPr>
        <w:tc>
          <w:tcPr>
            <w:tcW w:w="3280" w:type="dxa"/>
            <w:vAlign w:val="bottom"/>
          </w:tcPr>
          <w:p>
            <w:pPr>
              <w:spacing w:after="0"/>
              <w:rPr>
                <w:sz w:val="20"/>
                <w:szCs w:val="20"/>
                <w:color w:val="auto"/>
              </w:rPr>
            </w:pPr>
            <w:r>
              <w:rPr>
                <w:rFonts w:ascii="Arial" w:cs="Arial" w:eastAsia="Arial" w:hAnsi="Arial"/>
                <w:sz w:val="20"/>
                <w:szCs w:val="20"/>
                <w:color w:val="auto"/>
              </w:rPr>
              <w:t>Amortization of:</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(571)</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(1,556)</w:t>
            </w:r>
          </w:p>
        </w:tc>
      </w:tr>
      <w:tr>
        <w:trPr>
          <w:trHeight w:val="242"/>
        </w:trPr>
        <w:tc>
          <w:tcPr>
            <w:tcW w:w="32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11,852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9,621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color w:val="auto"/>
              </w:rPr>
              <w:t>(387)</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(158)</w:t>
            </w: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Settlement charge</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2,692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5"/>
        </w:trPr>
        <w:tc>
          <w:tcPr>
            <w:tcW w:w="328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6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27,406</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26,494</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(477)</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(1,267)</w:t>
            </w:r>
          </w:p>
        </w:tc>
        <w:tc>
          <w:tcPr>
            <w:tcW w:w="10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All other components are included in other nonoperating income, net, in the consolidated statements of earnings and comprehensive earnings.</w:t>
      </w:r>
    </w:p>
    <w:p>
      <w:pPr>
        <w:spacing w:after="0" w:line="7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In the quarter ended September 30, 2019, the Company made $50 million of discretionary contributions to its qualified pension plan. No additional contributions to the qualified pension plan are expected to be made for the remainder of 2019. The Company currently estimates that it will contribute a total of $7.5 million for the year ending December 31, 2019 to satisfy required payments under the unfunded nonqualified pension plans.</w:t>
      </w:r>
    </w:p>
    <w:p>
      <w:pPr>
        <w:spacing w:after="0" w:line="294" w:lineRule="exact"/>
        <w:rPr>
          <w:sz w:val="20"/>
          <w:szCs w:val="20"/>
          <w:color w:val="auto"/>
        </w:rPr>
      </w:pPr>
    </w:p>
    <w:p>
      <w:pPr>
        <w:ind w:left="380" w:right="8020" w:hanging="373"/>
        <w:spacing w:after="0" w:line="415" w:lineRule="auto"/>
        <w:tabs>
          <w:tab w:leader="none" w:pos="37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Legal and Administrative Proceedings</w:t>
      </w:r>
    </w:p>
    <w:p>
      <w:pPr>
        <w:spacing w:after="0" w:line="1" w:lineRule="exact"/>
        <w:rPr>
          <w:rFonts w:ascii="Arial" w:cs="Arial" w:eastAsia="Arial" w:hAnsi="Arial"/>
          <w:sz w:val="17"/>
          <w:szCs w:val="17"/>
          <w:b w:val="1"/>
          <w:bCs w:val="1"/>
          <w:color w:val="auto"/>
        </w:rPr>
      </w:pPr>
    </w:p>
    <w:p>
      <w:pPr>
        <w:jc w:val="both"/>
        <w:ind w:left="380"/>
        <w:spacing w:after="0" w:line="262" w:lineRule="auto"/>
        <w:rPr>
          <w:rFonts w:ascii="Arial" w:cs="Arial" w:eastAsia="Arial" w:hAnsi="Arial"/>
          <w:sz w:val="17"/>
          <w:szCs w:val="17"/>
          <w:b w:val="1"/>
          <w:bCs w:val="1"/>
          <w:color w:val="auto"/>
        </w:rPr>
      </w:pPr>
      <w:r>
        <w:rPr>
          <w:rFonts w:ascii="Arial" w:cs="Arial" w:eastAsia="Arial" w:hAnsi="Arial"/>
          <w:sz w:val="19"/>
          <w:szCs w:val="19"/>
          <w:color w:val="auto"/>
        </w:rPr>
        <w:t>The Company is engaged in certain legal and administrative proceedings incidental to its normal business activities. In the opinion of management and counsel, based upon currently 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66"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u w:val="single" w:color="auto"/>
          <w:color w:val="auto"/>
        </w:rPr>
        <w:t>Borrowing Arrangements with Affiliate</w:t>
      </w:r>
    </w:p>
    <w:p>
      <w:pPr>
        <w:spacing w:after="0" w:line="105" w:lineRule="exact"/>
        <w:rPr>
          <w:rFonts w:ascii="Arial" w:cs="Arial" w:eastAsia="Arial" w:hAnsi="Arial"/>
          <w:sz w:val="17"/>
          <w:szCs w:val="17"/>
          <w:b w:val="1"/>
          <w:bCs w:val="1"/>
          <w:color w:val="auto"/>
        </w:rPr>
      </w:pPr>
    </w:p>
    <w:p>
      <w:pPr>
        <w:jc w:val="both"/>
        <w:ind w:left="380"/>
        <w:spacing w:after="0" w:line="302" w:lineRule="auto"/>
        <w:rPr>
          <w:rFonts w:ascii="Arial" w:cs="Arial" w:eastAsia="Arial" w:hAnsi="Arial"/>
          <w:sz w:val="17"/>
          <w:szCs w:val="17"/>
          <w:b w:val="1"/>
          <w:bCs w:val="1"/>
          <w:color w:val="auto"/>
        </w:rPr>
      </w:pPr>
      <w:r>
        <w:rPr>
          <w:rFonts w:ascii="Arial" w:cs="Arial" w:eastAsia="Arial" w:hAnsi="Arial"/>
          <w:sz w:val="17"/>
          <w:szCs w:val="17"/>
          <w:color w:val="auto"/>
        </w:rPr>
        <w:t>The Company is a co-borrower with an unconsolidated affiliate for a $15.5 million revolving line of credit agreement with BB&amp;T, of which $12.2 million was outstanding as of September 30, 2019 and has a maturity date of March 2020.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36" w:lineRule="exact"/>
        <w:rPr>
          <w:rFonts w:ascii="Arial" w:cs="Arial" w:eastAsia="Arial" w:hAnsi="Arial"/>
          <w:sz w:val="17"/>
          <w:szCs w:val="17"/>
          <w:b w:val="1"/>
          <w:bCs w:val="1"/>
          <w:color w:val="auto"/>
        </w:rPr>
      </w:pPr>
    </w:p>
    <w:p>
      <w:pPr>
        <w:ind w:left="380"/>
        <w:spacing w:after="0" w:line="284" w:lineRule="auto"/>
        <w:rPr>
          <w:rFonts w:ascii="Arial" w:cs="Arial" w:eastAsia="Arial" w:hAnsi="Arial"/>
          <w:sz w:val="17"/>
          <w:szCs w:val="17"/>
          <w:b w:val="1"/>
          <w:bCs w:val="1"/>
          <w:color w:val="auto"/>
        </w:rPr>
      </w:pPr>
      <w:r>
        <w:rPr>
          <w:rFonts w:ascii="Arial" w:cs="Arial" w:eastAsia="Arial" w:hAnsi="Arial"/>
          <w:sz w:val="19"/>
          <w:szCs w:val="19"/>
          <w:color w:val="auto"/>
        </w:rPr>
        <w:t>In addition, the Company has a $6.0 million interest-only loan, due December 31, 2022, outstanding from this unconsolidated affiliate as of September 30, 2019 and December 31, 2018. The interest rate is one-month LIBOR plus a current spread of 1.75%.</w:t>
      </w:r>
    </w:p>
    <w:p>
      <w:pPr>
        <w:spacing w:after="0" w:line="46"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u w:val="single" w:color="auto"/>
          <w:color w:val="auto"/>
        </w:rPr>
        <w:t>Letters of Credit</w:t>
      </w:r>
    </w:p>
    <w:p>
      <w:pPr>
        <w:spacing w:after="0" w:line="105" w:lineRule="exact"/>
        <w:rPr>
          <w:rFonts w:ascii="Arial" w:cs="Arial" w:eastAsia="Arial" w:hAnsi="Arial"/>
          <w:sz w:val="17"/>
          <w:szCs w:val="17"/>
          <w:b w:val="1"/>
          <w:bCs w:val="1"/>
          <w:color w:val="auto"/>
        </w:rPr>
      </w:pPr>
    </w:p>
    <w:p>
      <w:pPr>
        <w:ind w:left="380"/>
        <w:spacing w:after="0" w:line="258" w:lineRule="auto"/>
        <w:rPr>
          <w:rFonts w:ascii="Arial" w:cs="Arial" w:eastAsia="Arial" w:hAnsi="Arial"/>
          <w:sz w:val="17"/>
          <w:szCs w:val="17"/>
          <w:b w:val="1"/>
          <w:bCs w:val="1"/>
          <w:color w:val="auto"/>
        </w:rPr>
      </w:pPr>
      <w:r>
        <w:rPr>
          <w:rFonts w:ascii="Arial" w:cs="Arial" w:eastAsia="Arial" w:hAnsi="Arial"/>
          <w:sz w:val="20"/>
          <w:szCs w:val="20"/>
          <w:color w:val="auto"/>
        </w:rPr>
        <w:t>In the normal course of business, the Company provides certain third parties with standby letter of credit agreements guaranteeing its payment for certain insurance claims, contract performance and permit requirements. 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2"/>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FORM 10-Q</w:t>
      </w:r>
    </w:p>
    <w:p>
      <w:pPr>
        <w:jc w:val="center"/>
        <w:ind w:right="-12"/>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73"/>
        <w:spacing w:after="0" w:line="258" w:lineRule="auto"/>
        <w:rPr>
          <w:sz w:val="20"/>
          <w:szCs w:val="20"/>
          <w:color w:val="auto"/>
        </w:rPr>
      </w:pPr>
      <w:r>
        <w:rPr>
          <w:rFonts w:ascii="Arial" w:cs="Arial" w:eastAsia="Arial" w:hAnsi="Arial"/>
          <w:sz w:val="20"/>
          <w:szCs w:val="20"/>
          <w:color w:val="auto"/>
        </w:rPr>
        <w:t>September 30, 2019, the Company was contingently liable for $35.3 million in letters of credit, of which $2.3 million were issued under the Company’s Revolving Facility.</w:t>
      </w:r>
    </w:p>
    <w:p>
      <w:pPr>
        <w:spacing w:after="0" w:line="69" w:lineRule="exact"/>
        <w:rPr>
          <w:sz w:val="20"/>
          <w:szCs w:val="20"/>
          <w:color w:val="auto"/>
        </w:rPr>
      </w:pPr>
    </w:p>
    <w:p>
      <w:pPr>
        <w:ind w:left="373"/>
        <w:spacing w:after="0"/>
        <w:rPr>
          <w:sz w:val="20"/>
          <w:szCs w:val="20"/>
          <w:color w:val="auto"/>
        </w:rPr>
      </w:pPr>
      <w:r>
        <w:rPr>
          <w:rFonts w:ascii="Arial" w:cs="Arial" w:eastAsia="Arial" w:hAnsi="Arial"/>
          <w:sz w:val="20"/>
          <w:szCs w:val="20"/>
          <w:u w:val="single" w:color="auto"/>
          <w:color w:val="auto"/>
        </w:rPr>
        <w:t>Employees</w:t>
      </w:r>
    </w:p>
    <w:p>
      <w:pPr>
        <w:spacing w:after="0" w:line="106" w:lineRule="exact"/>
        <w:rPr>
          <w:sz w:val="20"/>
          <w:szCs w:val="20"/>
          <w:color w:val="auto"/>
        </w:rPr>
      </w:pPr>
    </w:p>
    <w:p>
      <w:pPr>
        <w:jc w:val="both"/>
        <w:ind w:left="373"/>
        <w:spacing w:after="0" w:line="313" w:lineRule="auto"/>
        <w:rPr>
          <w:sz w:val="20"/>
          <w:szCs w:val="20"/>
          <w:color w:val="auto"/>
        </w:rPr>
      </w:pPr>
      <w:r>
        <w:rPr>
          <w:rFonts w:ascii="Arial" w:cs="Arial" w:eastAsia="Arial" w:hAnsi="Arial"/>
          <w:sz w:val="17"/>
          <w:szCs w:val="17"/>
          <w:color w:val="auto"/>
        </w:rPr>
        <w:t>The Company maintains collective bargaining agreements relating to the union employees within the Building Materials business and Magnesia Specialties segment. Of the Magnesia Specialties segment, 100% of its hourly employees are represented by labor unions. The Woodville collective bargaining agreement expires June 2022. The Manistee collective bargaining agreement expires in August 2023.</w:t>
      </w:r>
    </w:p>
    <w:p>
      <w:pPr>
        <w:spacing w:after="0" w:line="236" w:lineRule="exact"/>
        <w:rPr>
          <w:sz w:val="20"/>
          <w:szCs w:val="20"/>
          <w:color w:val="auto"/>
        </w:rPr>
      </w:pPr>
    </w:p>
    <w:p>
      <w:pPr>
        <w:ind w:left="373" w:hanging="373"/>
        <w:spacing w:after="0"/>
        <w:tabs>
          <w:tab w:leader="none" w:pos="373"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7" w:lineRule="exact"/>
        <w:rPr>
          <w:rFonts w:ascii="Arial" w:cs="Arial" w:eastAsia="Arial" w:hAnsi="Arial"/>
          <w:sz w:val="20"/>
          <w:szCs w:val="20"/>
          <w:b w:val="1"/>
          <w:bCs w:val="1"/>
          <w:color w:val="auto"/>
        </w:rPr>
      </w:pPr>
    </w:p>
    <w:p>
      <w:pPr>
        <w:jc w:val="both"/>
        <w:ind w:left="373"/>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are held at Corporate.</w:t>
      </w:r>
    </w:p>
    <w:p>
      <w:pPr>
        <w:spacing w:after="0" w:line="76" w:lineRule="exact"/>
        <w:rPr>
          <w:rFonts w:ascii="Arial" w:cs="Arial" w:eastAsia="Arial" w:hAnsi="Arial"/>
          <w:sz w:val="20"/>
          <w:szCs w:val="20"/>
          <w:b w:val="1"/>
          <w:bCs w:val="1"/>
          <w:color w:val="auto"/>
        </w:rPr>
      </w:pPr>
    </w:p>
    <w:p>
      <w:pPr>
        <w:jc w:val="both"/>
        <w:ind w:left="373"/>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following table displays selected financial data for the Company’s reportable business segments. The Bluegrass Materials Company (Bluegrass) operations, acquired in April 2018, are located in the Mid-America Group and Southeast Group. Total revenues, as presented on the consolidated statements of earnings and comprehensive earnings, exclude intersegment revenues which represent sales from one segment to another segment, which are eliminated.</w:t>
      </w:r>
    </w:p>
    <w:p>
      <w:pPr>
        <w:spacing w:after="0" w:line="260"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Page 21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72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13"/>
          </w:cols>
          <w:pgMar w:left="247"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6"/>
          </w:tcPr>
          <w:p>
            <w:pPr>
              <w:jc w:val="right"/>
              <w:ind w:right="980"/>
              <w:spacing w:after="0"/>
              <w:rPr>
                <w:sz w:val="20"/>
                <w:szCs w:val="20"/>
                <w:color w:val="auto"/>
              </w:rPr>
            </w:pPr>
            <w:r>
              <w:rPr>
                <w:rFonts w:ascii="Arial" w:cs="Arial" w:eastAsia="Arial" w:hAnsi="Arial"/>
                <w:sz w:val="20"/>
                <w:szCs w:val="20"/>
                <w:color w:val="auto"/>
              </w:rPr>
              <w:t>Three Months Ended</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740" w:type="dxa"/>
            <w:vAlign w:val="bottom"/>
            <w:gridSpan w:val="7"/>
          </w:tcPr>
          <w:p>
            <w:pPr>
              <w:ind w:left="14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6"/>
          </w:tcPr>
          <w:p>
            <w:pPr>
              <w:jc w:val="right"/>
              <w:ind w:right="1240"/>
              <w:spacing w:after="0"/>
              <w:rPr>
                <w:sz w:val="20"/>
                <w:szCs w:val="20"/>
                <w:color w:val="auto"/>
              </w:rPr>
            </w:pPr>
            <w:r>
              <w:rPr>
                <w:rFonts w:ascii="Arial" w:cs="Arial" w:eastAsia="Arial" w:hAnsi="Arial"/>
                <w:sz w:val="20"/>
                <w:szCs w:val="20"/>
                <w:color w:val="auto"/>
              </w:rPr>
              <w:t>September 30,</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gridSpan w:val="5"/>
          </w:tcPr>
          <w:p>
            <w:pPr>
              <w:ind w:left="360"/>
              <w:spacing w:after="0"/>
              <w:rPr>
                <w:sz w:val="20"/>
                <w:szCs w:val="20"/>
                <w:color w:val="auto"/>
              </w:rPr>
            </w:pPr>
            <w:r>
              <w:rPr>
                <w:rFonts w:ascii="Arial" w:cs="Arial" w:eastAsia="Arial" w:hAnsi="Arial"/>
                <w:sz w:val="20"/>
                <w:szCs w:val="20"/>
                <w:color w:val="auto"/>
                <w:w w:val="91"/>
              </w:rPr>
              <w:t>September 30,</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rPr>
              <w:t>2019</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right"/>
              <w:ind w:right="502"/>
              <w:spacing w:after="0"/>
              <w:rPr>
                <w:sz w:val="20"/>
                <w:szCs w:val="20"/>
                <w:color w:val="auto"/>
              </w:rPr>
            </w:pPr>
            <w:r>
              <w:rPr>
                <w:rFonts w:ascii="Arial" w:cs="Arial" w:eastAsia="Arial" w:hAnsi="Arial"/>
                <w:sz w:val="20"/>
                <w:szCs w:val="20"/>
                <w:color w:val="auto"/>
              </w:rPr>
              <w:t>2018</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ind w:right="62"/>
              <w:spacing w:after="0"/>
              <w:rPr>
                <w:sz w:val="20"/>
                <w:szCs w:val="20"/>
                <w:color w:val="auto"/>
              </w:rPr>
            </w:pPr>
            <w:r>
              <w:rPr>
                <w:rFonts w:ascii="Arial" w:cs="Arial" w:eastAsia="Arial" w:hAnsi="Arial"/>
                <w:sz w:val="20"/>
                <w:szCs w:val="20"/>
                <w:color w:val="auto"/>
              </w:rPr>
              <w:t>2019</w:t>
            </w:r>
          </w:p>
        </w:tc>
        <w:tc>
          <w:tcPr>
            <w:tcW w:w="4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w w:val="98"/>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7"/>
          </w:tcPr>
          <w:p>
            <w:pPr>
              <w:jc w:val="right"/>
              <w:ind w:right="1080"/>
              <w:spacing w:after="0"/>
              <w:rPr>
                <w:sz w:val="20"/>
                <w:szCs w:val="20"/>
                <w:color w:val="auto"/>
              </w:rPr>
            </w:pPr>
            <w:r>
              <w:rPr>
                <w:rFonts w:ascii="Arial" w:cs="Arial" w:eastAsia="Arial" w:hAnsi="Arial"/>
                <w:sz w:val="20"/>
                <w:szCs w:val="20"/>
                <w:i w:val="1"/>
                <w:iCs w:val="1"/>
                <w:color w:val="auto"/>
              </w:rPr>
              <w:t>(Dollars in Thousands)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gridSpan w:val="5"/>
            <w:shd w:val="clear" w:color="auto" w:fill="CFF0FC"/>
          </w:tcPr>
          <w:p>
            <w:pPr>
              <w:spacing w:after="0" w:line="202" w:lineRule="exact"/>
              <w:rPr>
                <w:sz w:val="20"/>
                <w:szCs w:val="20"/>
                <w:color w:val="auto"/>
              </w:rPr>
            </w:pPr>
            <w:r>
              <w:rPr>
                <w:rFonts w:ascii="Arial" w:cs="Arial" w:eastAsia="Arial" w:hAnsi="Arial"/>
                <w:sz w:val="20"/>
                <w:szCs w:val="20"/>
                <w:color w:val="auto"/>
              </w:rPr>
              <w:t>Total revenues:</w:t>
            </w: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5"/>
          </w:tcPr>
          <w:p>
            <w:pPr>
              <w:spacing w:after="0"/>
              <w:rPr>
                <w:sz w:val="20"/>
                <w:szCs w:val="20"/>
                <w:color w:val="auto"/>
              </w:rPr>
            </w:pPr>
            <w:r>
              <w:rPr>
                <w:rFonts w:ascii="Arial" w:cs="Arial" w:eastAsia="Arial" w:hAnsi="Arial"/>
                <w:sz w:val="20"/>
                <w:szCs w:val="20"/>
                <w:color w:val="auto"/>
              </w:rPr>
              <w:t>Mid-America Group</w:t>
            </w:r>
          </w:p>
        </w:tc>
        <w:tc>
          <w:tcPr>
            <w:tcW w:w="112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448,758</w:t>
            </w:r>
          </w:p>
        </w:tc>
        <w:tc>
          <w:tcPr>
            <w:tcW w:w="28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377,005</w:t>
            </w:r>
          </w:p>
        </w:tc>
        <w:tc>
          <w:tcPr>
            <w:tcW w:w="100" w:type="dxa"/>
            <w:vAlign w:val="bottom"/>
          </w:tcPr>
          <w:p>
            <w:pPr>
              <w:spacing w:after="0"/>
              <w:rPr>
                <w:sz w:val="21"/>
                <w:szCs w:val="21"/>
                <w:color w:val="auto"/>
              </w:rPr>
            </w:pPr>
          </w:p>
        </w:tc>
        <w:tc>
          <w:tcPr>
            <w:tcW w:w="940" w:type="dxa"/>
            <w:vAlign w:val="bottom"/>
            <w:gridSpan w:val="2"/>
          </w:tcPr>
          <w:p>
            <w:pPr>
              <w:jc w:val="right"/>
              <w:ind w:right="562"/>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w w:val="85"/>
              </w:rPr>
              <w:t>1,112,897</w:t>
            </w:r>
          </w:p>
        </w:tc>
        <w:tc>
          <w:tcPr>
            <w:tcW w:w="280" w:type="dxa"/>
            <w:vAlign w:val="bottom"/>
          </w:tcPr>
          <w:p>
            <w:pPr>
              <w:spacing w:after="0"/>
              <w:rPr>
                <w:sz w:val="21"/>
                <w:szCs w:val="21"/>
                <w:color w:val="auto"/>
              </w:rPr>
            </w:pPr>
          </w:p>
        </w:tc>
        <w:tc>
          <w:tcPr>
            <w:tcW w:w="500" w:type="dxa"/>
            <w:vAlign w:val="bottom"/>
            <w:gridSpan w:val="2"/>
          </w:tcPr>
          <w:p>
            <w:pPr>
              <w:jc w:val="right"/>
              <w:ind w:right="323"/>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906,377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134,138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125,547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390,399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318,749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772,473</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643,565</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5"/>
              </w:rPr>
              <w:t>1,920,182</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1,783,174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1,355,369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1,146,117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85"/>
              </w:rPr>
              <w:t>3,423,478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3,008,300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Magnesia Specialties</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64,877</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73,523</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215,190</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215,747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7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1,420,246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1,219,640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62"/>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85"/>
              </w:rPr>
              <w:t>3,638,668</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3,224,047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00" w:type="dxa"/>
            <w:vAlign w:val="bottom"/>
            <w:tcBorders>
              <w:bottom w:val="single" w:sz="8" w:color="auto"/>
            </w:tcBorders>
            <w:gridSpan w:val="3"/>
            <w:shd w:val="clear" w:color="auto" w:fill="CFF0FC"/>
          </w:tcPr>
          <w:p>
            <w:pPr>
              <w:spacing w:after="0" w:line="202" w:lineRule="exact"/>
              <w:rPr>
                <w:sz w:val="20"/>
                <w:szCs w:val="20"/>
                <w:color w:val="auto"/>
              </w:rPr>
            </w:pPr>
            <w:r>
              <w:rPr>
                <w:rFonts w:ascii="Arial" w:cs="Arial" w:eastAsia="Arial" w:hAnsi="Arial"/>
                <w:sz w:val="20"/>
                <w:szCs w:val="20"/>
                <w:color w:val="auto"/>
                <w:w w:val="85"/>
              </w:rPr>
              <w:t>Products and services revenues:</w:t>
            </w:r>
          </w:p>
        </w:tc>
        <w:tc>
          <w:tcPr>
            <w:tcW w:w="940" w:type="dxa"/>
            <w:vAlign w:val="bottom"/>
            <w:tcBorders>
              <w:bottom w:val="single" w:sz="8" w:color="CFF0FC"/>
            </w:tcBorders>
            <w:gridSpan w:val="2"/>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Arial" w:cs="Arial" w:eastAsia="Arial" w:hAnsi="Arial"/>
                <w:sz w:val="20"/>
                <w:szCs w:val="20"/>
                <w:color w:val="auto"/>
              </w:rPr>
              <w:t>Mid-America Group</w:t>
            </w:r>
          </w:p>
        </w:tc>
        <w:tc>
          <w:tcPr>
            <w:tcW w:w="112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411,045</w:t>
            </w:r>
          </w:p>
        </w:tc>
        <w:tc>
          <w:tcPr>
            <w:tcW w:w="28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348,429</w:t>
            </w:r>
          </w:p>
        </w:tc>
        <w:tc>
          <w:tcPr>
            <w:tcW w:w="100" w:type="dxa"/>
            <w:vAlign w:val="bottom"/>
          </w:tcPr>
          <w:p>
            <w:pPr>
              <w:spacing w:after="0"/>
              <w:rPr>
                <w:sz w:val="21"/>
                <w:szCs w:val="21"/>
                <w:color w:val="auto"/>
              </w:rPr>
            </w:pPr>
          </w:p>
        </w:tc>
        <w:tc>
          <w:tcPr>
            <w:tcW w:w="940" w:type="dxa"/>
            <w:vAlign w:val="bottom"/>
            <w:gridSpan w:val="2"/>
          </w:tcPr>
          <w:p>
            <w:pPr>
              <w:jc w:val="right"/>
              <w:ind w:right="562"/>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w w:val="85"/>
              </w:rPr>
              <w:t>1,024,069</w:t>
            </w:r>
          </w:p>
        </w:tc>
        <w:tc>
          <w:tcPr>
            <w:tcW w:w="280" w:type="dxa"/>
            <w:vAlign w:val="bottom"/>
          </w:tcPr>
          <w:p>
            <w:pPr>
              <w:spacing w:after="0"/>
              <w:rPr>
                <w:sz w:val="21"/>
                <w:szCs w:val="21"/>
                <w:color w:val="auto"/>
              </w:rPr>
            </w:pPr>
          </w:p>
        </w:tc>
        <w:tc>
          <w:tcPr>
            <w:tcW w:w="500" w:type="dxa"/>
            <w:vAlign w:val="bottom"/>
            <w:gridSpan w:val="2"/>
          </w:tcPr>
          <w:p>
            <w:pPr>
              <w:jc w:val="right"/>
              <w:ind w:right="323"/>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841,897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129,619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121,661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376,967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723,162</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603,763</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5"/>
              </w:rPr>
              <w:t>1,797,677</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1,672,707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1,263,826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1,073,853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85"/>
              </w:rPr>
              <w:t>3,198,713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2,822,910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Magnesia Specialties</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59,334</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68,365</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198,886</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201,390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7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1,323,160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1,142,218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62"/>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85"/>
              </w:rPr>
              <w:t>3,397,599</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3,024,300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440" w:type="dxa"/>
            <w:vAlign w:val="bottom"/>
            <w:gridSpan w:val="5"/>
            <w:shd w:val="clear" w:color="auto" w:fill="CFF0FC"/>
          </w:tcPr>
          <w:p>
            <w:pPr>
              <w:spacing w:after="0" w:line="202" w:lineRule="exact"/>
              <w:rPr>
                <w:sz w:val="20"/>
                <w:szCs w:val="20"/>
                <w:color w:val="auto"/>
              </w:rPr>
            </w:pPr>
            <w:r>
              <w:rPr>
                <w:rFonts w:ascii="Arial" w:cs="Arial" w:eastAsia="Arial" w:hAnsi="Arial"/>
                <w:sz w:val="20"/>
                <w:szCs w:val="20"/>
                <w:color w:val="auto"/>
              </w:rPr>
              <w:t>Earnings (Loss) from operations: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Mid-America Group</w:t>
            </w:r>
          </w:p>
        </w:tc>
        <w:tc>
          <w:tcPr>
            <w:tcW w:w="900" w:type="dxa"/>
            <w:vAlign w:val="bottom"/>
            <w:tcBorders>
              <w:top w:val="single" w:sz="8" w:color="CFF0FC"/>
            </w:tcBorders>
          </w:tcPr>
          <w:p>
            <w:pPr>
              <w:spacing w:after="0"/>
              <w:rPr>
                <w:sz w:val="21"/>
                <w:szCs w:val="21"/>
                <w:color w:val="auto"/>
              </w:rPr>
            </w:pPr>
          </w:p>
        </w:tc>
        <w:tc>
          <w:tcPr>
            <w:tcW w:w="1120" w:type="dxa"/>
            <w:vAlign w:val="bottom"/>
            <w:tcBorders>
              <w:top w:val="single" w:sz="8" w:color="CFF0FC"/>
            </w:tcBorders>
            <w:gridSpan w:val="2"/>
          </w:tcPr>
          <w:p>
            <w:pPr>
              <w:jc w:val="right"/>
              <w:ind w:right="142"/>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159,711</w:t>
            </w:r>
          </w:p>
        </w:tc>
        <w:tc>
          <w:tcPr>
            <w:tcW w:w="28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jc w:val="right"/>
              <w:ind w:right="22"/>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CFF0FC"/>
            </w:tcBorders>
            <w:gridSpan w:val="2"/>
          </w:tcPr>
          <w:p>
            <w:pPr>
              <w:jc w:val="right"/>
              <w:spacing w:after="0"/>
              <w:rPr>
                <w:sz w:val="20"/>
                <w:szCs w:val="20"/>
                <w:color w:val="auto"/>
              </w:rPr>
            </w:pPr>
            <w:r>
              <w:rPr>
                <w:rFonts w:ascii="Arial" w:cs="Arial" w:eastAsia="Arial" w:hAnsi="Arial"/>
                <w:sz w:val="20"/>
                <w:szCs w:val="20"/>
                <w:color w:val="auto"/>
              </w:rPr>
              <w:t>120,344</w:t>
            </w:r>
          </w:p>
        </w:tc>
        <w:tc>
          <w:tcPr>
            <w:tcW w:w="100" w:type="dxa"/>
            <w:vAlign w:val="bottom"/>
            <w:tcBorders>
              <w:top w:val="single" w:sz="8" w:color="CFF0FC"/>
            </w:tcBorders>
          </w:tcPr>
          <w:p>
            <w:pPr>
              <w:spacing w:after="0"/>
              <w:rPr>
                <w:sz w:val="21"/>
                <w:szCs w:val="21"/>
                <w:color w:val="auto"/>
              </w:rPr>
            </w:pPr>
          </w:p>
        </w:tc>
        <w:tc>
          <w:tcPr>
            <w:tcW w:w="940" w:type="dxa"/>
            <w:vAlign w:val="bottom"/>
            <w:tcBorders>
              <w:top w:val="single" w:sz="8" w:color="CFF0FC"/>
            </w:tcBorders>
            <w:gridSpan w:val="2"/>
          </w:tcPr>
          <w:p>
            <w:pPr>
              <w:jc w:val="right"/>
              <w:ind w:right="562"/>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CFF0FC"/>
            </w:tcBorders>
            <w:gridSpan w:val="2"/>
          </w:tcPr>
          <w:p>
            <w:pPr>
              <w:jc w:val="right"/>
              <w:spacing w:after="0"/>
              <w:rPr>
                <w:sz w:val="20"/>
                <w:szCs w:val="20"/>
                <w:color w:val="auto"/>
              </w:rPr>
            </w:pPr>
            <w:r>
              <w:rPr>
                <w:rFonts w:ascii="Arial" w:cs="Arial" w:eastAsia="Arial" w:hAnsi="Arial"/>
                <w:sz w:val="20"/>
                <w:szCs w:val="20"/>
                <w:color w:val="auto"/>
              </w:rPr>
              <w:t>332,344</w:t>
            </w:r>
          </w:p>
        </w:tc>
        <w:tc>
          <w:tcPr>
            <w:tcW w:w="280" w:type="dxa"/>
            <w:vAlign w:val="bottom"/>
            <w:tcBorders>
              <w:top w:val="single" w:sz="8" w:color="CFF0FC"/>
            </w:tcBorders>
          </w:tcPr>
          <w:p>
            <w:pPr>
              <w:spacing w:after="0"/>
              <w:rPr>
                <w:sz w:val="21"/>
                <w:szCs w:val="21"/>
                <w:color w:val="auto"/>
              </w:rPr>
            </w:pPr>
          </w:p>
        </w:tc>
        <w:tc>
          <w:tcPr>
            <w:tcW w:w="500" w:type="dxa"/>
            <w:vAlign w:val="bottom"/>
            <w:tcBorders>
              <w:top w:val="single" w:sz="8" w:color="CFF0FC"/>
            </w:tcBorders>
            <w:gridSpan w:val="2"/>
          </w:tcPr>
          <w:p>
            <w:pPr>
              <w:jc w:val="right"/>
              <w:ind w:right="323"/>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235,221</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31,463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26,372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85,285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156,382</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92,090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286,540</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249,885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347,556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238,806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704,169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545,570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Arial" w:cs="Arial" w:eastAsia="Arial" w:hAnsi="Arial"/>
                <w:sz w:val="20"/>
                <w:szCs w:val="20"/>
                <w:color w:val="auto"/>
              </w:rPr>
              <w:t>Magnesia Specialties</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20,097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23,301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67,959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65,867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Corporate</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(22,390)</w:t>
            </w:r>
          </w:p>
        </w:tc>
        <w:tc>
          <w:tcPr>
            <w:tcW w:w="22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(21,445)</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(71,763)</w:t>
            </w: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(67,741)</w:t>
            </w:r>
          </w:p>
        </w:tc>
        <w:tc>
          <w:tcPr>
            <w:tcW w:w="0" w:type="dxa"/>
            <w:vAlign w:val="bottom"/>
          </w:tcPr>
          <w:p>
            <w:pPr>
              <w:spacing w:after="0"/>
              <w:rPr>
                <w:sz w:val="1"/>
                <w:szCs w:val="1"/>
                <w:color w:val="auto"/>
              </w:rPr>
            </w:pPr>
          </w:p>
        </w:tc>
      </w:tr>
      <w:tr>
        <w:trPr>
          <w:trHeight w:val="235"/>
        </w:trPr>
        <w:tc>
          <w:tcPr>
            <w:tcW w:w="3460" w:type="dxa"/>
            <w:vAlign w:val="bottom"/>
            <w:gridSpan w:val="6"/>
          </w:tcPr>
          <w:p>
            <w:pPr>
              <w:spacing w:after="0"/>
              <w:rPr>
                <w:sz w:val="20"/>
                <w:szCs w:val="20"/>
                <w:color w:val="auto"/>
              </w:rPr>
            </w:pPr>
            <w:r>
              <w:rPr>
                <w:rFonts w:ascii="Arial" w:cs="Arial" w:eastAsia="Arial" w:hAnsi="Arial"/>
                <w:sz w:val="20"/>
                <w:szCs w:val="20"/>
                <w:color w:val="auto"/>
              </w:rPr>
              <w:t>Total</w:t>
            </w:r>
          </w:p>
        </w:tc>
        <w:tc>
          <w:tcPr>
            <w:tcW w:w="7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345,263</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240,662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700,365</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543,696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ind w:right="242"/>
              <w:spacing w:after="0"/>
              <w:rPr>
                <w:sz w:val="20"/>
                <w:szCs w:val="20"/>
                <w:color w:val="auto"/>
              </w:rPr>
            </w:pPr>
            <w:r>
              <w:rPr>
                <w:rFonts w:ascii="Arial" w:cs="Arial" w:eastAsia="Arial" w:hAnsi="Arial"/>
                <w:sz w:val="20"/>
                <w:szCs w:val="20"/>
                <w:color w:val="auto"/>
              </w:rPr>
              <w:t>September 30, 2019</w:t>
            </w:r>
          </w:p>
        </w:tc>
        <w:tc>
          <w:tcPr>
            <w:tcW w:w="360" w:type="dxa"/>
            <w:vAlign w:val="bottom"/>
          </w:tcPr>
          <w:p>
            <w:pPr>
              <w:spacing w:after="0"/>
              <w:rPr>
                <w:sz w:val="24"/>
                <w:szCs w:val="24"/>
                <w:color w:val="auto"/>
              </w:rPr>
            </w:pPr>
          </w:p>
        </w:tc>
        <w:tc>
          <w:tcPr>
            <w:tcW w:w="2380" w:type="dxa"/>
            <w:vAlign w:val="bottom"/>
            <w:gridSpan w:val="6"/>
          </w:tcPr>
          <w:p>
            <w:pPr>
              <w:ind w:left="360"/>
              <w:spacing w:after="0"/>
              <w:rPr>
                <w:sz w:val="20"/>
                <w:szCs w:val="20"/>
                <w:color w:val="auto"/>
              </w:rPr>
            </w:pPr>
            <w:r>
              <w:rPr>
                <w:rFonts w:ascii="Arial" w:cs="Arial" w:eastAsia="Arial" w:hAnsi="Arial"/>
                <w:sz w:val="20"/>
                <w:szCs w:val="20"/>
                <w:color w:val="auto"/>
              </w:rPr>
              <w:t>December 31, 2018</w:t>
            </w:r>
          </w:p>
        </w:tc>
        <w:tc>
          <w:tcPr>
            <w:tcW w:w="0" w:type="dxa"/>
            <w:vAlign w:val="bottom"/>
          </w:tcPr>
          <w:p>
            <w:pPr>
              <w:spacing w:after="0"/>
              <w:rPr>
                <w:sz w:val="1"/>
                <w:szCs w:val="1"/>
                <w:color w:val="auto"/>
              </w:rPr>
            </w:pPr>
          </w:p>
        </w:tc>
      </w:tr>
      <w:tr>
        <w:trPr>
          <w:trHeight w:val="195"/>
        </w:trPr>
        <w:tc>
          <w:tcPr>
            <w:tcW w:w="3460" w:type="dxa"/>
            <w:vAlign w:val="bottom"/>
            <w:gridSpan w:val="6"/>
          </w:tcPr>
          <w:p>
            <w:pPr>
              <w:spacing w:after="0" w:line="195" w:lineRule="exact"/>
              <w:rPr>
                <w:sz w:val="20"/>
                <w:szCs w:val="20"/>
                <w:color w:val="auto"/>
              </w:rPr>
            </w:pPr>
            <w:r>
              <w:rPr>
                <w:rFonts w:ascii="Arial" w:cs="Arial" w:eastAsia="Arial" w:hAnsi="Arial"/>
                <w:sz w:val="20"/>
                <w:szCs w:val="20"/>
                <w:color w:val="auto"/>
              </w:rPr>
              <w:t>Assets employed:</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6"/>
          </w:tcPr>
          <w:p>
            <w:pPr>
              <w:jc w:val="right"/>
              <w:ind w:right="403"/>
              <w:spacing w:after="0" w:line="195" w:lineRule="exact"/>
              <w:rPr>
                <w:sz w:val="20"/>
                <w:szCs w:val="20"/>
                <w:color w:val="auto"/>
              </w:rPr>
            </w:pPr>
            <w:r>
              <w:rPr>
                <w:rFonts w:ascii="Arial" w:cs="Arial" w:eastAsia="Arial" w:hAnsi="Arial"/>
                <w:sz w:val="20"/>
                <w:szCs w:val="20"/>
                <w:i w:val="1"/>
                <w:iCs w:val="1"/>
                <w:color w:val="auto"/>
                <w:w w:val="91"/>
              </w:rPr>
              <w:t>(Dollars in Thousands)</w:t>
            </w: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460" w:type="dxa"/>
            <w:vAlign w:val="bottom"/>
            <w:gridSpan w:val="6"/>
          </w:tcPr>
          <w:p>
            <w:pPr>
              <w:spacing w:after="0"/>
              <w:rPr>
                <w:sz w:val="20"/>
                <w:szCs w:val="20"/>
                <w:color w:val="auto"/>
              </w:rPr>
            </w:pPr>
            <w:r>
              <w:rPr>
                <w:rFonts w:ascii="Arial" w:cs="Arial" w:eastAsia="Arial" w:hAnsi="Arial"/>
                <w:sz w:val="20"/>
                <w:szCs w:val="20"/>
                <w:color w:val="auto"/>
              </w:rPr>
              <w:t>Mid-America Group</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1022"/>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2,904,439</w:t>
            </w:r>
          </w:p>
        </w:tc>
        <w:tc>
          <w:tcPr>
            <w:tcW w:w="8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2,788,454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1,447,293</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1,299,469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5,392,587</w:t>
            </w:r>
          </w:p>
        </w:tc>
        <w:tc>
          <w:tcPr>
            <w:tcW w:w="3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4,989,639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9,744,319</w:t>
            </w: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9,077,562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Arial" w:cs="Arial" w:eastAsia="Arial" w:hAnsi="Arial"/>
                <w:sz w:val="20"/>
                <w:szCs w:val="20"/>
                <w:color w:val="auto"/>
              </w:rPr>
              <w:t>Magnesia Specialties</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163,095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156,106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Corporate</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316,071</w:t>
            </w:r>
          </w:p>
        </w:tc>
        <w:tc>
          <w:tcPr>
            <w:tcW w:w="36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317,751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460" w:type="dxa"/>
            <w:vAlign w:val="bottom"/>
            <w:gridSpan w:val="6"/>
          </w:tcPr>
          <w:p>
            <w:pPr>
              <w:spacing w:after="0"/>
              <w:rPr>
                <w:sz w:val="20"/>
                <w:szCs w:val="20"/>
                <w:color w:val="auto"/>
              </w:rPr>
            </w:pPr>
            <w:r>
              <w:rPr>
                <w:rFonts w:ascii="Arial" w:cs="Arial" w:eastAsia="Arial" w:hAnsi="Arial"/>
                <w:sz w:val="20"/>
                <w:szCs w:val="20"/>
                <w:color w:val="auto"/>
              </w:rPr>
              <w:t>Total</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1022"/>
              <w:spacing w:after="0"/>
              <w:rPr>
                <w:sz w:val="20"/>
                <w:szCs w:val="20"/>
                <w:color w:val="auto"/>
              </w:rPr>
            </w:pPr>
            <w:r>
              <w:rPr>
                <w:rFonts w:ascii="Arial" w:cs="Arial" w:eastAsia="Arial" w:hAnsi="Arial"/>
                <w:sz w:val="20"/>
                <w:szCs w:val="20"/>
                <w:color w:val="auto"/>
                <w:w w:val="71"/>
              </w:rPr>
              <w:t>$</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10,223,485</w:t>
            </w: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9,551,419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8" w:lineRule="exact"/>
        <w:rPr>
          <w:sz w:val="20"/>
          <w:szCs w:val="20"/>
          <w:color w:val="auto"/>
        </w:rPr>
      </w:pPr>
    </w:p>
    <w:p>
      <w:pPr>
        <w:ind w:left="380" w:hanging="373"/>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57" w:lineRule="exact"/>
        <w:rPr>
          <w:rFonts w:ascii="Arial" w:cs="Arial" w:eastAsia="Arial" w:hAnsi="Arial"/>
          <w:sz w:val="20"/>
          <w:szCs w:val="20"/>
          <w:b w:val="1"/>
          <w:bCs w:val="1"/>
          <w:color w:val="auto"/>
        </w:rPr>
      </w:pPr>
    </w:p>
    <w:p>
      <w:pPr>
        <w:jc w:val="both"/>
        <w:ind w:left="380"/>
        <w:spacing w:after="0" w:line="285" w:lineRule="auto"/>
        <w:rPr>
          <w:rFonts w:ascii="Arial" w:cs="Arial" w:eastAsia="Arial" w:hAnsi="Arial"/>
          <w:sz w:val="20"/>
          <w:szCs w:val="20"/>
          <w:b w:val="1"/>
          <w:bCs w:val="1"/>
          <w:color w:val="auto"/>
        </w:rPr>
      </w:pPr>
      <w:r>
        <w:rPr>
          <w:rFonts w:ascii="Arial" w:cs="Arial" w:eastAsia="Arial" w:hAnsi="Arial"/>
          <w:sz w:val="17"/>
          <w:szCs w:val="17"/>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 The Company’s two cold mix asphalt plants have been reclassified from the asphalt and paving product line to the aggregates product line. These operations did not represent a material amount of</w:t>
      </w:r>
    </w:p>
    <w:p>
      <w:pPr>
        <w:spacing w:after="0" w:line="1" w:lineRule="exact"/>
        <w:rPr>
          <w:sz w:val="20"/>
          <w:szCs w:val="20"/>
          <w:color w:val="auto"/>
        </w:rPr>
      </w:pPr>
    </w:p>
    <w:p>
      <w:pPr>
        <w:ind w:left="380" w:right="20"/>
        <w:spacing w:after="0"/>
        <w:rPr>
          <w:sz w:val="20"/>
          <w:szCs w:val="20"/>
          <w:color w:val="auto"/>
        </w:rPr>
      </w:pPr>
      <w:r>
        <w:rPr>
          <w:rFonts w:ascii="Arial" w:cs="Arial" w:eastAsia="Arial" w:hAnsi="Arial"/>
          <w:sz w:val="20"/>
          <w:szCs w:val="20"/>
          <w:color w:val="auto"/>
        </w:rPr>
        <w:t>product revenues and gross profit. Prior-year information has been reclassified to conform to the presentation of the Company’s current reportable product lines.</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5"/>
          </w:tcPr>
          <w:p>
            <w:pPr>
              <w:jc w:val="right"/>
              <w:ind w:right="1180"/>
              <w:spacing w:after="0" w:line="217" w:lineRule="exact"/>
              <w:rPr>
                <w:sz w:val="20"/>
                <w:szCs w:val="20"/>
                <w:color w:val="auto"/>
              </w:rPr>
            </w:pPr>
            <w:r>
              <w:rPr>
                <w:rFonts w:ascii="Arial" w:cs="Arial" w:eastAsia="Arial" w:hAnsi="Arial"/>
                <w:sz w:val="19"/>
                <w:szCs w:val="19"/>
                <w:color w:val="auto"/>
              </w:rPr>
              <w:t>Three Months Ended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3"/>
          </w:tcPr>
          <w:p>
            <w:pPr>
              <w:jc w:val="right"/>
              <w:spacing w:after="0" w:line="217" w:lineRule="exact"/>
              <w:rPr>
                <w:sz w:val="20"/>
                <w:szCs w:val="20"/>
                <w:color w:val="auto"/>
              </w:rPr>
            </w:pPr>
            <w:r>
              <w:rPr>
                <w:rFonts w:ascii="Arial" w:cs="Arial" w:eastAsia="Arial" w:hAnsi="Arial"/>
                <w:sz w:val="19"/>
                <w:szCs w:val="19"/>
                <w:color w:val="auto"/>
              </w:rPr>
              <w:t>Nine Months Ended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9"/>
                <w:szCs w:val="19"/>
                <w:color w:val="auto"/>
              </w:rPr>
              <w:t>September 30,</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9"/>
                <w:szCs w:val="19"/>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5"/>
              <w:spacing w:after="0"/>
              <w:rPr>
                <w:sz w:val="20"/>
                <w:szCs w:val="20"/>
                <w:color w:val="auto"/>
              </w:rPr>
            </w:pPr>
            <w:r>
              <w:rPr>
                <w:rFonts w:ascii="Arial" w:cs="Arial" w:eastAsia="Arial" w:hAnsi="Arial"/>
                <w:sz w:val="19"/>
                <w:szCs w:val="19"/>
                <w:color w:val="auto"/>
              </w:rPr>
              <w:t>2019</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rPr>
              <w:t>2018</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rPr>
              <w:t>2019</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w w:val="89"/>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60" w:type="dxa"/>
            <w:vAlign w:val="bottom"/>
            <w:gridSpan w:val="6"/>
          </w:tcPr>
          <w:p>
            <w:pPr>
              <w:jc w:val="right"/>
              <w:ind w:right="1200"/>
              <w:spacing w:after="0"/>
              <w:rPr>
                <w:sz w:val="20"/>
                <w:szCs w:val="20"/>
                <w:color w:val="auto"/>
              </w:rPr>
            </w:pPr>
            <w:r>
              <w:rPr>
                <w:rFonts w:ascii="Arial" w:cs="Arial" w:eastAsia="Arial" w:hAnsi="Arial"/>
                <w:sz w:val="19"/>
                <w:szCs w:val="19"/>
                <w:i w:val="1"/>
                <w:iCs w:val="1"/>
                <w:color w:val="auto"/>
              </w:rPr>
              <w:t>(Dollars in Thousands)</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FF0FC"/>
          </w:tcPr>
          <w:p>
            <w:pPr>
              <w:spacing w:after="0" w:line="188" w:lineRule="exact"/>
              <w:rPr>
                <w:sz w:val="20"/>
                <w:szCs w:val="20"/>
                <w:color w:val="auto"/>
              </w:rPr>
            </w:pPr>
            <w:r>
              <w:rPr>
                <w:rFonts w:ascii="Arial" w:cs="Arial" w:eastAsia="Arial" w:hAnsi="Arial"/>
                <w:sz w:val="19"/>
                <w:szCs w:val="19"/>
                <w:color w:val="auto"/>
                <w:w w:val="85"/>
              </w:rPr>
              <w:t>Total revenues:</w:t>
            </w:r>
          </w:p>
        </w:tc>
        <w:tc>
          <w:tcPr>
            <w:tcW w:w="2040" w:type="dxa"/>
            <w:vAlign w:val="bottom"/>
            <w:tcBorders>
              <w:bottom w:val="single" w:sz="8" w:color="CFF0FC"/>
            </w:tcBorders>
            <w:gridSpan w:val="2"/>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9"/>
                <w:szCs w:val="19"/>
                <w:color w:val="auto"/>
              </w:rPr>
              <w:t>Building Materials Business: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Products and services:</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ind w:left="240"/>
              <w:spacing w:after="0"/>
              <w:rPr>
                <w:sz w:val="20"/>
                <w:szCs w:val="20"/>
                <w:color w:val="auto"/>
              </w:rPr>
            </w:pPr>
            <w:r>
              <w:rPr>
                <w:rFonts w:ascii="Arial" w:cs="Arial" w:eastAsia="Arial" w:hAnsi="Arial"/>
                <w:sz w:val="19"/>
                <w:szCs w:val="19"/>
                <w:color w:val="auto"/>
              </w:rPr>
              <w:t>Aggregates</w:t>
            </w:r>
          </w:p>
        </w:tc>
        <w:tc>
          <w:tcPr>
            <w:tcW w:w="1000" w:type="dxa"/>
            <w:vAlign w:val="bottom"/>
            <w:gridSpan w:val="2"/>
          </w:tcPr>
          <w:p>
            <w:pPr>
              <w:jc w:val="right"/>
              <w:ind w:right="166"/>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818,693</w:t>
            </w:r>
          </w:p>
        </w:tc>
        <w:tc>
          <w:tcPr>
            <w:tcW w:w="300" w:type="dxa"/>
            <w:vAlign w:val="bottom"/>
          </w:tcPr>
          <w:p>
            <w:pPr>
              <w:spacing w:after="0"/>
              <w:rPr>
                <w:sz w:val="19"/>
                <w:szCs w:val="19"/>
                <w:color w:val="auto"/>
              </w:rPr>
            </w:pPr>
          </w:p>
        </w:tc>
        <w:tc>
          <w:tcPr>
            <w:tcW w:w="500" w:type="dxa"/>
            <w:vAlign w:val="bottom"/>
          </w:tcPr>
          <w:p>
            <w:pPr>
              <w:jc w:val="right"/>
              <w:ind w:right="306"/>
              <w:spacing w:after="0"/>
              <w:rPr>
                <w:sz w:val="20"/>
                <w:szCs w:val="20"/>
                <w:color w:val="auto"/>
              </w:rPr>
            </w:pPr>
            <w:r>
              <w:rPr>
                <w:rFonts w:ascii="Arial" w:cs="Arial" w:eastAsia="Arial" w:hAnsi="Arial"/>
                <w:sz w:val="19"/>
                <w:szCs w:val="19"/>
                <w:color w:val="auto"/>
                <w:w w:val="75"/>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691,822</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2,121,443</w:t>
            </w:r>
          </w:p>
        </w:tc>
        <w:tc>
          <w:tcPr>
            <w:tcW w:w="280" w:type="dxa"/>
            <w:vAlign w:val="bottom"/>
          </w:tcPr>
          <w:p>
            <w:pPr>
              <w:spacing w:after="0"/>
              <w:rPr>
                <w:sz w:val="19"/>
                <w:szCs w:val="19"/>
                <w:color w:val="auto"/>
              </w:rPr>
            </w:pPr>
          </w:p>
        </w:tc>
        <w:tc>
          <w:tcPr>
            <w:tcW w:w="620" w:type="dxa"/>
            <w:vAlign w:val="bottom"/>
          </w:tcPr>
          <w:p>
            <w:pPr>
              <w:jc w:val="right"/>
              <w:ind w:right="426"/>
              <w:spacing w:after="0"/>
              <w:rPr>
                <w:sz w:val="20"/>
                <w:szCs w:val="20"/>
                <w:color w:val="auto"/>
              </w:rPr>
            </w:pPr>
            <w:r>
              <w:rPr>
                <w:rFonts w:ascii="Arial" w:cs="Arial" w:eastAsia="Arial" w:hAnsi="Arial"/>
                <w:sz w:val="19"/>
                <w:szCs w:val="19"/>
                <w:color w:val="auto"/>
                <w:w w:val="75"/>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1,785,961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119,609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98,223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330,976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300,554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ind w:left="240"/>
              <w:spacing w:after="0"/>
              <w:rPr>
                <w:sz w:val="20"/>
                <w:szCs w:val="20"/>
                <w:color w:val="auto"/>
              </w:rPr>
            </w:pPr>
            <w:r>
              <w:rPr>
                <w:rFonts w:ascii="Arial" w:cs="Arial" w:eastAsia="Arial" w:hAnsi="Arial"/>
                <w:sz w:val="19"/>
                <w:szCs w:val="19"/>
                <w:color w:val="auto"/>
              </w:rPr>
              <w:t>Ready mixed concrete</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271,844</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254,686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724,179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750,424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FF0FC"/>
          </w:tcPr>
          <w:p>
            <w:pPr>
              <w:ind w:left="240"/>
              <w:spacing w:after="0"/>
              <w:rPr>
                <w:sz w:val="20"/>
                <w:szCs w:val="20"/>
                <w:color w:val="auto"/>
              </w:rPr>
            </w:pPr>
            <w:r>
              <w:rPr>
                <w:rFonts w:ascii="Arial" w:cs="Arial" w:eastAsia="Arial" w:hAnsi="Arial"/>
                <w:sz w:val="19"/>
                <w:szCs w:val="19"/>
                <w:color w:val="auto"/>
              </w:rPr>
              <w:t>Asphalt and paving services</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131,099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95,961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225,669</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191,652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ind w:left="240"/>
              <w:spacing w:after="0"/>
              <w:rPr>
                <w:sz w:val="20"/>
                <w:szCs w:val="20"/>
                <w:color w:val="auto"/>
              </w:rPr>
            </w:pPr>
            <w:r>
              <w:rPr>
                <w:rFonts w:ascii="Arial" w:cs="Arial" w:eastAsia="Arial" w:hAnsi="Arial"/>
                <w:sz w:val="19"/>
                <w:szCs w:val="19"/>
                <w:color w:val="auto"/>
              </w:rPr>
              <w:t>Less: interproduct revenues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9"/>
                <w:szCs w:val="19"/>
                <w:color w:val="auto"/>
              </w:rPr>
              <w:t>(77,419)</w:t>
            </w:r>
          </w:p>
        </w:tc>
        <w:tc>
          <w:tcPr>
            <w:tcW w:w="5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9"/>
                <w:szCs w:val="19"/>
                <w:color w:val="auto"/>
              </w:rPr>
              <w:t>(66,839)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9"/>
                <w:szCs w:val="19"/>
                <w:color w:val="auto"/>
              </w:rPr>
              <w:t>(203,554)</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(205,681)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Borders>
              <w:top w:val="single" w:sz="8" w:color="CFF0FC"/>
            </w:tcBorders>
            <w:gridSpan w:val="3"/>
            <w:shd w:val="clear" w:color="auto" w:fill="CFF0FC"/>
          </w:tcPr>
          <w:p>
            <w:pPr>
              <w:ind w:left="120"/>
              <w:spacing w:after="0"/>
              <w:rPr>
                <w:sz w:val="20"/>
                <w:szCs w:val="20"/>
                <w:color w:val="auto"/>
              </w:rPr>
            </w:pPr>
            <w:r>
              <w:rPr>
                <w:rFonts w:ascii="Arial" w:cs="Arial" w:eastAsia="Arial" w:hAnsi="Arial"/>
                <w:sz w:val="19"/>
                <w:szCs w:val="19"/>
                <w:color w:val="auto"/>
              </w:rPr>
              <w:t>Products and services</w:t>
            </w:r>
          </w:p>
        </w:tc>
        <w:tc>
          <w:tcPr>
            <w:tcW w:w="6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1,263,826</w:t>
            </w:r>
          </w:p>
        </w:tc>
        <w:tc>
          <w:tcPr>
            <w:tcW w:w="3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1,073,853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3,198,713</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2,822,910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Borders>
              <w:bottom w:val="single" w:sz="8" w:color="CFF0FC"/>
            </w:tcBorders>
            <w:gridSpan w:val="3"/>
          </w:tcPr>
          <w:p>
            <w:pPr>
              <w:ind w:left="120"/>
              <w:spacing w:after="0"/>
              <w:rPr>
                <w:sz w:val="20"/>
                <w:szCs w:val="20"/>
                <w:color w:val="auto"/>
              </w:rPr>
            </w:pPr>
            <w:r>
              <w:rPr>
                <w:rFonts w:ascii="Arial" w:cs="Arial" w:eastAsia="Arial" w:hAnsi="Arial"/>
                <w:sz w:val="19"/>
                <w:szCs w:val="19"/>
                <w:color w:val="auto"/>
              </w:rPr>
              <w:t>Freight</w:t>
            </w:r>
          </w:p>
        </w:tc>
        <w:tc>
          <w:tcPr>
            <w:tcW w:w="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91,543</w:t>
            </w:r>
          </w:p>
        </w:tc>
        <w:tc>
          <w:tcPr>
            <w:tcW w:w="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72,264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224,765</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185,390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1,355,369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1,146,117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3,423,478</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3,008,300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9"/>
                <w:szCs w:val="19"/>
                <w:color w:val="auto"/>
              </w:rPr>
              <w:t>Magnesia Specialties: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FF0FC"/>
          </w:tcPr>
          <w:p>
            <w:pPr>
              <w:ind w:left="120"/>
              <w:spacing w:after="0"/>
              <w:rPr>
                <w:sz w:val="20"/>
                <w:szCs w:val="20"/>
                <w:color w:val="auto"/>
              </w:rPr>
            </w:pPr>
            <w:r>
              <w:rPr>
                <w:rFonts w:ascii="Arial" w:cs="Arial" w:eastAsia="Arial" w:hAnsi="Arial"/>
                <w:sz w:val="19"/>
                <w:szCs w:val="19"/>
                <w:color w:val="auto"/>
              </w:rPr>
              <w:t>Products and services</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59,334</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68,365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198,886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201,390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Borders>
              <w:bottom w:val="single" w:sz="8" w:color="CFF0FC"/>
            </w:tcBorders>
            <w:gridSpan w:val="3"/>
          </w:tcPr>
          <w:p>
            <w:pPr>
              <w:ind w:left="120"/>
              <w:spacing w:after="0"/>
              <w:rPr>
                <w:sz w:val="20"/>
                <w:szCs w:val="20"/>
                <w:color w:val="auto"/>
              </w:rPr>
            </w:pPr>
            <w:r>
              <w:rPr>
                <w:rFonts w:ascii="Arial" w:cs="Arial" w:eastAsia="Arial" w:hAnsi="Arial"/>
                <w:sz w:val="19"/>
                <w:szCs w:val="19"/>
                <w:color w:val="auto"/>
              </w:rPr>
              <w:t>Freight</w:t>
            </w:r>
          </w:p>
        </w:tc>
        <w:tc>
          <w:tcPr>
            <w:tcW w:w="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5,543</w:t>
            </w:r>
          </w:p>
        </w:tc>
        <w:tc>
          <w:tcPr>
            <w:tcW w:w="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16,304</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Magnesia Specialties</w:t>
            </w:r>
          </w:p>
        </w:tc>
        <w:tc>
          <w:tcPr>
            <w:tcW w:w="6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64,877</w:t>
            </w:r>
          </w:p>
        </w:tc>
        <w:tc>
          <w:tcPr>
            <w:tcW w:w="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73,523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215,190</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215,747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0" w:type="dxa"/>
            <w:vAlign w:val="bottom"/>
            <w:gridSpan w:val="4"/>
          </w:tcPr>
          <w:p>
            <w:pPr>
              <w:spacing w:after="0"/>
              <w:rPr>
                <w:sz w:val="20"/>
                <w:szCs w:val="20"/>
                <w:color w:val="auto"/>
              </w:rPr>
            </w:pPr>
            <w:r>
              <w:rPr>
                <w:rFonts w:ascii="Arial" w:cs="Arial" w:eastAsia="Arial" w:hAnsi="Arial"/>
                <w:sz w:val="19"/>
                <w:szCs w:val="19"/>
                <w:color w:val="auto"/>
              </w:rPr>
              <w:t>Total</w:t>
            </w:r>
          </w:p>
        </w:tc>
        <w:tc>
          <w:tcPr>
            <w:tcW w:w="640" w:type="dxa"/>
            <w:vAlign w:val="bottom"/>
          </w:tcPr>
          <w:p>
            <w:pPr>
              <w:spacing w:after="0"/>
              <w:rPr>
                <w:sz w:val="19"/>
                <w:szCs w:val="19"/>
                <w:color w:val="auto"/>
              </w:rPr>
            </w:pPr>
          </w:p>
        </w:tc>
        <w:tc>
          <w:tcPr>
            <w:tcW w:w="36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color w:val="auto"/>
                <w:w w:val="7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1,420,246</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1,219,640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3,638,668</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26"/>
              <w:spacing w:after="0"/>
              <w:rPr>
                <w:sz w:val="20"/>
                <w:szCs w:val="20"/>
                <w:color w:val="auto"/>
              </w:rPr>
            </w:pPr>
            <w:r>
              <w:rPr>
                <w:rFonts w:ascii="Arial" w:cs="Arial" w:eastAsia="Arial" w:hAnsi="Arial"/>
                <w:sz w:val="19"/>
                <w:szCs w:val="19"/>
                <w:color w:val="auto"/>
                <w:w w:val="7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3,224,047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gridSpan w:val="4"/>
            <w:vMerge w:val="restart"/>
          </w:tcPr>
          <w:p>
            <w:pPr>
              <w:spacing w:after="0"/>
              <w:rPr>
                <w:sz w:val="20"/>
                <w:szCs w:val="20"/>
                <w:color w:val="auto"/>
              </w:rPr>
            </w:pPr>
            <w:r>
              <w:rPr>
                <w:rFonts w:ascii="Arial" w:cs="Arial" w:eastAsia="Arial" w:hAnsi="Arial"/>
                <w:sz w:val="19"/>
                <w:szCs w:val="19"/>
                <w:color w:val="auto"/>
              </w:rPr>
              <w:t>Gross profit (loss):</w:t>
            </w: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20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Building Materials Business:</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9"/>
                <w:szCs w:val="19"/>
                <w:color w:val="auto"/>
              </w:rPr>
              <w:t>Products and services: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FF0FC"/>
          </w:tcPr>
          <w:p>
            <w:pPr>
              <w:ind w:left="240"/>
              <w:spacing w:after="0"/>
              <w:rPr>
                <w:sz w:val="20"/>
                <w:szCs w:val="20"/>
                <w:color w:val="auto"/>
              </w:rPr>
            </w:pPr>
            <w:r>
              <w:rPr>
                <w:rFonts w:ascii="Arial" w:cs="Arial" w:eastAsia="Arial" w:hAnsi="Arial"/>
                <w:sz w:val="19"/>
                <w:szCs w:val="19"/>
                <w:color w:val="auto"/>
              </w:rPr>
              <w:t>Aggregates</w:t>
            </w:r>
          </w:p>
        </w:tc>
        <w:tc>
          <w:tcPr>
            <w:tcW w:w="1000" w:type="dxa"/>
            <w:vAlign w:val="bottom"/>
            <w:gridSpan w:val="2"/>
            <w:shd w:val="clear" w:color="auto" w:fill="CFF0FC"/>
          </w:tcPr>
          <w:p>
            <w:pPr>
              <w:jc w:val="right"/>
              <w:ind w:right="166"/>
              <w:spacing w:after="0"/>
              <w:rPr>
                <w:sz w:val="20"/>
                <w:szCs w:val="20"/>
                <w:color w:val="auto"/>
              </w:rPr>
            </w:pPr>
            <w:r>
              <w:rPr>
                <w:rFonts w:ascii="Arial" w:cs="Arial" w:eastAsia="Arial" w:hAnsi="Arial"/>
                <w:sz w:val="19"/>
                <w:szCs w:val="19"/>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287,024</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6"/>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209,666</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9"/>
                <w:szCs w:val="19"/>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636,505</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26"/>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461,912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ind w:left="240"/>
              <w:spacing w:after="0"/>
              <w:rPr>
                <w:sz w:val="20"/>
                <w:szCs w:val="20"/>
                <w:color w:val="auto"/>
              </w:rPr>
            </w:pPr>
            <w:r>
              <w:rPr>
                <w:rFonts w:ascii="Arial" w:cs="Arial" w:eastAsia="Arial" w:hAnsi="Arial"/>
                <w:sz w:val="19"/>
                <w:szCs w:val="19"/>
                <w:color w:val="auto"/>
              </w:rPr>
              <w:t>Cement</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48,519</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32,543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104,526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97,582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FF0FC"/>
          </w:tcPr>
          <w:p>
            <w:pPr>
              <w:ind w:left="240"/>
              <w:spacing w:after="0"/>
              <w:rPr>
                <w:sz w:val="20"/>
                <w:szCs w:val="20"/>
                <w:color w:val="auto"/>
              </w:rPr>
            </w:pPr>
            <w:r>
              <w:rPr>
                <w:rFonts w:ascii="Arial" w:cs="Arial" w:eastAsia="Arial" w:hAnsi="Arial"/>
                <w:sz w:val="19"/>
                <w:szCs w:val="19"/>
                <w:color w:val="auto"/>
              </w:rPr>
              <w:t>Ready mixed concrete</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28,948</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20,632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62,454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66,226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Borders>
              <w:bottom w:val="single" w:sz="8" w:color="CFF0FC"/>
            </w:tcBorders>
            <w:gridSpan w:val="3"/>
          </w:tcPr>
          <w:p>
            <w:pPr>
              <w:ind w:left="240"/>
              <w:spacing w:after="0"/>
              <w:rPr>
                <w:sz w:val="20"/>
                <w:szCs w:val="20"/>
                <w:color w:val="auto"/>
              </w:rPr>
            </w:pPr>
            <w:r>
              <w:rPr>
                <w:rFonts w:ascii="Arial" w:cs="Arial" w:eastAsia="Arial" w:hAnsi="Arial"/>
                <w:sz w:val="19"/>
                <w:szCs w:val="19"/>
                <w:color w:val="auto"/>
              </w:rPr>
              <w:t>Asphalt and paving services</w:t>
            </w:r>
          </w:p>
        </w:tc>
        <w:tc>
          <w:tcPr>
            <w:tcW w:w="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31,102</w:t>
            </w:r>
          </w:p>
        </w:tc>
        <w:tc>
          <w:tcPr>
            <w:tcW w:w="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38,519</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35,191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shd w:val="clear" w:color="auto" w:fill="CFF0FC"/>
          </w:tcPr>
          <w:p>
            <w:pPr>
              <w:ind w:left="120"/>
              <w:spacing w:after="0"/>
              <w:rPr>
                <w:sz w:val="20"/>
                <w:szCs w:val="20"/>
                <w:color w:val="auto"/>
              </w:rPr>
            </w:pPr>
            <w:r>
              <w:rPr>
                <w:rFonts w:ascii="Arial" w:cs="Arial" w:eastAsia="Arial" w:hAnsi="Arial"/>
                <w:sz w:val="19"/>
                <w:szCs w:val="19"/>
                <w:color w:val="auto"/>
              </w:rPr>
              <w:t>Products and services</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395,593</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287,863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842,004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660,911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80" w:type="dxa"/>
            <w:vAlign w:val="bottom"/>
            <w:gridSpan w:val="3"/>
          </w:tcPr>
          <w:p>
            <w:pPr>
              <w:ind w:left="120"/>
              <w:spacing w:after="0"/>
              <w:rPr>
                <w:sz w:val="20"/>
                <w:szCs w:val="20"/>
                <w:color w:val="auto"/>
              </w:rPr>
            </w:pPr>
            <w:r>
              <w:rPr>
                <w:rFonts w:ascii="Arial" w:cs="Arial" w:eastAsia="Arial" w:hAnsi="Arial"/>
                <w:sz w:val="19"/>
                <w:szCs w:val="19"/>
                <w:color w:val="auto"/>
              </w:rPr>
              <w:t>Freight</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317</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9"/>
                <w:szCs w:val="19"/>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378</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6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395,910</w:t>
            </w:r>
          </w:p>
        </w:tc>
        <w:tc>
          <w:tcPr>
            <w:tcW w:w="30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287,816</w:t>
            </w: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842,382</w:t>
            </w:r>
          </w:p>
        </w:tc>
        <w:tc>
          <w:tcPr>
            <w:tcW w:w="28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661,343</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9"/>
                <w:szCs w:val="19"/>
                <w:color w:val="auto"/>
              </w:rPr>
              <w:t>Magnesia Specialties: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80" w:type="dxa"/>
            <w:vAlign w:val="bottom"/>
            <w:gridSpan w:val="3"/>
            <w:shd w:val="clear" w:color="auto" w:fill="CFF0FC"/>
          </w:tcPr>
          <w:p>
            <w:pPr>
              <w:ind w:left="120"/>
              <w:spacing w:after="0"/>
              <w:rPr>
                <w:sz w:val="20"/>
                <w:szCs w:val="20"/>
                <w:color w:val="auto"/>
              </w:rPr>
            </w:pPr>
            <w:r>
              <w:rPr>
                <w:rFonts w:ascii="Arial" w:cs="Arial" w:eastAsia="Arial" w:hAnsi="Arial"/>
                <w:sz w:val="19"/>
                <w:szCs w:val="19"/>
                <w:color w:val="auto"/>
              </w:rPr>
              <w:t>Products and services</w:t>
            </w: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23,997</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26,823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79,816</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76,756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ind w:left="120"/>
              <w:spacing w:after="0"/>
              <w:rPr>
                <w:sz w:val="20"/>
                <w:szCs w:val="20"/>
                <w:color w:val="auto"/>
              </w:rPr>
            </w:pPr>
            <w:r>
              <w:rPr>
                <w:rFonts w:ascii="Arial" w:cs="Arial" w:eastAsia="Arial" w:hAnsi="Arial"/>
                <w:sz w:val="19"/>
                <w:szCs w:val="19"/>
                <w:color w:val="auto"/>
              </w:rPr>
              <w:t>Freight</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9"/>
                <w:szCs w:val="19"/>
                <w:color w:val="auto"/>
              </w:rPr>
              <w:t>(987)</w:t>
            </w:r>
          </w:p>
        </w:tc>
        <w:tc>
          <w:tcPr>
            <w:tcW w:w="5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9"/>
                <w:szCs w:val="19"/>
                <w:color w:val="auto"/>
              </w:rPr>
              <w:t>(1,076)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9"/>
                <w:szCs w:val="19"/>
                <w:color w:val="auto"/>
              </w:rPr>
              <w:t>(3,226)</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(3,280)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Magnesia Specialties</w:t>
            </w:r>
          </w:p>
        </w:tc>
        <w:tc>
          <w:tcPr>
            <w:tcW w:w="6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23,010</w:t>
            </w:r>
          </w:p>
        </w:tc>
        <w:tc>
          <w:tcPr>
            <w:tcW w:w="30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25,747</w:t>
            </w: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76,590</w:t>
            </w:r>
          </w:p>
        </w:tc>
        <w:tc>
          <w:tcPr>
            <w:tcW w:w="28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73,476</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9"/>
                <w:szCs w:val="19"/>
                <w:color w:val="auto"/>
              </w:rPr>
              <w:t>Corporate</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1,725</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9"/>
                <w:szCs w:val="19"/>
                <w:color w:val="auto"/>
              </w:rPr>
              <w:t>(579)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1,446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9"/>
                <w:szCs w:val="19"/>
                <w:color w:val="auto"/>
                <w:w w:val="75"/>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420,645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06"/>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312,984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920,418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26"/>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739,293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8" w:lineRule="exact"/>
        <w:rPr>
          <w:sz w:val="20"/>
          <w:szCs w:val="20"/>
          <w:color w:val="auto"/>
        </w:rPr>
      </w:pPr>
    </w:p>
    <w:p>
      <w:pPr>
        <w:ind w:left="380" w:hanging="373"/>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111" w:lineRule="exact"/>
        <w:rPr>
          <w:rFonts w:ascii="Arial" w:cs="Arial" w:eastAsia="Arial" w:hAnsi="Arial"/>
          <w:sz w:val="20"/>
          <w:szCs w:val="20"/>
          <w:b w:val="1"/>
          <w:bCs w:val="1"/>
          <w:color w:val="auto"/>
        </w:rPr>
      </w:pPr>
    </w:p>
    <w:p>
      <w:pPr>
        <w:jc w:val="both"/>
        <w:ind w:left="380" w:right="20"/>
        <w:spacing w:after="0" w:line="267" w:lineRule="auto"/>
        <w:rPr>
          <w:rFonts w:ascii="Arial" w:cs="Arial" w:eastAsia="Arial" w:hAnsi="Arial"/>
          <w:sz w:val="20"/>
          <w:szCs w:val="20"/>
          <w:b w:val="1"/>
          <w:bCs w:val="1"/>
          <w:color w:val="auto"/>
        </w:rPr>
      </w:pPr>
      <w:r>
        <w:rPr>
          <w:rFonts w:ascii="Arial" w:cs="Arial" w:eastAsia="Arial" w:hAnsi="Arial"/>
          <w:sz w:val="19"/>
          <w:szCs w:val="19"/>
          <w:color w:val="auto"/>
        </w:rPr>
        <w:t>The Company has leases, primarily for equipment, railcars, fleet vehicles, office space, land and information technology equipment and software. The Company’s leases have remaining lease terms of one year to 54 years, some of which may include options to extend the leases for up to 30 years, and some of which may include options to terminate the leases within one year.</w:t>
      </w:r>
    </w:p>
    <w:p>
      <w:pPr>
        <w:spacing w:after="0" w:line="63"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7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lease cost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Three Months Ended</w:t>
            </w:r>
          </w:p>
        </w:tc>
        <w:tc>
          <w:tcPr>
            <w:tcW w:w="200" w:type="dxa"/>
            <w:vAlign w:val="bottom"/>
          </w:tcPr>
          <w:p>
            <w:pPr>
              <w:spacing w:after="0"/>
              <w:rPr>
                <w:sz w:val="21"/>
                <w:szCs w:val="21"/>
                <w:color w:val="auto"/>
              </w:rPr>
            </w:pPr>
          </w:p>
        </w:tc>
        <w:tc>
          <w:tcPr>
            <w:tcW w:w="2160" w:type="dxa"/>
            <w:vAlign w:val="bottom"/>
            <w:gridSpan w:val="2"/>
          </w:tcPr>
          <w:p>
            <w:pPr>
              <w:ind w:left="120"/>
              <w:spacing w:after="0"/>
              <w:rPr>
                <w:sz w:val="20"/>
                <w:szCs w:val="20"/>
                <w:color w:val="auto"/>
              </w:rPr>
            </w:pPr>
            <w:r>
              <w:rPr>
                <w:rFonts w:ascii="Arial" w:cs="Arial" w:eastAsia="Arial" w:hAnsi="Arial"/>
                <w:sz w:val="20"/>
                <w:szCs w:val="20"/>
                <w:color w:val="auto"/>
              </w:rPr>
              <w:t>Nine Months Ended</w:t>
            </w:r>
          </w:p>
        </w:tc>
      </w:tr>
      <w:tr>
        <w:trPr>
          <w:trHeight w:val="245"/>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September 30, 2019</w:t>
            </w: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September 30, 2019</w:t>
            </w:r>
          </w:p>
        </w:tc>
        <w:tc>
          <w:tcPr>
            <w:tcW w:w="120" w:type="dxa"/>
            <w:vAlign w:val="bottom"/>
          </w:tcPr>
          <w:p>
            <w:pPr>
              <w:spacing w:after="0"/>
              <w:rPr>
                <w:sz w:val="21"/>
                <w:szCs w:val="21"/>
                <w:color w:val="auto"/>
              </w:rPr>
            </w:pPr>
          </w:p>
        </w:tc>
      </w:tr>
      <w:tr>
        <w:trPr>
          <w:trHeight w:val="235"/>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4"/>
          </w:tcPr>
          <w:p>
            <w:pPr>
              <w:jc w:val="right"/>
              <w:ind w:right="1462"/>
              <w:spacing w:after="0"/>
              <w:rPr>
                <w:sz w:val="20"/>
                <w:szCs w:val="20"/>
                <w:color w:val="auto"/>
              </w:rPr>
            </w:pPr>
            <w:r>
              <w:rPr>
                <w:rFonts w:ascii="Arial" w:cs="Arial" w:eastAsia="Arial" w:hAnsi="Arial"/>
                <w:sz w:val="20"/>
                <w:szCs w:val="20"/>
                <w:i w:val="1"/>
                <w:iCs w:val="1"/>
                <w:color w:val="auto"/>
              </w:rPr>
              <w:t>(Dollars in Thousands)</w:t>
            </w:r>
          </w:p>
        </w:tc>
        <w:tc>
          <w:tcPr>
            <w:tcW w:w="120" w:type="dxa"/>
            <w:vAlign w:val="bottom"/>
          </w:tcPr>
          <w:p>
            <w:pPr>
              <w:spacing w:after="0"/>
              <w:rPr>
                <w:sz w:val="20"/>
                <w:szCs w:val="20"/>
                <w:color w:val="auto"/>
              </w:rPr>
            </w:pPr>
          </w:p>
        </w:tc>
      </w:tr>
      <w:tr>
        <w:trPr>
          <w:trHeight w:val="242"/>
        </w:trPr>
        <w:tc>
          <w:tcPr>
            <w:tcW w:w="636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 cost</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19,627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59,024</w:t>
            </w:r>
          </w:p>
        </w:tc>
        <w:tc>
          <w:tcPr>
            <w:tcW w:w="120" w:type="dxa"/>
            <w:vAlign w:val="bottom"/>
            <w:shd w:val="clear" w:color="auto" w:fill="CFF0FC"/>
          </w:tcPr>
          <w:p>
            <w:pPr>
              <w:spacing w:after="0"/>
              <w:rPr>
                <w:sz w:val="21"/>
                <w:szCs w:val="21"/>
                <w:color w:val="auto"/>
              </w:rPr>
            </w:pPr>
          </w:p>
        </w:tc>
      </w:tr>
      <w:tr>
        <w:trPr>
          <w:trHeight w:val="242"/>
        </w:trPr>
        <w:tc>
          <w:tcPr>
            <w:tcW w:w="6360" w:type="dxa"/>
            <w:vAlign w:val="bottom"/>
          </w:tcPr>
          <w:p>
            <w:pPr>
              <w:spacing w:after="0"/>
              <w:rPr>
                <w:sz w:val="20"/>
                <w:szCs w:val="20"/>
                <w:color w:val="auto"/>
              </w:rPr>
            </w:pPr>
            <w:r>
              <w:rPr>
                <w:rFonts w:ascii="Arial" w:cs="Arial" w:eastAsia="Arial" w:hAnsi="Arial"/>
                <w:sz w:val="20"/>
                <w:szCs w:val="20"/>
                <w:color w:val="auto"/>
              </w:rPr>
              <w:t>Finance lease cost:</w:t>
            </w: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Amortization of right-of-use assets</w:t>
            </w:r>
          </w:p>
        </w:tc>
        <w:tc>
          <w:tcPr>
            <w:tcW w:w="2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2,325</w:t>
            </w:r>
          </w:p>
        </w:tc>
        <w:tc>
          <w:tcPr>
            <w:tcW w:w="120" w:type="dxa"/>
            <w:vAlign w:val="bottom"/>
            <w:shd w:val="clear" w:color="auto" w:fill="CFF0FC"/>
          </w:tcPr>
          <w:p>
            <w:pPr>
              <w:spacing w:after="0"/>
              <w:rPr>
                <w:sz w:val="21"/>
                <w:szCs w:val="21"/>
                <w:color w:val="auto"/>
              </w:rPr>
            </w:pPr>
          </w:p>
        </w:tc>
      </w:tr>
      <w:tr>
        <w:trPr>
          <w:trHeight w:val="242"/>
        </w:trPr>
        <w:tc>
          <w:tcPr>
            <w:tcW w:w="6360" w:type="dxa"/>
            <w:vAlign w:val="bottom"/>
          </w:tcPr>
          <w:p>
            <w:pPr>
              <w:ind w:left="160"/>
              <w:spacing w:after="0"/>
              <w:rPr>
                <w:sz w:val="20"/>
                <w:szCs w:val="20"/>
                <w:color w:val="auto"/>
              </w:rPr>
            </w:pPr>
            <w:r>
              <w:rPr>
                <w:rFonts w:ascii="Arial" w:cs="Arial" w:eastAsia="Arial" w:hAnsi="Arial"/>
                <w:sz w:val="20"/>
                <w:szCs w:val="20"/>
                <w:color w:val="auto"/>
              </w:rPr>
              <w:t>Interest on lease liabilities</w:t>
            </w:r>
          </w:p>
        </w:tc>
        <w:tc>
          <w:tcPr>
            <w:tcW w:w="2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126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412</w:t>
            </w:r>
          </w:p>
        </w:tc>
        <w:tc>
          <w:tcPr>
            <w:tcW w:w="120" w:type="dxa"/>
            <w:vAlign w:val="bottom"/>
          </w:tcPr>
          <w:p>
            <w:pPr>
              <w:spacing w:after="0"/>
              <w:rPr>
                <w:sz w:val="21"/>
                <w:szCs w:val="21"/>
                <w:color w:val="auto"/>
              </w:rPr>
            </w:pPr>
          </w:p>
        </w:tc>
      </w:tr>
      <w:tr>
        <w:trPr>
          <w:trHeight w:val="242"/>
        </w:trPr>
        <w:tc>
          <w:tcPr>
            <w:tcW w:w="6360" w:type="dxa"/>
            <w:vAlign w:val="bottom"/>
            <w:shd w:val="clear" w:color="auto" w:fill="CFF0FC"/>
          </w:tcPr>
          <w:p>
            <w:pPr>
              <w:spacing w:after="0"/>
              <w:rPr>
                <w:sz w:val="20"/>
                <w:szCs w:val="20"/>
                <w:color w:val="auto"/>
              </w:rPr>
            </w:pPr>
            <w:r>
              <w:rPr>
                <w:rFonts w:ascii="Arial" w:cs="Arial" w:eastAsia="Arial" w:hAnsi="Arial"/>
                <w:sz w:val="20"/>
                <w:szCs w:val="20"/>
                <w:color w:val="auto"/>
              </w:rPr>
              <w:t>Variable lease cost</w:t>
            </w:r>
          </w:p>
        </w:tc>
        <w:tc>
          <w:tcPr>
            <w:tcW w:w="2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15,738</w:t>
            </w:r>
          </w:p>
        </w:tc>
        <w:tc>
          <w:tcPr>
            <w:tcW w:w="120" w:type="dxa"/>
            <w:vAlign w:val="bottom"/>
            <w:shd w:val="clear" w:color="auto" w:fill="CFF0FC"/>
          </w:tcPr>
          <w:p>
            <w:pPr>
              <w:spacing w:after="0"/>
              <w:rPr>
                <w:sz w:val="21"/>
                <w:szCs w:val="21"/>
                <w:color w:val="auto"/>
              </w:rPr>
            </w:pPr>
          </w:p>
        </w:tc>
      </w:tr>
      <w:tr>
        <w:trPr>
          <w:trHeight w:val="242"/>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Short-term lease cost</w:t>
            </w: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8,897</w:t>
            </w:r>
          </w:p>
        </w:tc>
        <w:tc>
          <w:tcPr>
            <w:tcW w:w="3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25,157</w:t>
            </w:r>
          </w:p>
        </w:tc>
        <w:tc>
          <w:tcPr>
            <w:tcW w:w="120" w:type="dxa"/>
            <w:vAlign w:val="bottom"/>
            <w:tcBorders>
              <w:bottom w:val="single" w:sz="8" w:color="CFF0FC"/>
            </w:tcBorders>
          </w:tcPr>
          <w:p>
            <w:pPr>
              <w:spacing w:after="0"/>
              <w:rPr>
                <w:sz w:val="21"/>
                <w:szCs w:val="21"/>
                <w:color w:val="auto"/>
              </w:rPr>
            </w:pPr>
          </w:p>
        </w:tc>
      </w:tr>
      <w:tr>
        <w:trPr>
          <w:trHeight w:val="235"/>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lease cost</w:t>
            </w: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34,377</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102,656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balance sheet classifications of operating and finance leases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gridSpan w:val="2"/>
          </w:tcPr>
          <w:p>
            <w:pPr>
              <w:jc w:val="right"/>
              <w:ind w:right="840"/>
              <w:spacing w:after="0"/>
              <w:rPr>
                <w:sz w:val="20"/>
                <w:szCs w:val="20"/>
                <w:color w:val="auto"/>
              </w:rPr>
            </w:pPr>
            <w:r>
              <w:rPr>
                <w:rFonts w:ascii="Arial" w:cs="Arial" w:eastAsia="Arial" w:hAnsi="Arial"/>
                <w:sz w:val="20"/>
                <w:szCs w:val="20"/>
                <w:color w:val="auto"/>
              </w:rPr>
              <w:t>September 30, 2019</w:t>
            </w:r>
          </w:p>
        </w:tc>
        <w:tc>
          <w:tcPr>
            <w:tcW w:w="0" w:type="dxa"/>
            <w:vAlign w:val="bottom"/>
          </w:tcPr>
          <w:p>
            <w:pPr>
              <w:spacing w:after="0"/>
              <w:rPr>
                <w:sz w:val="1"/>
                <w:szCs w:val="1"/>
                <w:color w:val="auto"/>
              </w:rPr>
            </w:pPr>
          </w:p>
        </w:tc>
      </w:tr>
      <w:tr>
        <w:trPr>
          <w:trHeight w:val="243"/>
        </w:trPr>
        <w:tc>
          <w:tcPr>
            <w:tcW w:w="8300" w:type="dxa"/>
            <w:vAlign w:val="bottom"/>
            <w:gridSpan w:val="2"/>
            <w:vMerge w:val="restart"/>
          </w:tcPr>
          <w:p>
            <w:pPr>
              <w:spacing w:after="0"/>
              <w:rPr>
                <w:sz w:val="20"/>
                <w:szCs w:val="20"/>
                <w:color w:val="auto"/>
              </w:rPr>
            </w:pPr>
            <w:r>
              <w:rPr>
                <w:rFonts w:ascii="Arial" w:cs="Arial" w:eastAsia="Arial" w:hAnsi="Arial"/>
                <w:sz w:val="20"/>
                <w:szCs w:val="20"/>
                <w:color w:val="auto"/>
              </w:rPr>
              <w:t>Operating Leases:</w:t>
            </w: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tcPr>
          <w:p>
            <w:pPr>
              <w:jc w:val="right"/>
              <w:ind w:right="482"/>
              <w:spacing w:after="0"/>
              <w:rPr>
                <w:sz w:val="20"/>
                <w:szCs w:val="20"/>
                <w:color w:val="auto"/>
              </w:rPr>
            </w:pPr>
            <w:r>
              <w:rPr>
                <w:rFonts w:ascii="Arial" w:cs="Arial" w:eastAsia="Arial" w:hAnsi="Arial"/>
                <w:sz w:val="20"/>
                <w:szCs w:val="20"/>
                <w:i w:val="1"/>
                <w:iCs w:val="1"/>
                <w:color w:val="auto"/>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Operating lease right-of-use assets</w:t>
            </w:r>
          </w:p>
        </w:tc>
        <w:tc>
          <w:tcPr>
            <w:tcW w:w="3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2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484,853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Current operating lease liabilities</w:t>
            </w:r>
          </w:p>
        </w:tc>
        <w:tc>
          <w:tcPr>
            <w:tcW w:w="3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2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51,751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tcBorders>
              <w:bottom w:val="single" w:sz="8" w:color="CFF0FC"/>
            </w:tcBorders>
          </w:tcPr>
          <w:p>
            <w:pPr>
              <w:ind w:left="120"/>
              <w:spacing w:after="0"/>
              <w:rPr>
                <w:sz w:val="20"/>
                <w:szCs w:val="20"/>
                <w:color w:val="auto"/>
              </w:rPr>
            </w:pPr>
            <w:r>
              <w:rPr>
                <w:rFonts w:ascii="Arial" w:cs="Arial" w:eastAsia="Arial" w:hAnsi="Arial"/>
                <w:sz w:val="20"/>
                <w:szCs w:val="20"/>
                <w:color w:val="auto"/>
              </w:rPr>
              <w:t>Noncurrent operating lease liabilities</w:t>
            </w:r>
          </w:p>
        </w:tc>
        <w:tc>
          <w:tcPr>
            <w:tcW w:w="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436,698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 operating lease liabilities</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2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488,449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280" w:type="dxa"/>
            <w:vAlign w:val="bottom"/>
            <w:shd w:val="clear" w:color="auto" w:fill="CFF0FC"/>
          </w:tcPr>
          <w:p>
            <w:pPr>
              <w:spacing w:after="0"/>
              <w:rPr>
                <w:sz w:val="20"/>
                <w:szCs w:val="20"/>
                <w:color w:val="auto"/>
              </w:rPr>
            </w:pPr>
            <w:r>
              <w:rPr>
                <w:rFonts w:ascii="Arial" w:cs="Arial" w:eastAsia="Arial" w:hAnsi="Arial"/>
                <w:sz w:val="20"/>
                <w:szCs w:val="20"/>
                <w:color w:val="auto"/>
              </w:rPr>
              <w:t>Finance Leases:</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tcPr>
          <w:p>
            <w:pPr>
              <w:ind w:left="120"/>
              <w:spacing w:after="0"/>
              <w:rPr>
                <w:sz w:val="20"/>
                <w:szCs w:val="20"/>
                <w:color w:val="auto"/>
              </w:rPr>
            </w:pPr>
            <w:r>
              <w:rPr>
                <w:rFonts w:ascii="Arial" w:cs="Arial" w:eastAsia="Arial" w:hAnsi="Arial"/>
                <w:sz w:val="20"/>
                <w:szCs w:val="20"/>
                <w:color w:val="auto"/>
              </w:rPr>
              <w:t>Property, plant and equipment</w:t>
            </w:r>
          </w:p>
        </w:tc>
        <w:tc>
          <w:tcPr>
            <w:tcW w:w="340" w:type="dxa"/>
            <w:vAlign w:val="bottom"/>
            <w:gridSpan w:val="2"/>
          </w:tcPr>
          <w:p>
            <w:pPr>
              <w:jc w:val="right"/>
              <w:ind w:right="163"/>
              <w:spacing w:after="0"/>
              <w:rPr>
                <w:sz w:val="20"/>
                <w:szCs w:val="20"/>
                <w:color w:val="auto"/>
              </w:rPr>
            </w:pPr>
            <w:r>
              <w:rPr>
                <w:rFonts w:ascii="Arial" w:cs="Arial" w:eastAsia="Arial" w:hAnsi="Arial"/>
                <w:sz w:val="20"/>
                <w:szCs w:val="20"/>
                <w:color w:val="auto"/>
                <w:w w:val="71"/>
              </w:rPr>
              <w:t>$</w:t>
            </w:r>
          </w:p>
        </w:tc>
        <w:tc>
          <w:tcPr>
            <w:tcW w:w="2660" w:type="dxa"/>
            <w:vAlign w:val="bottom"/>
          </w:tcPr>
          <w:p>
            <w:pPr>
              <w:jc w:val="right"/>
              <w:spacing w:after="0"/>
              <w:rPr>
                <w:sz w:val="20"/>
                <w:szCs w:val="20"/>
                <w:color w:val="auto"/>
              </w:rPr>
            </w:pPr>
            <w:r>
              <w:rPr>
                <w:rFonts w:ascii="Arial" w:cs="Arial" w:eastAsia="Arial" w:hAnsi="Arial"/>
                <w:sz w:val="20"/>
                <w:szCs w:val="20"/>
                <w:color w:val="auto"/>
              </w:rPr>
              <w:t>10,800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Accumulated depreciation</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7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(2,325)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28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Property, plant and equipment, net</w:t>
            </w:r>
          </w:p>
        </w:tc>
        <w:tc>
          <w:tcPr>
            <w:tcW w:w="20" w:type="dxa"/>
            <w:vAlign w:val="bottom"/>
            <w:tcBorders>
              <w:bottom w:val="single" w:sz="8" w:color="CFF0FC"/>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2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8,475</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tcPr>
          <w:p>
            <w:pPr>
              <w:ind w:left="120"/>
              <w:spacing w:after="0"/>
              <w:rPr>
                <w:sz w:val="20"/>
                <w:szCs w:val="20"/>
                <w:color w:val="auto"/>
              </w:rPr>
            </w:pPr>
            <w:r>
              <w:rPr>
                <w:rFonts w:ascii="Arial" w:cs="Arial" w:eastAsia="Arial" w:hAnsi="Arial"/>
                <w:sz w:val="20"/>
                <w:szCs w:val="20"/>
                <w:color w:val="auto"/>
              </w:rPr>
              <w:t>Other current liabilities</w:t>
            </w:r>
          </w:p>
        </w:tc>
        <w:tc>
          <w:tcPr>
            <w:tcW w:w="340" w:type="dxa"/>
            <w:vAlign w:val="bottom"/>
            <w:gridSpan w:val="2"/>
          </w:tcPr>
          <w:p>
            <w:pPr>
              <w:jc w:val="right"/>
              <w:ind w:right="163"/>
              <w:spacing w:after="0"/>
              <w:rPr>
                <w:sz w:val="20"/>
                <w:szCs w:val="20"/>
                <w:color w:val="auto"/>
              </w:rPr>
            </w:pPr>
            <w:r>
              <w:rPr>
                <w:rFonts w:ascii="Arial" w:cs="Arial" w:eastAsia="Arial" w:hAnsi="Arial"/>
                <w:sz w:val="20"/>
                <w:szCs w:val="20"/>
                <w:color w:val="auto"/>
                <w:w w:val="71"/>
              </w:rPr>
              <w:t>$</w:t>
            </w:r>
          </w:p>
        </w:tc>
        <w:tc>
          <w:tcPr>
            <w:tcW w:w="2660" w:type="dxa"/>
            <w:vAlign w:val="bottom"/>
          </w:tcPr>
          <w:p>
            <w:pPr>
              <w:jc w:val="right"/>
              <w:spacing w:after="0"/>
              <w:rPr>
                <w:sz w:val="20"/>
                <w:szCs w:val="20"/>
                <w:color w:val="auto"/>
              </w:rPr>
            </w:pPr>
            <w:r>
              <w:rPr>
                <w:rFonts w:ascii="Arial" w:cs="Arial" w:eastAsia="Arial" w:hAnsi="Arial"/>
                <w:sz w:val="20"/>
                <w:szCs w:val="20"/>
                <w:color w:val="auto"/>
              </w:rPr>
              <w:t>3,058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Other noncurrent liabilities</w:t>
            </w:r>
          </w:p>
        </w:tc>
        <w:tc>
          <w:tcPr>
            <w:tcW w:w="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6,473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80" w:type="dxa"/>
            <w:vAlign w:val="bottom"/>
          </w:tcPr>
          <w:p>
            <w:pPr>
              <w:ind w:left="240"/>
              <w:spacing w:after="0"/>
              <w:rPr>
                <w:sz w:val="20"/>
                <w:szCs w:val="20"/>
                <w:color w:val="auto"/>
              </w:rPr>
            </w:pPr>
            <w:r>
              <w:rPr>
                <w:rFonts w:ascii="Arial" w:cs="Arial" w:eastAsia="Arial" w:hAnsi="Arial"/>
                <w:sz w:val="20"/>
                <w:szCs w:val="20"/>
                <w:color w:val="auto"/>
              </w:rPr>
              <w:t>Total finance lease liabilities</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ind w:left="380"/>
        <w:spacing w:after="0" w:line="258" w:lineRule="auto"/>
        <w:rPr>
          <w:sz w:val="20"/>
          <w:szCs w:val="20"/>
          <w:color w:val="auto"/>
        </w:rPr>
      </w:pPr>
      <w:r>
        <w:rPr>
          <w:rFonts w:ascii="Arial" w:cs="Arial" w:eastAsia="Arial" w:hAnsi="Arial"/>
          <w:sz w:val="20"/>
          <w:szCs w:val="20"/>
          <w:color w:val="auto"/>
        </w:rPr>
        <w:t>The estimated incremental borrowing rate range used was 3.5% to 5.5%. Weighted-average remaining lease terms and discount rates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auto"/>
            </w:tcBorders>
          </w:tcPr>
          <w:p>
            <w:pPr>
              <w:jc w:val="center"/>
              <w:ind w:left="462"/>
              <w:spacing w:after="0"/>
              <w:rPr>
                <w:sz w:val="20"/>
                <w:szCs w:val="20"/>
                <w:color w:val="auto"/>
              </w:rPr>
            </w:pPr>
            <w:r>
              <w:rPr>
                <w:rFonts w:ascii="Arial" w:cs="Arial" w:eastAsia="Arial" w:hAnsi="Arial"/>
                <w:sz w:val="20"/>
                <w:szCs w:val="20"/>
                <w:color w:val="auto"/>
                <w:w w:val="87"/>
              </w:rPr>
              <w:t>September 30, 2019</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20" w:type="dxa"/>
            <w:vAlign w:val="bottom"/>
            <w:gridSpan w:val="2"/>
          </w:tcPr>
          <w:p>
            <w:pPr>
              <w:spacing w:after="0"/>
              <w:rPr>
                <w:sz w:val="20"/>
                <w:szCs w:val="20"/>
                <w:color w:val="auto"/>
              </w:rPr>
            </w:pPr>
            <w:r>
              <w:rPr>
                <w:rFonts w:ascii="Arial" w:cs="Arial" w:eastAsia="Arial" w:hAnsi="Arial"/>
                <w:sz w:val="20"/>
                <w:szCs w:val="20"/>
                <w:color w:val="auto"/>
              </w:rPr>
              <w:t>Weighted-average remaining lease term (years):</w:t>
            </w: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Operating leases</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ind w:left="140"/>
              <w:spacing w:after="0"/>
              <w:rPr>
                <w:sz w:val="20"/>
                <w:szCs w:val="20"/>
                <w:color w:val="auto"/>
              </w:rPr>
            </w:pPr>
            <w:r>
              <w:rPr>
                <w:rFonts w:ascii="Arial" w:cs="Arial" w:eastAsia="Arial" w:hAnsi="Arial"/>
                <w:sz w:val="20"/>
                <w:szCs w:val="20"/>
                <w:color w:val="auto"/>
              </w:rPr>
              <w:t>Finance leases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5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Weighted-average discount rate:</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Operating leases</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tcPr>
          <w:p>
            <w:pPr>
              <w:ind w:left="140"/>
              <w:spacing w:after="0"/>
              <w:rPr>
                <w:sz w:val="20"/>
                <w:szCs w:val="20"/>
                <w:color w:val="auto"/>
              </w:rPr>
            </w:pPr>
            <w:r>
              <w:rPr>
                <w:rFonts w:ascii="Arial" w:cs="Arial" w:eastAsia="Arial" w:hAnsi="Arial"/>
                <w:sz w:val="20"/>
                <w:szCs w:val="20"/>
                <w:color w:val="auto"/>
              </w:rPr>
              <w:t>Finance leases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000" w:type="dxa"/>
            <w:vAlign w:val="bottom"/>
            <w:gridSpan w:val="3"/>
          </w:tcPr>
          <w:p>
            <w:pPr>
              <w:ind w:left="360"/>
              <w:spacing w:after="0"/>
              <w:rPr>
                <w:sz w:val="20"/>
                <w:szCs w:val="20"/>
                <w:color w:val="auto"/>
              </w:rPr>
            </w:pPr>
            <w:r>
              <w:rPr>
                <w:rFonts w:ascii="Arial" w:cs="Arial" w:eastAsia="Arial" w:hAnsi="Arial"/>
                <w:sz w:val="20"/>
                <w:szCs w:val="20"/>
                <w:color w:val="auto"/>
                <w:w w:val="95"/>
              </w:rPr>
              <w:t>Future lease payments under leases as of September 30, 2019 are as follows: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jc w:val="right"/>
              <w:ind w:right="2"/>
              <w:spacing w:after="0"/>
              <w:rPr>
                <w:sz w:val="20"/>
                <w:szCs w:val="20"/>
                <w:color w:val="auto"/>
              </w:rPr>
            </w:pPr>
            <w:r>
              <w:rPr>
                <w:rFonts w:ascii="Arial" w:cs="Arial" w:eastAsia="Arial" w:hAnsi="Arial"/>
                <w:sz w:val="20"/>
                <w:szCs w:val="20"/>
                <w:color w:val="auto"/>
              </w:rPr>
              <w:t>Operating</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jc w:val="center"/>
              <w:ind w:left="462"/>
              <w:spacing w:after="0"/>
              <w:rPr>
                <w:sz w:val="20"/>
                <w:szCs w:val="20"/>
                <w:color w:val="auto"/>
              </w:rPr>
            </w:pPr>
            <w:r>
              <w:rPr>
                <w:rFonts w:ascii="Arial" w:cs="Arial" w:eastAsia="Arial" w:hAnsi="Arial"/>
                <w:sz w:val="20"/>
                <w:szCs w:val="20"/>
                <w:color w:val="auto"/>
                <w:w w:val="87"/>
              </w:rPr>
              <w:t>Finance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Leases</w:t>
            </w: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center"/>
              <w:ind w:left="462"/>
              <w:spacing w:after="0"/>
              <w:rPr>
                <w:sz w:val="20"/>
                <w:szCs w:val="20"/>
                <w:color w:val="auto"/>
              </w:rPr>
            </w:pPr>
            <w:r>
              <w:rPr>
                <w:rFonts w:ascii="Arial" w:cs="Arial" w:eastAsia="Arial" w:hAnsi="Arial"/>
                <w:sz w:val="20"/>
                <w:szCs w:val="20"/>
                <w:color w:val="auto"/>
                <w:w w:val="83"/>
              </w:rPr>
              <w:t>Leases</w:t>
            </w: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gridSpan w:val="4"/>
          </w:tcPr>
          <w:p>
            <w:pPr>
              <w:ind w:left="340"/>
              <w:spacing w:after="0"/>
              <w:rPr>
                <w:sz w:val="20"/>
                <w:szCs w:val="20"/>
                <w:color w:val="auto"/>
              </w:rPr>
            </w:pPr>
            <w:r>
              <w:rPr>
                <w:rFonts w:ascii="Arial" w:cs="Arial" w:eastAsia="Arial" w:hAnsi="Arial"/>
                <w:sz w:val="20"/>
                <w:szCs w:val="20"/>
                <w:i w:val="1"/>
                <w:iCs w:val="1"/>
                <w:color w:val="auto"/>
              </w:rPr>
              <w:t>(Dollars in Thousands)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2019</w:t>
            </w:r>
          </w:p>
        </w:tc>
        <w:tc>
          <w:tcPr>
            <w:tcW w:w="2500" w:type="dxa"/>
            <w:vAlign w:val="bottom"/>
            <w:gridSpan w:val="2"/>
            <w:shd w:val="clear" w:color="auto" w:fill="CFF0FC"/>
          </w:tcPr>
          <w:p>
            <w:pPr>
              <w:jc w:val="right"/>
              <w:ind w:right="1582"/>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18,253</w:t>
            </w:r>
          </w:p>
        </w:tc>
        <w:tc>
          <w:tcPr>
            <w:tcW w:w="32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2282"/>
              <w:spacing w:after="0"/>
              <w:rPr>
                <w:sz w:val="20"/>
                <w:szCs w:val="20"/>
                <w:color w:val="auto"/>
              </w:rPr>
            </w:pPr>
            <w:r>
              <w:rPr>
                <w:rFonts w:ascii="Arial" w:cs="Arial" w:eastAsia="Arial" w:hAnsi="Arial"/>
                <w:sz w:val="20"/>
                <w:szCs w:val="20"/>
                <w:color w:val="auto"/>
                <w:w w:val="71"/>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2020</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68,838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3,196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2021</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56,568</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2022</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51,600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1,094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2023</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47,934</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Thereafter</w:t>
            </w:r>
          </w:p>
        </w:tc>
        <w:tc>
          <w:tcPr>
            <w:tcW w:w="720" w:type="dxa"/>
            <w:vAlign w:val="bottom"/>
            <w:tcBorders>
              <w:bottom w:val="single" w:sz="8" w:color="CFF0FC"/>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434,190</w:t>
            </w:r>
          </w:p>
        </w:tc>
        <w:tc>
          <w:tcPr>
            <w:tcW w:w="3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4,177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Total lease payments</w:t>
            </w:r>
          </w:p>
        </w:tc>
        <w:tc>
          <w:tcPr>
            <w:tcW w:w="7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677,383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12,145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Less: imputed interest</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20"/>
                <w:szCs w:val="20"/>
                <w:color w:val="auto"/>
              </w:rPr>
              <w:t>(188,934)</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20"/>
                <w:szCs w:val="20"/>
                <w:color w:val="auto"/>
              </w:rPr>
              <w:t>(2,614)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Present value of lease payments</w:t>
            </w:r>
          </w:p>
        </w:tc>
        <w:tc>
          <w:tcPr>
            <w:tcW w:w="720" w:type="dxa"/>
            <w:vAlign w:val="bottom"/>
            <w:tcBorders>
              <w:top w:val="single" w:sz="8" w:color="CFF0FC"/>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488,449</w:t>
            </w:r>
          </w:p>
        </w:tc>
        <w:tc>
          <w:tcPr>
            <w:tcW w:w="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9,531</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Less: current lease obligations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20"/>
                <w:szCs w:val="20"/>
                <w:color w:val="auto"/>
              </w:rPr>
              <w:t>(51,751)</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20"/>
                <w:szCs w:val="20"/>
                <w:color w:val="auto"/>
              </w:rPr>
              <w:t>(3,058)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long-term lease obligations</w:t>
            </w:r>
          </w:p>
        </w:tc>
        <w:tc>
          <w:tcPr>
            <w:tcW w:w="720" w:type="dxa"/>
            <w:vAlign w:val="bottom"/>
            <w:tcBorders>
              <w:top w:val="single" w:sz="8" w:color="CFF0FC"/>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ind w:right="1582"/>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436,698</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480" w:type="dxa"/>
            <w:vAlign w:val="bottom"/>
            <w:tcBorders>
              <w:top w:val="single" w:sz="8" w:color="auto"/>
              <w:bottom w:val="single" w:sz="8" w:color="auto"/>
            </w:tcBorders>
            <w:gridSpan w:val="2"/>
            <w:shd w:val="clear" w:color="auto" w:fill="CFF0FC"/>
          </w:tcPr>
          <w:p>
            <w:pPr>
              <w:jc w:val="right"/>
              <w:ind w:right="2282"/>
              <w:spacing w:after="0"/>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6,473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tables present supplemental cash flow and non-cash information related to leases: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ind w:left="160"/>
              <w:spacing w:after="0"/>
              <w:rPr>
                <w:sz w:val="20"/>
                <w:szCs w:val="20"/>
                <w:color w:val="auto"/>
              </w:rPr>
            </w:pPr>
            <w:r>
              <w:rPr>
                <w:rFonts w:ascii="Arial" w:cs="Arial" w:eastAsia="Arial" w:hAnsi="Arial"/>
                <w:sz w:val="20"/>
                <w:szCs w:val="20"/>
                <w:color w:val="auto"/>
              </w:rPr>
              <w:t>September 30, 2019</w:t>
            </w:r>
          </w:p>
        </w:tc>
        <w:tc>
          <w:tcPr>
            <w:tcW w:w="0" w:type="dxa"/>
            <w:vAlign w:val="bottom"/>
          </w:tcPr>
          <w:p>
            <w:pPr>
              <w:spacing w:after="0"/>
              <w:rPr>
                <w:sz w:val="1"/>
                <w:szCs w:val="1"/>
                <w:color w:val="auto"/>
              </w:rPr>
            </w:pPr>
          </w:p>
        </w:tc>
      </w:tr>
      <w:tr>
        <w:trPr>
          <w:trHeight w:val="243"/>
        </w:trPr>
        <w:tc>
          <w:tcPr>
            <w:tcW w:w="9120" w:type="dxa"/>
            <w:vAlign w:val="bottom"/>
            <w:vMerge w:val="restart"/>
          </w:tcPr>
          <w:p>
            <w:pPr>
              <w:spacing w:after="0"/>
              <w:rPr>
                <w:sz w:val="20"/>
                <w:szCs w:val="20"/>
                <w:color w:val="auto"/>
              </w:rPr>
            </w:pPr>
            <w:r>
              <w:rPr>
                <w:rFonts w:ascii="Arial" w:cs="Arial" w:eastAsia="Arial" w:hAnsi="Arial"/>
                <w:sz w:val="20"/>
                <w:szCs w:val="20"/>
                <w:color w:val="auto"/>
              </w:rPr>
              <w:t>Cash paid for amounts included in the measurement</w:t>
            </w:r>
          </w:p>
        </w:tc>
        <w:tc>
          <w:tcPr>
            <w:tcW w:w="14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jc w:val="right"/>
              <w:ind w:right="82"/>
              <w:spacing w:after="0"/>
              <w:rPr>
                <w:sz w:val="20"/>
                <w:szCs w:val="20"/>
                <w:color w:val="auto"/>
              </w:rPr>
            </w:pPr>
            <w:r>
              <w:rPr>
                <w:rFonts w:ascii="Arial" w:cs="Arial" w:eastAsia="Arial" w:hAnsi="Arial"/>
                <w:sz w:val="20"/>
                <w:szCs w:val="20"/>
                <w:i w:val="1"/>
                <w:iCs w:val="1"/>
                <w:color w:val="auto"/>
                <w:w w:val="92"/>
              </w:rPr>
              <w:t>(Dollars 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120" w:type="dxa"/>
            <w:vAlign w:val="bottom"/>
          </w:tcPr>
          <w:p>
            <w:pPr>
              <w:ind w:left="160"/>
              <w:spacing w:after="0"/>
              <w:rPr>
                <w:sz w:val="20"/>
                <w:szCs w:val="20"/>
                <w:color w:val="auto"/>
              </w:rPr>
            </w:pPr>
            <w:r>
              <w:rPr>
                <w:rFonts w:ascii="Arial" w:cs="Arial" w:eastAsia="Arial" w:hAnsi="Arial"/>
                <w:sz w:val="20"/>
                <w:szCs w:val="20"/>
                <w:color w:val="auto"/>
              </w:rPr>
              <w:t>of lease liabilities:</w:t>
            </w:r>
          </w:p>
        </w:tc>
        <w:tc>
          <w:tcPr>
            <w:tcW w:w="1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120" w:type="dxa"/>
            <w:vAlign w:val="bottom"/>
            <w:shd w:val="clear" w:color="auto" w:fill="CFF0FC"/>
          </w:tcPr>
          <w:p>
            <w:pPr>
              <w:ind w:left="280"/>
              <w:spacing w:after="0"/>
              <w:rPr>
                <w:sz w:val="20"/>
                <w:szCs w:val="20"/>
                <w:color w:val="auto"/>
              </w:rPr>
            </w:pPr>
            <w:r>
              <w:rPr>
                <w:rFonts w:ascii="Arial" w:cs="Arial" w:eastAsia="Arial" w:hAnsi="Arial"/>
                <w:sz w:val="20"/>
                <w:szCs w:val="20"/>
                <w:color w:val="auto"/>
              </w:rPr>
              <w:t>Operating cash flows used for operating leases</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57,193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120" w:type="dxa"/>
            <w:vAlign w:val="bottom"/>
          </w:tcPr>
          <w:p>
            <w:pPr>
              <w:ind w:left="280"/>
              <w:spacing w:after="0"/>
              <w:rPr>
                <w:sz w:val="20"/>
                <w:szCs w:val="20"/>
                <w:color w:val="auto"/>
              </w:rPr>
            </w:pPr>
            <w:r>
              <w:rPr>
                <w:rFonts w:ascii="Arial" w:cs="Arial" w:eastAsia="Arial" w:hAnsi="Arial"/>
                <w:sz w:val="20"/>
                <w:szCs w:val="20"/>
                <w:color w:val="auto"/>
              </w:rPr>
              <w:t>Operating cash flows used for finance leases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60" w:type="dxa"/>
            <w:vAlign w:val="bottom"/>
          </w:tcPr>
          <w:p>
            <w:pPr>
              <w:jc w:val="right"/>
              <w:spacing w:after="0"/>
              <w:rPr>
                <w:sz w:val="20"/>
                <w:szCs w:val="20"/>
                <w:color w:val="auto"/>
              </w:rPr>
            </w:pPr>
            <w:r>
              <w:rPr>
                <w:rFonts w:ascii="Arial" w:cs="Arial" w:eastAsia="Arial" w:hAnsi="Arial"/>
                <w:sz w:val="20"/>
                <w:szCs w:val="20"/>
                <w:color w:val="auto"/>
              </w:rPr>
              <w:t>412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120" w:type="dxa"/>
            <w:vAlign w:val="bottom"/>
            <w:shd w:val="clear" w:color="auto" w:fill="CFF0FC"/>
          </w:tcPr>
          <w:p>
            <w:pPr>
              <w:ind w:left="280"/>
              <w:spacing w:after="0"/>
              <w:rPr>
                <w:sz w:val="20"/>
                <w:szCs w:val="20"/>
                <w:color w:val="auto"/>
              </w:rPr>
            </w:pPr>
            <w:r>
              <w:rPr>
                <w:rFonts w:ascii="Arial" w:cs="Arial" w:eastAsia="Arial" w:hAnsi="Arial"/>
                <w:sz w:val="20"/>
                <w:szCs w:val="20"/>
                <w:color w:val="auto"/>
              </w:rPr>
              <w:t>Financing cash flows used for finance leases</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jc w:val="right"/>
              <w:ind w:right="382"/>
              <w:spacing w:after="0"/>
              <w:rPr>
                <w:sz w:val="20"/>
                <w:szCs w:val="20"/>
                <w:color w:val="auto"/>
              </w:rPr>
            </w:pPr>
            <w:r>
              <w:rPr>
                <w:rFonts w:ascii="Arial" w:cs="Arial" w:eastAsia="Arial" w:hAnsi="Arial"/>
                <w:sz w:val="20"/>
                <w:szCs w:val="20"/>
                <w:color w:val="auto"/>
                <w:w w:val="93"/>
              </w:rPr>
              <w:t>Three Months Ended</w:t>
            </w:r>
          </w:p>
        </w:tc>
        <w:tc>
          <w:tcPr>
            <w:tcW w:w="300" w:type="dxa"/>
            <w:vAlign w:val="bottom"/>
          </w:tcPr>
          <w:p>
            <w:pPr>
              <w:spacing w:after="0"/>
              <w:rPr>
                <w:sz w:val="21"/>
                <w:szCs w:val="21"/>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 xml:space="preserve">Nine Months Ended </w:t>
            </w: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jc w:val="right"/>
              <w:ind w:right="422"/>
              <w:spacing w:after="0"/>
              <w:rPr>
                <w:sz w:val="20"/>
                <w:szCs w:val="20"/>
                <w:color w:val="auto"/>
              </w:rPr>
            </w:pPr>
            <w:r>
              <w:rPr>
                <w:rFonts w:ascii="Arial" w:cs="Arial" w:eastAsia="Arial" w:hAnsi="Arial"/>
                <w:sz w:val="20"/>
                <w:szCs w:val="20"/>
                <w:color w:val="auto"/>
                <w:w w:val="93"/>
              </w:rPr>
              <w:t>September 30, 2019</w:t>
            </w:r>
          </w:p>
        </w:tc>
        <w:tc>
          <w:tcPr>
            <w:tcW w:w="300" w:type="dxa"/>
            <w:vAlign w:val="bottom"/>
          </w:tcPr>
          <w:p>
            <w:pPr>
              <w:spacing w:after="0"/>
              <w:rPr>
                <w:sz w:val="21"/>
                <w:szCs w:val="21"/>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September 30, 2019</w:t>
            </w:r>
          </w:p>
        </w:tc>
        <w:tc>
          <w:tcPr>
            <w:tcW w:w="0" w:type="dxa"/>
            <w:vAlign w:val="bottom"/>
          </w:tcPr>
          <w:p>
            <w:pPr>
              <w:spacing w:after="0"/>
              <w:rPr>
                <w:sz w:val="1"/>
                <w:szCs w:val="1"/>
                <w:color w:val="auto"/>
              </w:rPr>
            </w:pPr>
          </w:p>
        </w:tc>
      </w:tr>
      <w:tr>
        <w:trPr>
          <w:trHeight w:val="243"/>
        </w:trPr>
        <w:tc>
          <w:tcPr>
            <w:tcW w:w="5200" w:type="dxa"/>
            <w:vAlign w:val="bottom"/>
            <w:vMerge w:val="restart"/>
          </w:tcPr>
          <w:p>
            <w:pPr>
              <w:spacing w:after="0"/>
              <w:rPr>
                <w:sz w:val="20"/>
                <w:szCs w:val="20"/>
                <w:color w:val="auto"/>
              </w:rPr>
            </w:pPr>
            <w:r>
              <w:rPr>
                <w:rFonts w:ascii="Arial" w:cs="Arial" w:eastAsia="Arial" w:hAnsi="Arial"/>
                <w:sz w:val="20"/>
                <w:szCs w:val="20"/>
                <w:color w:val="auto"/>
              </w:rPr>
              <w:t>Right-of-use assets obtained in exchange for new</w:t>
            </w:r>
          </w:p>
        </w:tc>
        <w:tc>
          <w:tcPr>
            <w:tcW w:w="13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580" w:type="dxa"/>
            <w:vAlign w:val="bottom"/>
            <w:tcBorders>
              <w:top w:val="single" w:sz="8" w:color="auto"/>
            </w:tcBorders>
            <w:gridSpan w:val="3"/>
          </w:tcPr>
          <w:p>
            <w:pPr>
              <w:jc w:val="right"/>
              <w:ind w:right="1402"/>
              <w:spacing w:after="0"/>
              <w:rPr>
                <w:sz w:val="20"/>
                <w:szCs w:val="20"/>
                <w:color w:val="auto"/>
              </w:rPr>
            </w:pPr>
            <w:r>
              <w:rPr>
                <w:rFonts w:ascii="Arial" w:cs="Arial" w:eastAsia="Arial" w:hAnsi="Arial"/>
                <w:sz w:val="20"/>
                <w:szCs w:val="20"/>
                <w:i w:val="1"/>
                <w:iCs w:val="1"/>
                <w:color w:val="auto"/>
              </w:rPr>
              <w:t>(Dollars 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200" w:type="dxa"/>
            <w:vAlign w:val="bottom"/>
          </w:tcPr>
          <w:p>
            <w:pPr>
              <w:ind w:left="160"/>
              <w:spacing w:after="0"/>
              <w:rPr>
                <w:sz w:val="20"/>
                <w:szCs w:val="20"/>
                <w:color w:val="auto"/>
              </w:rPr>
            </w:pPr>
            <w:r>
              <w:rPr>
                <w:rFonts w:ascii="Arial" w:cs="Arial" w:eastAsia="Arial" w:hAnsi="Arial"/>
                <w:sz w:val="20"/>
                <w:szCs w:val="20"/>
                <w:color w:val="auto"/>
              </w:rPr>
              <w:t>operating lease liabilities</w:t>
            </w:r>
          </w:p>
        </w:tc>
        <w:tc>
          <w:tcPr>
            <w:tcW w:w="15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240" w:type="dxa"/>
            <w:vAlign w:val="bottom"/>
          </w:tcPr>
          <w:p>
            <w:pPr>
              <w:jc w:val="right"/>
              <w:ind w:right="62"/>
              <w:spacing w:after="0"/>
              <w:rPr>
                <w:sz w:val="20"/>
                <w:szCs w:val="20"/>
                <w:color w:val="auto"/>
              </w:rPr>
            </w:pPr>
            <w:r>
              <w:rPr>
                <w:rFonts w:ascii="Arial" w:cs="Arial" w:eastAsia="Arial" w:hAnsi="Arial"/>
                <w:sz w:val="20"/>
                <w:szCs w:val="20"/>
                <w:color w:val="auto"/>
              </w:rPr>
              <w:t>11,034</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2040" w:type="dxa"/>
            <w:vAlign w:val="bottom"/>
          </w:tcPr>
          <w:p>
            <w:pPr>
              <w:jc w:val="right"/>
              <w:spacing w:after="0"/>
              <w:rPr>
                <w:sz w:val="20"/>
                <w:szCs w:val="20"/>
                <w:color w:val="auto"/>
              </w:rPr>
            </w:pPr>
            <w:r>
              <w:rPr>
                <w:rFonts w:ascii="Arial" w:cs="Arial" w:eastAsia="Arial" w:hAnsi="Arial"/>
                <w:sz w:val="20"/>
                <w:szCs w:val="20"/>
                <w:color w:val="auto"/>
              </w:rPr>
              <w:t>36,369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Right-of-use assets obtained in exchange for</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new finance lease liabilities</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2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60" w:hanging="377"/>
        <w:spacing w:after="0" w:line="275" w:lineRule="auto"/>
        <w:tabs>
          <w:tab w:leader="none" w:pos="760" w:val="left"/>
        </w:tabs>
        <w:numPr>
          <w:ilvl w:val="0"/>
          <w:numId w:val="11"/>
        </w:numPr>
        <w:rPr>
          <w:rFonts w:ascii="Arial" w:cs="Arial" w:eastAsia="Arial" w:hAnsi="Arial"/>
          <w:sz w:val="15"/>
          <w:szCs w:val="15"/>
          <w:i w:val="1"/>
          <w:iCs w:val="1"/>
          <w:color w:val="auto"/>
        </w:rPr>
      </w:pPr>
      <w:r>
        <w:rPr>
          <w:rFonts w:ascii="Arial" w:cs="Arial" w:eastAsia="Arial" w:hAnsi="Arial"/>
          <w:sz w:val="18"/>
          <w:szCs w:val="18"/>
          <w:i w:val="1"/>
          <w:iCs w:val="1"/>
          <w:color w:val="auto"/>
        </w:rPr>
        <w:t>Right-of-use assets obtained in exchange for new operating lease liabilities for the nine months ended September 30, 2019 exclude assets recorded on the balance sheet as part of the adoption of ASC 842 as disclosed in Note 1.</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Leases entered into but not yet commenced for the quarter ended September 30, 2019 were immaterial.</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Lease disclosures for the full year December 31, 2018, as reported:</w:t>
      </w:r>
    </w:p>
    <w:p>
      <w:pPr>
        <w:spacing w:after="0" w:line="112"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Total lease expense for operating leases was $122.5 million for the year ended December 31, 2018. Total royalties, principally for leased properties, were $52.5 million, for the year ended December 31, 2018. The Company also has capital lease obligations for machinery and equipment. Future minimum lease and royalty commitments for all noncancelable agreements and capital lease obligations as of December 31, 2018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20"/>
                <w:szCs w:val="20"/>
                <w:color w:val="auto"/>
              </w:rPr>
              <w:t>Capital</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Royalty</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20"/>
                <w:szCs w:val="20"/>
                <w:color w:val="auto"/>
              </w:rPr>
              <w:t>Leases</w:t>
            </w:r>
          </w:p>
        </w:tc>
        <w:tc>
          <w:tcPr>
            <w:tcW w:w="180" w:type="dxa"/>
            <w:vAlign w:val="bottom"/>
          </w:tcPr>
          <w:p>
            <w:pPr>
              <w:spacing w:after="0"/>
              <w:rPr>
                <w:sz w:val="21"/>
                <w:szCs w:val="21"/>
                <w:color w:val="auto"/>
              </w:rPr>
            </w:pPr>
          </w:p>
        </w:tc>
        <w:tc>
          <w:tcPr>
            <w:tcW w:w="1700" w:type="dxa"/>
            <w:vAlign w:val="bottom"/>
            <w:gridSpan w:val="5"/>
          </w:tcPr>
          <w:p>
            <w:pPr>
              <w:ind w:left="20"/>
              <w:spacing w:after="0"/>
              <w:rPr>
                <w:sz w:val="20"/>
                <w:szCs w:val="20"/>
                <w:color w:val="auto"/>
              </w:rPr>
            </w:pPr>
            <w:r>
              <w:rPr>
                <w:rFonts w:ascii="Arial" w:cs="Arial" w:eastAsia="Arial" w:hAnsi="Arial"/>
                <w:sz w:val="20"/>
                <w:szCs w:val="20"/>
                <w:color w:val="auto"/>
              </w:rPr>
              <w:t>Operating Leases</w:t>
            </w: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Commitments</w:t>
            </w: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6"/>
          </w:tcPr>
          <w:p>
            <w:pPr>
              <w:spacing w:after="0"/>
              <w:rPr>
                <w:sz w:val="20"/>
                <w:szCs w:val="20"/>
                <w:color w:val="auto"/>
              </w:rPr>
            </w:pPr>
            <w:r>
              <w:rPr>
                <w:rFonts w:ascii="Arial" w:cs="Arial" w:eastAsia="Arial" w:hAnsi="Arial"/>
                <w:sz w:val="20"/>
                <w:szCs w:val="20"/>
                <w:i w:val="1"/>
                <w:iCs w:val="1"/>
                <w:color w:val="auto"/>
                <w:w w:val="92"/>
              </w:rPr>
              <w:t>(Dollars in Thousands)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2019</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3,718</w:t>
            </w:r>
          </w:p>
        </w:tc>
        <w:tc>
          <w:tcPr>
            <w:tcW w:w="120" w:type="dxa"/>
            <w:vAlign w:val="bottom"/>
            <w:tcBorders>
              <w:right w:val="single" w:sz="8" w:color="CFF0FC"/>
            </w:tcBorders>
            <w:shd w:val="clear" w:color="auto" w:fill="CFF0FC"/>
          </w:tcPr>
          <w:p>
            <w:pPr>
              <w:spacing w:after="0"/>
              <w:rPr>
                <w:sz w:val="21"/>
                <w:szCs w:val="21"/>
                <w:color w:val="auto"/>
              </w:rPr>
            </w:pPr>
          </w:p>
        </w:tc>
        <w:tc>
          <w:tcPr>
            <w:tcW w:w="4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105,955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20"/>
                <w:szCs w:val="20"/>
                <w:color w:val="auto"/>
              </w:rPr>
              <w:t>2020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2,695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70,478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11,364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2021</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1,735</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60,382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20"/>
                <w:szCs w:val="20"/>
                <w:color w:val="auto"/>
              </w:rPr>
              <w:t>2022</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57,531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9,545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2023</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713</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56,511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3,893</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318,147</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65,981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13,758</w:t>
            </w:r>
          </w:p>
        </w:tc>
        <w:tc>
          <w:tcPr>
            <w:tcW w:w="120" w:type="dxa"/>
            <w:vAlign w:val="bottom"/>
            <w:tcBorders>
              <w:right w:val="single" w:sz="8" w:color="CFF0FC"/>
            </w:tcBorders>
            <w:shd w:val="clear" w:color="auto" w:fill="CFF0FC"/>
          </w:tcPr>
          <w:p>
            <w:pPr>
              <w:spacing w:after="0"/>
              <w:rPr>
                <w:sz w:val="20"/>
                <w:szCs w:val="20"/>
                <w:color w:val="auto"/>
              </w:rPr>
            </w:pPr>
          </w:p>
        </w:tc>
        <w:tc>
          <w:tcPr>
            <w:tcW w:w="4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669,004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119,948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Less: imputed interest</w:t>
            </w:r>
          </w:p>
        </w:tc>
        <w:tc>
          <w:tcPr>
            <w:tcW w:w="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CFF0FC"/>
            </w:tcBorders>
            <w:gridSpan w:val="3"/>
            <w:vMerge w:val="restart"/>
          </w:tcPr>
          <w:p>
            <w:pPr>
              <w:jc w:val="right"/>
              <w:ind w:right="40"/>
              <w:spacing w:after="0"/>
              <w:rPr>
                <w:sz w:val="20"/>
                <w:szCs w:val="20"/>
                <w:color w:val="auto"/>
              </w:rPr>
            </w:pPr>
            <w:r>
              <w:rPr>
                <w:rFonts w:ascii="Arial" w:cs="Arial" w:eastAsia="Arial" w:hAnsi="Arial"/>
                <w:sz w:val="20"/>
                <w:szCs w:val="20"/>
                <w:color w:val="auto"/>
              </w:rPr>
              <w:t>(2,879)</w:t>
            </w: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Present value of minimum lease payments</w:t>
            </w:r>
          </w:p>
        </w:tc>
        <w:tc>
          <w:tcPr>
            <w:tcW w:w="4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10,879</w:t>
            </w:r>
          </w:p>
        </w:tc>
        <w:tc>
          <w:tcPr>
            <w:tcW w:w="120" w:type="dxa"/>
            <w:vAlign w:val="bottom"/>
            <w:tcBorders>
              <w:top w:val="single" w:sz="8" w:color="CFF0FC"/>
              <w:right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20"/>
                <w:szCs w:val="20"/>
                <w:color w:val="auto"/>
              </w:rPr>
              <w:t>Less: current capital lease obligations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20"/>
                <w:szCs w:val="20"/>
                <w:color w:val="auto"/>
              </w:rPr>
              <w:t>(3,249)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Long-term capital lease obligations</w:t>
            </w:r>
          </w:p>
        </w:tc>
        <w:tc>
          <w:tcPr>
            <w:tcW w:w="72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7,630</w:t>
            </w:r>
          </w:p>
        </w:tc>
        <w:tc>
          <w:tcPr>
            <w:tcW w:w="12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5880" w:type="dxa"/>
            <w:vAlign w:val="bottom"/>
          </w:tcPr>
          <w:p>
            <w:pPr>
              <w:spacing w:after="0"/>
              <w:rPr>
                <w:sz w:val="20"/>
                <w:szCs w:val="20"/>
                <w:color w:val="auto"/>
              </w:rPr>
            </w:pPr>
            <w:r>
              <w:rPr>
                <w:rFonts w:ascii="Arial" w:cs="Arial" w:eastAsia="Arial" w:hAnsi="Arial"/>
                <w:sz w:val="20"/>
                <w:szCs w:val="20"/>
                <w:b w:val="1"/>
                <w:bCs w:val="1"/>
                <w:color w:val="auto"/>
              </w:rPr>
              <w:t>12. Supplemental Cash Flow Information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88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September 30,</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20"/>
                <w:szCs w:val="20"/>
                <w:color w:val="auto"/>
              </w:rPr>
              <w:t>2019</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22"/>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6"/>
          </w:tcPr>
          <w:p>
            <w:pPr>
              <w:jc w:val="right"/>
              <w:ind w:right="902"/>
              <w:spacing w:after="0"/>
              <w:rPr>
                <w:sz w:val="20"/>
                <w:szCs w:val="20"/>
                <w:color w:val="auto"/>
              </w:rPr>
            </w:pPr>
            <w:r>
              <w:rPr>
                <w:rFonts w:ascii="Arial" w:cs="Arial" w:eastAsia="Arial" w:hAnsi="Arial"/>
                <w:sz w:val="20"/>
                <w:szCs w:val="20"/>
                <w:i w:val="1"/>
                <w:iCs w:val="1"/>
                <w:color w:val="auto"/>
                <w:w w:val="97"/>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Pr>
          <w:p>
            <w:pPr>
              <w:ind w:left="260"/>
              <w:spacing w:after="0"/>
              <w:rPr>
                <w:sz w:val="20"/>
                <w:szCs w:val="20"/>
                <w:color w:val="auto"/>
              </w:rPr>
            </w:pPr>
            <w:r>
              <w:rPr>
                <w:rFonts w:ascii="Arial" w:cs="Arial" w:eastAsia="Arial" w:hAnsi="Arial"/>
                <w:sz w:val="20"/>
                <w:szCs w:val="20"/>
                <w:color w:val="auto"/>
                <w:w w:val="97"/>
              </w:rPr>
              <w:t>Accrued liabilities for purchases of property, plant and equipment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28,840</w:t>
            </w:r>
          </w:p>
        </w:tc>
        <w:tc>
          <w:tcPr>
            <w:tcW w:w="3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24,930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swap</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1,114</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9"/>
        </w:trPr>
        <w:tc>
          <w:tcPr>
            <w:tcW w:w="5880" w:type="dxa"/>
            <w:vAlign w:val="bottom"/>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46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5"/>
        </w:trPr>
        <w:tc>
          <w:tcPr>
            <w:tcW w:w="6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682"/>
              <w:spacing w:after="0"/>
              <w:rPr>
                <w:sz w:val="20"/>
                <w:szCs w:val="20"/>
                <w:color w:val="auto"/>
              </w:rPr>
            </w:pPr>
            <w:r>
              <w:rPr>
                <w:rFonts w:ascii="Arial" w:cs="Arial" w:eastAsia="Arial" w:hAnsi="Arial"/>
                <w:sz w:val="20"/>
                <w:szCs w:val="20"/>
                <w:color w:val="auto"/>
              </w:rPr>
              <w:t>September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6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6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gridSpan w:val="2"/>
          </w:tcPr>
          <w:p>
            <w:pPr>
              <w:jc w:val="right"/>
              <w:ind w:right="322"/>
              <w:spacing w:after="0"/>
              <w:rPr>
                <w:sz w:val="20"/>
                <w:szCs w:val="20"/>
                <w:color w:val="auto"/>
              </w:rPr>
            </w:pPr>
            <w:r>
              <w:rPr>
                <w:rFonts w:ascii="Arial" w:cs="Arial" w:eastAsia="Arial" w:hAnsi="Arial"/>
                <w:sz w:val="20"/>
                <w:szCs w:val="20"/>
                <w:i w:val="1"/>
                <w:iCs w:val="1"/>
                <w:color w:val="auto"/>
                <w:w w:val="90"/>
              </w:rPr>
              <w:t>(Dollars in 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940" w:type="dxa"/>
            <w:vAlign w:val="bottom"/>
            <w:gridSpan w:val="2"/>
            <w:shd w:val="clear" w:color="auto" w:fill="CFF0FC"/>
          </w:tcPr>
          <w:p>
            <w:pPr>
              <w:jc w:val="right"/>
              <w:ind w:right="882"/>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82,268</w:t>
            </w:r>
          </w:p>
        </w:tc>
        <w:tc>
          <w:tcPr>
            <w:tcW w:w="1400" w:type="dxa"/>
            <w:vAlign w:val="bottom"/>
            <w:shd w:val="clear" w:color="auto" w:fill="CFF0FC"/>
          </w:tcPr>
          <w:p>
            <w:pPr>
              <w:jc w:val="right"/>
              <w:ind w:right="1002"/>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84,522</w:t>
            </w:r>
          </w:p>
        </w:tc>
        <w:tc>
          <w:tcPr>
            <w:tcW w:w="100" w:type="dxa"/>
            <w:vAlign w:val="bottom"/>
            <w:shd w:val="clear" w:color="auto" w:fill="CFF0FC"/>
          </w:tcPr>
          <w:p>
            <w:pPr>
              <w:spacing w:after="0"/>
              <w:rPr>
                <w:sz w:val="21"/>
                <w:szCs w:val="21"/>
                <w:color w:val="auto"/>
              </w:rPr>
            </w:pPr>
          </w:p>
        </w:tc>
      </w:tr>
      <w:tr>
        <w:trPr>
          <w:trHeight w:val="249"/>
        </w:trPr>
        <w:tc>
          <w:tcPr>
            <w:tcW w:w="6460" w:type="dxa"/>
            <w:vAlign w:val="bottom"/>
          </w:tcPr>
          <w:p>
            <w:pPr>
              <w:spacing w:after="0"/>
              <w:rPr>
                <w:sz w:val="20"/>
                <w:szCs w:val="20"/>
                <w:color w:val="auto"/>
              </w:rPr>
            </w:pPr>
            <w:r>
              <w:rPr>
                <w:rFonts w:ascii="Arial" w:cs="Arial" w:eastAsia="Arial" w:hAnsi="Arial"/>
                <w:sz w:val="20"/>
                <w:szCs w:val="20"/>
                <w:color w:val="auto"/>
              </w:rPr>
              <w:t>Cash paid for income taxes</w:t>
            </w:r>
          </w:p>
        </w:tc>
        <w:tc>
          <w:tcPr>
            <w:tcW w:w="1940" w:type="dxa"/>
            <w:vAlign w:val="bottom"/>
            <w:gridSpan w:val="2"/>
          </w:tcPr>
          <w:p>
            <w:pPr>
              <w:jc w:val="right"/>
              <w:ind w:right="88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102"/>
              <w:spacing w:after="0"/>
              <w:rPr>
                <w:sz w:val="20"/>
                <w:szCs w:val="20"/>
                <w:color w:val="auto"/>
              </w:rPr>
            </w:pPr>
            <w:r>
              <w:rPr>
                <w:rFonts w:ascii="Arial" w:cs="Arial" w:eastAsia="Arial" w:hAnsi="Arial"/>
                <w:sz w:val="20"/>
                <w:szCs w:val="20"/>
                <w:color w:val="auto"/>
              </w:rPr>
              <w:t>62,151</w:t>
            </w:r>
          </w:p>
        </w:tc>
        <w:tc>
          <w:tcPr>
            <w:tcW w:w="140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7,253</w:t>
            </w:r>
          </w:p>
        </w:tc>
        <w:tc>
          <w:tcPr>
            <w:tcW w:w="100" w:type="dxa"/>
            <w:vAlign w:val="bottom"/>
          </w:tcPr>
          <w:p>
            <w:pPr>
              <w:spacing w:after="0"/>
              <w:rPr>
                <w:sz w:val="21"/>
                <w:szCs w:val="21"/>
                <w:color w:val="auto"/>
              </w:rPr>
            </w:pPr>
          </w:p>
        </w:tc>
      </w:tr>
    </w:tbl>
    <w:p>
      <w:pPr>
        <w:spacing w:after="0" w:line="332" w:lineRule="exact"/>
        <w:rPr>
          <w:sz w:val="20"/>
          <w:szCs w:val="20"/>
          <w:color w:val="auto"/>
        </w:rPr>
      </w:pPr>
    </w:p>
    <w:p>
      <w:pPr>
        <w:ind w:left="380" w:hanging="373"/>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Bluegrass Acquisition</w:t>
      </w:r>
    </w:p>
    <w:p>
      <w:pPr>
        <w:spacing w:after="0" w:line="57"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In April 2018, the Company acquired Bluegrass, the largest privately-held, pure-play aggregates company in the United States for $1.62 billion. These operations complement the Company’s existing southeastern footprint in its Mid-America and Southeast Groups and provide new growth platforms within Maryland and Kentucky.</w:t>
      </w:r>
    </w:p>
    <w:p>
      <w:pPr>
        <w:spacing w:after="0" w:line="79"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The Company determined fair values of the assets acquired and liabilities assumed and the measurement period is closed as of April 2019. The following is a summary of the fair values of the assets acquired and the liabilities assumed as of the acquisition date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Cash</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Receivables</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25,479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Inventory</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Other current assets</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1,029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Property, plant and equipment</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1,519,289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Intangible assets, other than goodwill</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20,150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Goodwill</w:t>
            </w:r>
          </w:p>
        </w:tc>
        <w:tc>
          <w:tcPr>
            <w:tcW w:w="11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242,981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6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1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1,856,722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Liabilities:</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Accounts payable and accrued expenses</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Deferred income tax liabilities, net</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212,450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Noncontrolling interest</w:t>
            </w:r>
          </w:p>
        </w:tc>
        <w:tc>
          <w:tcPr>
            <w:tcW w:w="11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60" w:type="dxa"/>
            <w:vAlign w:val="bottom"/>
            <w:gridSpan w:val="2"/>
          </w:tcPr>
          <w:p>
            <w:pPr>
              <w:spacing w:after="0"/>
              <w:rPr>
                <w:sz w:val="20"/>
                <w:szCs w:val="20"/>
                <w:color w:val="auto"/>
              </w:rPr>
            </w:pPr>
            <w:r>
              <w:rPr>
                <w:rFonts w:ascii="Arial" w:cs="Arial" w:eastAsia="Arial" w:hAnsi="Arial"/>
                <w:sz w:val="20"/>
                <w:szCs w:val="20"/>
                <w:color w:val="auto"/>
              </w:rPr>
              <w:t>Total liabilities</w:t>
            </w:r>
          </w:p>
        </w:tc>
        <w:tc>
          <w:tcPr>
            <w:tcW w:w="1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239,365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Total consideration</w:t>
            </w:r>
          </w:p>
        </w:tc>
        <w:tc>
          <w:tcPr>
            <w:tcW w:w="1120" w:type="dxa"/>
            <w:vAlign w:val="bottom"/>
            <w:tcBorders>
              <w:bottom w:val="single" w:sz="8" w:color="auto"/>
            </w:tcBorders>
          </w:tcPr>
          <w:p>
            <w:pPr>
              <w:jc w:val="right"/>
              <w:ind w:right="922"/>
              <w:spacing w:after="0"/>
              <w:rPr>
                <w:sz w:val="20"/>
                <w:szCs w:val="20"/>
                <w:color w:val="auto"/>
              </w:rPr>
            </w:pPr>
            <w:r>
              <w:rPr>
                <w:rFonts w:ascii="Arial" w:cs="Arial" w:eastAsia="Arial" w:hAnsi="Arial"/>
                <w:sz w:val="20"/>
                <w:szCs w:val="2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1,617,357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Total revenues and earnings from operations attributable to Bluegrass, included in the consolidated earnings statements, for the three months ended September 30, 2019 were $79.5 million and $31.1 million, respectively, and for the nine months ended September 30, 2019 were $202.7 million and $60.6 million, respectively. Total revenues and earnings from operations attributable to Bluegrass in 2018 for the three months ended September 30, 2018 were $68.7 million and $11.5 million, respectively, and for the nine months ended September 30, 2018 were $115.0 million and $18.3 million, respectively.</w:t>
      </w:r>
    </w:p>
    <w:p>
      <w:pPr>
        <w:spacing w:after="0" w:line="84"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The unaudited pro forma financial information summarizes the combined results of operations for the Company and Bluegrass as though the companies were combined as of January 1, 2017. The pro forma earnings does not reflect any cost savings or associated costs to achieve such savings from operating efficiencies or synergies that result from the combination. Consistent with the assumed acquisition date of January 1, 2017, expenses related to the acquisition are considered to have been incurred for the year ended December 31, 2017. The pro forma financial information does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 had taken place at the beginning of 2017.</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presents pro forma results for the period ended September 30, 2018 (dollars in thousands, except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0"/>
                <w:szCs w:val="20"/>
                <w:color w:val="auto"/>
              </w:rPr>
            </w:pPr>
            <w:r>
              <w:rPr>
                <w:rFonts w:ascii="Arial" w:cs="Arial" w:eastAsia="Arial" w:hAnsi="Arial"/>
                <w:sz w:val="20"/>
                <w:szCs w:val="20"/>
                <w:color w:val="auto"/>
              </w:rPr>
              <w:t>Total revenues</w:t>
            </w:r>
          </w:p>
        </w:tc>
        <w:tc>
          <w:tcPr>
            <w:tcW w:w="358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42"/>
              <w:spacing w:after="0"/>
              <w:rPr>
                <w:sz w:val="20"/>
                <w:szCs w:val="20"/>
                <w:color w:val="auto"/>
              </w:rPr>
            </w:pPr>
            <w:r>
              <w:rPr>
                <w:rFonts w:ascii="Arial" w:cs="Arial" w:eastAsia="Arial" w:hAnsi="Arial"/>
                <w:sz w:val="20"/>
                <w:szCs w:val="20"/>
                <w:color w:val="auto"/>
              </w:rPr>
              <w:t>3,279,455</w:t>
            </w:r>
          </w:p>
        </w:tc>
      </w:tr>
      <w:tr>
        <w:trPr>
          <w:trHeight w:val="242"/>
        </w:trPr>
        <w:tc>
          <w:tcPr>
            <w:tcW w:w="5900" w:type="dxa"/>
            <w:vAlign w:val="bottom"/>
            <w:shd w:val="clear" w:color="auto" w:fill="CDF0FC"/>
          </w:tcPr>
          <w:p>
            <w:pPr>
              <w:spacing w:after="0"/>
              <w:rPr>
                <w:sz w:val="20"/>
                <w:szCs w:val="20"/>
                <w:color w:val="auto"/>
              </w:rPr>
            </w:pPr>
            <w:r>
              <w:rPr>
                <w:rFonts w:ascii="Arial" w:cs="Arial" w:eastAsia="Arial" w:hAnsi="Arial"/>
                <w:sz w:val="20"/>
                <w:szCs w:val="20"/>
                <w:color w:val="auto"/>
              </w:rPr>
              <w:t>Net earnings attributable to Martin Marietta</w:t>
            </w:r>
          </w:p>
        </w:tc>
        <w:tc>
          <w:tcPr>
            <w:tcW w:w="3580" w:type="dxa"/>
            <w:vAlign w:val="bottom"/>
            <w:shd w:val="clear" w:color="auto" w:fill="CDF0FC"/>
          </w:tcPr>
          <w:p>
            <w:pPr>
              <w:jc w:val="right"/>
              <w:ind w:right="922"/>
              <w:spacing w:after="0"/>
              <w:rPr>
                <w:sz w:val="20"/>
                <w:szCs w:val="20"/>
                <w:color w:val="auto"/>
              </w:rPr>
            </w:pPr>
            <w:r>
              <w:rPr>
                <w:rFonts w:ascii="Arial" w:cs="Arial" w:eastAsia="Arial" w:hAnsi="Arial"/>
                <w:sz w:val="20"/>
                <w:szCs w:val="20"/>
                <w:color w:val="auto"/>
              </w:rPr>
              <w:t>$</w:t>
            </w:r>
          </w:p>
        </w:tc>
        <w:tc>
          <w:tcPr>
            <w:tcW w:w="1940" w:type="dxa"/>
            <w:vAlign w:val="bottom"/>
            <w:shd w:val="clear" w:color="auto" w:fill="CDF0FC"/>
          </w:tcPr>
          <w:p>
            <w:pPr>
              <w:jc w:val="right"/>
              <w:ind w:right="42"/>
              <w:spacing w:after="0"/>
              <w:rPr>
                <w:sz w:val="20"/>
                <w:szCs w:val="20"/>
                <w:color w:val="auto"/>
              </w:rPr>
            </w:pPr>
            <w:r>
              <w:rPr>
                <w:rFonts w:ascii="Arial" w:cs="Arial" w:eastAsia="Arial" w:hAnsi="Arial"/>
                <w:sz w:val="20"/>
                <w:szCs w:val="20"/>
                <w:color w:val="auto"/>
              </w:rPr>
              <w:t>399,113</w:t>
            </w:r>
          </w:p>
        </w:tc>
      </w:tr>
      <w:tr>
        <w:trPr>
          <w:trHeight w:val="249"/>
        </w:trPr>
        <w:tc>
          <w:tcPr>
            <w:tcW w:w="5900" w:type="dxa"/>
            <w:vAlign w:val="bottom"/>
          </w:tcPr>
          <w:p>
            <w:pPr>
              <w:spacing w:after="0"/>
              <w:rPr>
                <w:sz w:val="20"/>
                <w:szCs w:val="20"/>
                <w:color w:val="auto"/>
              </w:rPr>
            </w:pPr>
            <w:r>
              <w:rPr>
                <w:rFonts w:ascii="Arial" w:cs="Arial" w:eastAsia="Arial" w:hAnsi="Arial"/>
                <w:sz w:val="20"/>
                <w:szCs w:val="20"/>
                <w:color w:val="auto"/>
              </w:rPr>
              <w:t>Diluted EPS</w:t>
            </w:r>
          </w:p>
        </w:tc>
        <w:tc>
          <w:tcPr>
            <w:tcW w:w="3580" w:type="dxa"/>
            <w:vAlign w:val="bottom"/>
          </w:tcPr>
          <w:p>
            <w:pPr>
              <w:jc w:val="right"/>
              <w:ind w:right="922"/>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42"/>
              <w:spacing w:after="0"/>
              <w:rPr>
                <w:sz w:val="20"/>
                <w:szCs w:val="20"/>
                <w:color w:val="auto"/>
              </w:rPr>
            </w:pPr>
            <w:r>
              <w:rPr>
                <w:rFonts w:ascii="Arial" w:cs="Arial" w:eastAsia="Arial" w:hAnsi="Arial"/>
                <w:sz w:val="20"/>
                <w:szCs w:val="20"/>
                <w:color w:val="auto"/>
              </w:rPr>
              <w:t>6.31</w:t>
            </w:r>
          </w:p>
        </w:tc>
      </w:tr>
    </w:tbl>
    <w:p>
      <w:pPr>
        <w:spacing w:after="0" w:line="305" w:lineRule="exact"/>
        <w:rPr>
          <w:sz w:val="20"/>
          <w:szCs w:val="20"/>
          <w:color w:val="auto"/>
        </w:rPr>
      </w:pPr>
    </w:p>
    <w:p>
      <w:pPr>
        <w:ind w:left="380" w:hanging="373"/>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Net</w:t>
      </w:r>
    </w:p>
    <w:p>
      <w:pPr>
        <w:spacing w:after="0" w:line="111"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Other operating income, net, for the quarter ended September 30, 2018, includes a $7.1 million asset and portfolio rationalization charge, which primarily consists of asset impairment charges and severance costs in the Company’s Southwest ready mixed concrete operations, reported in the West Group reportable segment. For the nine months ended September 30, 2018, in addition to the asset and portfolio rationalization charge, other operating expenses and income, net, reflects a net gain on legal settlements of $7.7 million and a gain on the sale of surplus land of $16.9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more than 300 quarries, mines and distribution yards in 27 states, Canada and the Bahamas.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conducts its Building Materials business through three reportable business segments: Mid-America Group, Southeast Group and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6"/>
              </w:rPr>
              <w:t>Reportable Segments</w:t>
            </w:r>
          </w:p>
        </w:tc>
        <w:tc>
          <w:tcPr>
            <w:tcW w:w="3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3"/>
              </w:rPr>
              <w:t>Mid-America Group</w:t>
            </w:r>
          </w:p>
        </w:tc>
        <w:tc>
          <w:tcPr>
            <w:tcW w:w="27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5"/>
        </w:trPr>
        <w:tc>
          <w:tcPr>
            <w:tcW w:w="20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90"/>
              </w:rPr>
              <w:t>Operating Locations</w:t>
            </w:r>
          </w:p>
        </w:tc>
        <w:tc>
          <w:tcPr>
            <w:tcW w:w="120" w:type="dxa"/>
            <w:vAlign w:val="bottom"/>
          </w:tcPr>
          <w:p>
            <w:pPr>
              <w:spacing w:after="0"/>
              <w:rPr>
                <w:sz w:val="17"/>
                <w:szCs w:val="17"/>
                <w:color w:val="auto"/>
              </w:rPr>
            </w:pPr>
          </w:p>
        </w:tc>
        <w:tc>
          <w:tcPr>
            <w:tcW w:w="29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9"/>
              </w:rPr>
              <w:t>Indiana, Iowa, northern Kansas,</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91"/>
              </w:rPr>
              <w:t>Alabama, Florida,</w:t>
            </w:r>
          </w:p>
        </w:tc>
        <w:tc>
          <w:tcPr>
            <w:tcW w:w="120" w:type="dxa"/>
            <w:vAlign w:val="bottom"/>
          </w:tcPr>
          <w:p>
            <w:pPr>
              <w:spacing w:after="0"/>
              <w:rPr>
                <w:sz w:val="17"/>
                <w:szCs w:val="17"/>
                <w:color w:val="auto"/>
              </w:rPr>
            </w:pPr>
          </w:p>
        </w:tc>
        <w:tc>
          <w:tcPr>
            <w:tcW w:w="34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8"/>
              </w:rPr>
              <w:t>Arkansas, Colorado, southern Kansas,</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91"/>
              </w:rPr>
              <w:t>Kentucky, Maryland, Minnesota,</w:t>
            </w:r>
          </w:p>
        </w:tc>
        <w:tc>
          <w:tcPr>
            <w:tcW w:w="276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8"/>
              </w:rPr>
              <w:t>Georgia, southwestern South</w:t>
            </w:r>
          </w:p>
        </w:tc>
        <w:tc>
          <w:tcPr>
            <w:tcW w:w="3460" w:type="dxa"/>
            <w:vAlign w:val="bottom"/>
          </w:tcPr>
          <w:p>
            <w:pPr>
              <w:jc w:val="center"/>
              <w:spacing w:after="0" w:line="229" w:lineRule="exact"/>
              <w:rPr>
                <w:sz w:val="20"/>
                <w:szCs w:val="20"/>
                <w:color w:val="auto"/>
              </w:rPr>
            </w:pPr>
            <w:r>
              <w:rPr>
                <w:rFonts w:ascii="Arial" w:cs="Arial" w:eastAsia="Arial" w:hAnsi="Arial"/>
                <w:sz w:val="20"/>
                <w:szCs w:val="20"/>
                <w:color w:val="auto"/>
                <w:w w:val="87"/>
              </w:rPr>
              <w:t>Louisiana, western Nebraska, Nevada,</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00"/>
              <w:spacing w:after="0" w:line="229" w:lineRule="exact"/>
              <w:rPr>
                <w:sz w:val="20"/>
                <w:szCs w:val="20"/>
                <w:color w:val="auto"/>
              </w:rPr>
            </w:pPr>
            <w:r>
              <w:rPr>
                <w:rFonts w:ascii="Arial" w:cs="Arial" w:eastAsia="Arial" w:hAnsi="Arial"/>
                <w:sz w:val="20"/>
                <w:szCs w:val="20"/>
                <w:color w:val="auto"/>
                <w:w w:val="88"/>
              </w:rPr>
              <w:t>Missouri, eastern Nebraska, North</w:t>
            </w:r>
          </w:p>
        </w:tc>
        <w:tc>
          <w:tcPr>
            <w:tcW w:w="276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6"/>
              </w:rPr>
              <w:t>Carolina, Tennessee,</w:t>
            </w:r>
          </w:p>
        </w:tc>
        <w:tc>
          <w:tcPr>
            <w:tcW w:w="3460" w:type="dxa"/>
            <w:vAlign w:val="bottom"/>
          </w:tcPr>
          <w:p>
            <w:pPr>
              <w:jc w:val="center"/>
              <w:spacing w:after="0" w:line="229" w:lineRule="exact"/>
              <w:rPr>
                <w:sz w:val="20"/>
                <w:szCs w:val="20"/>
                <w:color w:val="auto"/>
              </w:rPr>
            </w:pPr>
            <w:r>
              <w:rPr>
                <w:rFonts w:ascii="Arial" w:cs="Arial" w:eastAsia="Arial" w:hAnsi="Arial"/>
                <w:sz w:val="20"/>
                <w:szCs w:val="20"/>
                <w:color w:val="auto"/>
                <w:w w:val="89"/>
              </w:rPr>
              <w:t>Oklahoma, Texas, Utah and Wyoming</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9"/>
              </w:rPr>
              <w:t>Carolina, Ohio, Pennsylvania, South</w:t>
            </w:r>
          </w:p>
        </w:tc>
        <w:tc>
          <w:tcPr>
            <w:tcW w:w="276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7"/>
              </w:rPr>
              <w:t>Nova Scotia and the Bahamas</w:t>
            </w:r>
          </w:p>
        </w:tc>
        <w:tc>
          <w:tcPr>
            <w:tcW w:w="3460" w:type="dxa"/>
            <w:vAlign w:val="bottom"/>
          </w:tcPr>
          <w:p>
            <w:pPr>
              <w:spacing w:after="0"/>
              <w:rPr>
                <w:sz w:val="19"/>
                <w:szCs w:val="19"/>
                <w:color w:val="auto"/>
              </w:rPr>
            </w:pP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00"/>
              <w:spacing w:after="0" w:line="229" w:lineRule="exact"/>
              <w:rPr>
                <w:sz w:val="20"/>
                <w:szCs w:val="20"/>
                <w:color w:val="auto"/>
              </w:rPr>
            </w:pPr>
            <w:r>
              <w:rPr>
                <w:rFonts w:ascii="Arial" w:cs="Arial" w:eastAsia="Arial" w:hAnsi="Arial"/>
                <w:sz w:val="20"/>
                <w:szCs w:val="20"/>
                <w:color w:val="auto"/>
                <w:w w:val="90"/>
              </w:rPr>
              <w:t>Carolina, Virginia, Washington and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West Virginia</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435"/>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308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Aggregates</w:t>
            </w:r>
          </w:p>
        </w:tc>
        <w:tc>
          <w:tcPr>
            <w:tcW w:w="346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jc w:val="center"/>
              <w:spacing w:after="0" w:line="229" w:lineRule="exact"/>
              <w:rPr>
                <w:sz w:val="20"/>
                <w:szCs w:val="20"/>
                <w:color w:val="auto"/>
              </w:rPr>
            </w:pPr>
            <w:r>
              <w:rPr>
                <w:rFonts w:ascii="Arial" w:cs="Arial" w:eastAsia="Arial" w:hAnsi="Arial"/>
                <w:sz w:val="20"/>
                <w:szCs w:val="20"/>
                <w:color w:val="auto"/>
                <w:w w:val="89"/>
              </w:rPr>
              <w:t>Mixed Concrete, Asphalt and</w:t>
            </w: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Paving</w:t>
            </w:r>
          </w:p>
        </w:tc>
      </w:tr>
      <w:tr>
        <w:trPr>
          <w:trHeight w:val="435"/>
        </w:trPr>
        <w:tc>
          <w:tcPr>
            <w:tcW w:w="21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Plant Types</w:t>
            </w: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Quarries, Mines, Plants and</w:t>
            </w: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Facilities</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Facilities</w:t>
            </w:r>
          </w:p>
        </w:tc>
        <w:tc>
          <w:tcPr>
            <w:tcW w:w="346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449"/>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Modes of</w:t>
            </w:r>
          </w:p>
        </w:tc>
        <w:tc>
          <w:tcPr>
            <w:tcW w:w="308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Truck and Railcar</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Railcar and Ship</w:t>
            </w:r>
          </w:p>
        </w:tc>
        <w:tc>
          <w:tcPr>
            <w:tcW w:w="3460" w:type="dxa"/>
            <w:vAlign w:val="bottom"/>
          </w:tcPr>
          <w:p>
            <w:pPr>
              <w:jc w:val="center"/>
              <w:spacing w:after="0"/>
              <w:rPr>
                <w:sz w:val="20"/>
                <w:szCs w:val="20"/>
                <w:color w:val="auto"/>
              </w:rPr>
            </w:pPr>
            <w:r>
              <w:rPr>
                <w:rFonts w:ascii="Arial" w:cs="Arial" w:eastAsia="Arial" w:hAnsi="Arial"/>
                <w:sz w:val="20"/>
                <w:szCs w:val="20"/>
                <w:color w:val="auto"/>
                <w:w w:val="90"/>
              </w:rPr>
              <w:t>Truck and Railcar</w:t>
            </w:r>
          </w:p>
        </w:tc>
      </w:tr>
      <w:tr>
        <w:trPr>
          <w:trHeight w:val="249"/>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8"/>
              </w:rPr>
              <w:t>Transportation</w:t>
            </w: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bl>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outlined its critical accounting policies in its Annual Report on Form 10-K for the year ended December 31, 2018. There were no changes to the Company’s critical accounting policies during the nine months ended September 30, 2019. Other than the required adoption of </w:t>
      </w:r>
      <w:r>
        <w:rPr>
          <w:rFonts w:ascii="Arial" w:cs="Arial" w:eastAsia="Arial" w:hAnsi="Arial"/>
          <w:sz w:val="20"/>
          <w:szCs w:val="20"/>
          <w:i w:val="1"/>
          <w:iCs w:val="1"/>
          <w:color w:val="auto"/>
        </w:rPr>
        <w:t xml:space="preserve">Accounting Standards Codification 842 – Leases </w:t>
      </w:r>
      <w:r>
        <w:rPr>
          <w:rFonts w:ascii="Arial" w:cs="Arial" w:eastAsia="Arial" w:hAnsi="Arial"/>
          <w:sz w:val="20"/>
          <w:szCs w:val="20"/>
          <w:color w:val="auto"/>
        </w:rPr>
        <w:t>(ASC 842), the Company has continued to follow the accounting policies set forth in the</w:t>
      </w:r>
      <w:r>
        <w:rPr>
          <w:rFonts w:ascii="Arial" w:cs="Arial" w:eastAsia="Arial" w:hAnsi="Arial"/>
          <w:sz w:val="20"/>
          <w:szCs w:val="20"/>
          <w:i w:val="1"/>
          <w:iCs w:val="1"/>
          <w:color w:val="auto"/>
        </w:rPr>
        <w:t xml:space="preserve"> </w:t>
      </w:r>
      <w:r>
        <w:rPr>
          <w:rFonts w:ascii="Arial" w:cs="Arial" w:eastAsia="Arial" w:hAnsi="Arial"/>
          <w:sz w:val="20"/>
          <w:szCs w:val="20"/>
          <w:color w:val="auto"/>
        </w:rPr>
        <w:t>audited consolidated financial statements and related notes thereto included in the Company’s Annual Report on Form 10-K for the year ended December 31, 2018.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of weather on the Company’s operations, current period and year-to-date results are not indicative of expected performance for other interim periods or the full year.</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Earnings before interest, income taxes, depreciation, depletion and amortization, the earnings/loss from nonconsolidated equity affiliates, Bluegrass acquisition-related expenses, net, the impact of selling acquired inventory after its markup to fair value as part of acquisition accounting and the asset and portfolio rationalization charge (Adjusted EBITDA) is an indicator used by the Company and investors to evaluate the Company’s operating performance from period to period. Adjusted EBITDA is not defined by generally accepted accounting principles and, as such, should not be construed as an alternative to net earnings, operating earnings or operating cash flow. However, the Company’s management believes that Adjusted EBITDA may provide additional information with respect to the Company’s performance or ability to meet its future debt service, capital expenditures or working capital requirements. Because Adjusted EBITDA excludes some, but not all, items that affect net earnings and may vary among companies, Adjusted EBITDA as presented by the Company may not be comparable to similarly titled measures of other companies.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Adjusted EBITDA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5"/>
          </w:tcPr>
          <w:p>
            <w:pPr>
              <w:jc w:val="center"/>
              <w:ind w:right="520"/>
              <w:spacing w:after="0"/>
              <w:rPr>
                <w:sz w:val="20"/>
                <w:szCs w:val="20"/>
                <w:color w:val="auto"/>
              </w:rPr>
            </w:pPr>
            <w:r>
              <w:rPr>
                <w:rFonts w:ascii="Arial" w:cs="Arial" w:eastAsia="Arial" w:hAnsi="Arial"/>
                <w:sz w:val="20"/>
                <w:szCs w:val="20"/>
                <w:color w:val="auto"/>
                <w:w w:val="88"/>
              </w:rPr>
              <w:t>Three Months Ended</w:t>
            </w:r>
          </w:p>
        </w:tc>
        <w:tc>
          <w:tcPr>
            <w:tcW w:w="280" w:type="dxa"/>
            <w:vAlign w:val="bottom"/>
          </w:tcPr>
          <w:p>
            <w:pPr>
              <w:spacing w:after="0"/>
              <w:rPr>
                <w:sz w:val="21"/>
                <w:szCs w:val="21"/>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20"/>
                <w:szCs w:val="20"/>
                <w:color w:val="auto"/>
                <w:w w:val="89"/>
              </w:rPr>
              <w:t>Nine Months Ended</w:t>
            </w:r>
          </w:p>
        </w:tc>
      </w:tr>
      <w:tr>
        <w:trPr>
          <w:trHeight w:val="245"/>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5"/>
          </w:tcPr>
          <w:p>
            <w:pPr>
              <w:jc w:val="center"/>
              <w:ind w:right="520"/>
              <w:spacing w:after="0"/>
              <w:rPr>
                <w:sz w:val="20"/>
                <w:szCs w:val="20"/>
                <w:color w:val="auto"/>
              </w:rPr>
            </w:pPr>
            <w:r>
              <w:rPr>
                <w:rFonts w:ascii="Arial" w:cs="Arial" w:eastAsia="Arial" w:hAnsi="Arial"/>
                <w:sz w:val="20"/>
                <w:szCs w:val="20"/>
                <w:color w:val="auto"/>
                <w:w w:val="86"/>
              </w:rPr>
              <w:t>September 30,</w:t>
            </w:r>
          </w:p>
        </w:tc>
        <w:tc>
          <w:tcPr>
            <w:tcW w:w="280" w:type="dxa"/>
            <w:vAlign w:val="bottom"/>
          </w:tcPr>
          <w:p>
            <w:pPr>
              <w:spacing w:after="0"/>
              <w:rPr>
                <w:sz w:val="21"/>
                <w:szCs w:val="21"/>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20"/>
                <w:szCs w:val="20"/>
                <w:color w:val="auto"/>
                <w:w w:val="86"/>
              </w:rPr>
              <w:t>September 30,</w:t>
            </w:r>
          </w:p>
        </w:tc>
      </w:tr>
      <w:tr>
        <w:trPr>
          <w:trHeight w:val="235"/>
        </w:trPr>
        <w:tc>
          <w:tcPr>
            <w:tcW w:w="53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20"/>
                <w:szCs w:val="20"/>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20"/>
                <w:szCs w:val="20"/>
                <w:color w:val="auto"/>
              </w:rPr>
              <w:t xml:space="preserve">2018 </w:t>
            </w:r>
            <w:r>
              <w:rPr>
                <w:rFonts w:ascii="Arial" w:cs="Arial" w:eastAsia="Arial" w:hAnsi="Arial"/>
                <w:sz w:val="16"/>
                <w:szCs w:val="16"/>
                <w:color w:val="auto"/>
              </w:rPr>
              <w:t>(1)</w:t>
            </w:r>
          </w:p>
        </w:tc>
        <w:tc>
          <w:tcPr>
            <w:tcW w:w="24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20"/>
                <w:szCs w:val="20"/>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20"/>
                <w:szCs w:val="20"/>
                <w:color w:val="auto"/>
              </w:rPr>
              <w:t xml:space="preserve">2018 </w:t>
            </w:r>
            <w:r>
              <w:rPr>
                <w:rFonts w:ascii="Arial" w:cs="Arial" w:eastAsia="Arial" w:hAnsi="Arial"/>
                <w:sz w:val="16"/>
                <w:szCs w:val="16"/>
                <w:color w:val="auto"/>
              </w:rPr>
              <w:t>(1)</w:t>
            </w:r>
          </w:p>
        </w:tc>
        <w:tc>
          <w:tcPr>
            <w:tcW w:w="100" w:type="dxa"/>
            <w:vAlign w:val="bottom"/>
          </w:tcPr>
          <w:p>
            <w:pPr>
              <w:spacing w:after="0"/>
              <w:rPr>
                <w:sz w:val="20"/>
                <w:szCs w:val="20"/>
                <w:color w:val="auto"/>
              </w:rPr>
            </w:pPr>
          </w:p>
        </w:tc>
      </w:tr>
      <w:tr>
        <w:trPr>
          <w:trHeight w:val="235"/>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280"/>
              <w:spacing w:after="0"/>
              <w:rPr>
                <w:sz w:val="20"/>
                <w:szCs w:val="20"/>
                <w:color w:val="auto"/>
              </w:rPr>
            </w:pPr>
            <w:r>
              <w:rPr>
                <w:rFonts w:ascii="Arial" w:cs="Arial" w:eastAsia="Arial" w:hAnsi="Arial"/>
                <w:sz w:val="20"/>
                <w:szCs w:val="20"/>
                <w:i w:val="1"/>
                <w:iCs w:val="1"/>
                <w:color w:val="auto"/>
              </w:rPr>
              <w:t>(Dollars in Thousands)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538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Net Earnings Attributable to Martin Marietta</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5"/>
        </w:trPr>
        <w:tc>
          <w:tcPr>
            <w:tcW w:w="5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248,573</w:t>
            </w:r>
          </w:p>
        </w:tc>
        <w:tc>
          <w:tcPr>
            <w:tcW w:w="48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180,221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480,901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375,621</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Add back:</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53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32,321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35,468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98,366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103,526</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66,143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29,051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111,019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84,070</w:t>
            </w:r>
          </w:p>
        </w:tc>
        <w:tc>
          <w:tcPr>
            <w:tcW w:w="100" w:type="dxa"/>
            <w:vAlign w:val="bottom"/>
          </w:tcPr>
          <w:p>
            <w:pPr>
              <w:spacing w:after="0"/>
              <w:rPr>
                <w:sz w:val="21"/>
                <w:szCs w:val="21"/>
                <w:color w:val="auto"/>
              </w:rPr>
            </w:pPr>
          </w:p>
        </w:tc>
      </w:tr>
      <w:tr>
        <w:trPr>
          <w:trHeight w:val="225"/>
        </w:trPr>
        <w:tc>
          <w:tcPr>
            <w:tcW w:w="5380" w:type="dxa"/>
            <w:vAlign w:val="bottom"/>
            <w:shd w:val="clear" w:color="auto" w:fill="CFF0FC"/>
          </w:tcPr>
          <w:p>
            <w:pPr>
              <w:ind w:left="260"/>
              <w:spacing w:after="0" w:line="225" w:lineRule="exact"/>
              <w:rPr>
                <w:sz w:val="20"/>
                <w:szCs w:val="20"/>
                <w:color w:val="auto"/>
              </w:rPr>
            </w:pPr>
            <w:r>
              <w:rPr>
                <w:rFonts w:ascii="Arial" w:cs="Arial" w:eastAsia="Arial" w:hAnsi="Arial"/>
                <w:sz w:val="20"/>
                <w:szCs w:val="20"/>
                <w:color w:val="auto"/>
              </w:rPr>
              <w:t>Depreciation, depletion and amortization and</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380" w:type="dxa"/>
            <w:vAlign w:val="bottom"/>
            <w:shd w:val="clear" w:color="auto" w:fill="CFF0FC"/>
          </w:tcPr>
          <w:p>
            <w:pPr>
              <w:ind w:left="400"/>
              <w:spacing w:after="0" w:line="229" w:lineRule="exact"/>
              <w:rPr>
                <w:sz w:val="20"/>
                <w:szCs w:val="20"/>
                <w:color w:val="auto"/>
              </w:rPr>
            </w:pPr>
            <w:r>
              <w:rPr>
                <w:rFonts w:ascii="Arial" w:cs="Arial" w:eastAsia="Arial" w:hAnsi="Arial"/>
                <w:sz w:val="20"/>
                <w:szCs w:val="20"/>
                <w:color w:val="auto"/>
              </w:rPr>
              <w:t>earnings/loss from nonconsolidated equity</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5"/>
        </w:trPr>
        <w:tc>
          <w:tcPr>
            <w:tcW w:w="538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affiliates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92,034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84,345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285,483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240,228</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ind w:left="260"/>
              <w:spacing w:after="0"/>
              <w:rPr>
                <w:sz w:val="20"/>
                <w:szCs w:val="20"/>
                <w:color w:val="auto"/>
              </w:rPr>
            </w:pPr>
            <w:r>
              <w:rPr>
                <w:rFonts w:ascii="Arial" w:cs="Arial" w:eastAsia="Arial" w:hAnsi="Arial"/>
                <w:sz w:val="20"/>
                <w:szCs w:val="20"/>
                <w:color w:val="auto"/>
              </w:rPr>
              <w:t>Bluegrass acquisition-related expenses, net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12,925</w:t>
            </w:r>
          </w:p>
        </w:tc>
        <w:tc>
          <w:tcPr>
            <w:tcW w:w="100" w:type="dxa"/>
            <w:vAlign w:val="bottom"/>
          </w:tcPr>
          <w:p>
            <w:pPr>
              <w:spacing w:after="0"/>
              <w:rPr>
                <w:sz w:val="21"/>
                <w:szCs w:val="21"/>
                <w:color w:val="auto"/>
              </w:rPr>
            </w:pPr>
          </w:p>
        </w:tc>
      </w:tr>
      <w:tr>
        <w:trPr>
          <w:trHeight w:val="225"/>
        </w:trPr>
        <w:tc>
          <w:tcPr>
            <w:tcW w:w="5380" w:type="dxa"/>
            <w:vAlign w:val="bottom"/>
            <w:shd w:val="clear" w:color="auto" w:fill="CFF0FC"/>
          </w:tcPr>
          <w:p>
            <w:pPr>
              <w:ind w:left="260"/>
              <w:spacing w:after="0" w:line="225" w:lineRule="exact"/>
              <w:rPr>
                <w:sz w:val="20"/>
                <w:szCs w:val="20"/>
                <w:color w:val="auto"/>
              </w:rPr>
            </w:pPr>
            <w:r>
              <w:rPr>
                <w:rFonts w:ascii="Arial" w:cs="Arial" w:eastAsia="Arial" w:hAnsi="Arial"/>
                <w:sz w:val="20"/>
                <w:szCs w:val="20"/>
                <w:color w:val="auto"/>
              </w:rPr>
              <w:t>Impact of selling acquired inventory after markup</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5"/>
        </w:trPr>
        <w:tc>
          <w:tcPr>
            <w:tcW w:w="538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 fair value as part of acquisition accounting</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8,349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18,516</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ind w:left="260"/>
              <w:spacing w:after="0"/>
              <w:rPr>
                <w:sz w:val="20"/>
                <w:szCs w:val="20"/>
                <w:color w:val="auto"/>
              </w:rPr>
            </w:pPr>
            <w:r>
              <w:rPr>
                <w:rFonts w:ascii="Arial" w:cs="Arial" w:eastAsia="Arial" w:hAnsi="Arial"/>
                <w:sz w:val="20"/>
                <w:szCs w:val="20"/>
                <w:color w:val="auto"/>
              </w:rPr>
              <w:t>Asset and portfolio rationalization charges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7,113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7,113</w:t>
            </w:r>
          </w:p>
        </w:tc>
        <w:tc>
          <w:tcPr>
            <w:tcW w:w="100" w:type="dxa"/>
            <w:vAlign w:val="bottom"/>
          </w:tcPr>
          <w:p>
            <w:pPr>
              <w:spacing w:after="0"/>
              <w:rPr>
                <w:sz w:val="21"/>
                <w:szCs w:val="21"/>
                <w:color w:val="auto"/>
              </w:rPr>
            </w:pPr>
          </w:p>
        </w:tc>
      </w:tr>
      <w:tr>
        <w:trPr>
          <w:trHeight w:val="235"/>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Adjusted EBITDA</w:t>
            </w:r>
          </w:p>
        </w:tc>
        <w:tc>
          <w:tcPr>
            <w:tcW w:w="26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439,071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344,636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975,769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841,999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760" w:hanging="377"/>
        <w:spacing w:after="0" w:line="192" w:lineRule="auto"/>
        <w:tabs>
          <w:tab w:leader="none" w:pos="760" w:val="left"/>
        </w:tabs>
        <w:numPr>
          <w:ilvl w:val="0"/>
          <w:numId w:val="14"/>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The calculation of Adjusted EBITDA was modified in 2019. 2018 amounts have been calculated consistently with the 2019 presentation.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September 30, 2019 (unless noted, all comparisons are versus the prior-year quarter):</w:t>
      </w:r>
    </w:p>
    <w:p>
      <w:pPr>
        <w:spacing w:after="0" w:line="106" w:lineRule="exact"/>
        <w:rPr>
          <w:sz w:val="20"/>
          <w:szCs w:val="20"/>
          <w:color w:val="auto"/>
        </w:rPr>
      </w:pPr>
    </w:p>
    <w:p>
      <w:pPr>
        <w:ind w:left="760" w:hanging="377"/>
        <w:spacing w:after="0"/>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total revenues of $1.42 billion compared with $1.22 billion, an increase of 16%</w:t>
      </w:r>
    </w:p>
    <w:p>
      <w:pPr>
        <w:spacing w:after="0" w:line="14" w:lineRule="exact"/>
        <w:rPr>
          <w:rFonts w:ascii="Arial" w:cs="Arial" w:eastAsia="Arial" w:hAnsi="Arial"/>
          <w:sz w:val="20"/>
          <w:szCs w:val="20"/>
          <w:color w:val="007DC6"/>
        </w:rPr>
      </w:pPr>
    </w:p>
    <w:p>
      <w:pPr>
        <w:ind w:left="760" w:hanging="377"/>
        <w:spacing w:after="0" w:line="238" w:lineRule="auto"/>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$1.26 billion compared with $1.07 billion and Magnesia Specialties products revenue of $59.3 million compared with $68.4 million</w:t>
      </w:r>
    </w:p>
    <w:p>
      <w:pPr>
        <w:ind w:left="760" w:hanging="377"/>
        <w:spacing w:after="0" w:line="238" w:lineRule="auto"/>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gross profit of $420.6 million compared with $313.0 million, an increase of 34%</w:t>
      </w:r>
    </w:p>
    <w:p>
      <w:pPr>
        <w:ind w:left="760" w:hanging="377"/>
        <w:spacing w:after="0" w:line="238" w:lineRule="auto"/>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earnings from operations of $345.3 million compared with $240.7 million, an increase of 44%</w:t>
      </w:r>
    </w:p>
    <w:p>
      <w:pPr>
        <w:ind w:left="760" w:hanging="377"/>
        <w:spacing w:after="0" w:line="238" w:lineRule="auto"/>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$248.6 million compared with $180.2 million</w:t>
      </w:r>
    </w:p>
    <w:p>
      <w:pPr>
        <w:ind w:left="760" w:hanging="377"/>
        <w:spacing w:after="0" w:line="238" w:lineRule="auto"/>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Adjusted EBITDA of $439.1 million compared with $344.6 million</w:t>
      </w:r>
    </w:p>
    <w:p>
      <w:pPr>
        <w:ind w:left="760" w:hanging="377"/>
        <w:spacing w:after="0"/>
        <w:tabs>
          <w:tab w:leader="none" w:pos="76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Earnings per diluted share of $3.96 compared with $2.85</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following tables present total revenues, gross profit (loss), selling, general and administrative (SG&amp;A) expenses and earnings (loss) from operations data for the Company and its reportable segments by product line for the three months ended September 30, 2019 and 2018. In each case, the data is stated as a percentage of revenues of the Company or the relevant segment or product line, as the case may be. The aggregates products gross profit rollforward is presented following the gross profit table. In 2019, the Company reclassified its two cold mix asphalt plants from the asphalt and paving product line to the aggregates product line as they display characteristics more similar to aggregates than asphalt products. These operations did not represent a material amount of product revenues or gross profit. Prior-year information has been reclassified to conform to the presentation of the Company’s current reportable product lines.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20"/>
                <w:szCs w:val="20"/>
                <w:color w:val="auto"/>
                <w:w w:val="87"/>
              </w:rPr>
              <w:t>Three Months Ended September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2019</w:t>
            </w:r>
          </w:p>
        </w:tc>
        <w:tc>
          <w:tcPr>
            <w:tcW w:w="1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91"/>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6"/>
              </w:rPr>
              <w:t>% of Revenues</w:t>
            </w:r>
          </w:p>
        </w:tc>
        <w:tc>
          <w:tcPr>
            <w:tcW w:w="100" w:type="dxa"/>
            <w:vAlign w:val="bottom"/>
          </w:tcPr>
          <w:p>
            <w:pPr>
              <w:spacing w:after="0"/>
              <w:rPr>
                <w:sz w:val="20"/>
                <w:szCs w:val="20"/>
                <w:color w:val="auto"/>
              </w:rPr>
            </w:pPr>
          </w:p>
        </w:tc>
      </w:tr>
      <w:tr>
        <w:trPr>
          <w:trHeight w:val="235"/>
        </w:trPr>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6"/>
          </w:tcPr>
          <w:p>
            <w:pPr>
              <w:jc w:val="right"/>
              <w:ind w:right="980"/>
              <w:spacing w:after="0"/>
              <w:rPr>
                <w:sz w:val="20"/>
                <w:szCs w:val="20"/>
                <w:color w:val="auto"/>
              </w:rPr>
            </w:pPr>
            <w:r>
              <w:rPr>
                <w:rFonts w:ascii="Arial" w:cs="Arial" w:eastAsia="Arial" w:hAnsi="Arial"/>
                <w:sz w:val="20"/>
                <w:szCs w:val="20"/>
                <w:i w:val="1"/>
                <w:iCs w:val="1"/>
                <w:color w:val="auto"/>
              </w:rPr>
              <w:t>(Dollars in Thousands)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9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9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6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411,045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348,429</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129,619</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121,661</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278,029</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221,732</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Pr>
          <w:p>
            <w:pPr>
              <w:ind w:left="620"/>
              <w:spacing w:after="0"/>
              <w:rPr>
                <w:sz w:val="20"/>
                <w:szCs w:val="20"/>
                <w:color w:val="auto"/>
              </w:rPr>
            </w:pPr>
            <w:r>
              <w:rPr>
                <w:rFonts w:ascii="Arial" w:cs="Arial" w:eastAsia="Arial" w:hAnsi="Arial"/>
                <w:sz w:val="20"/>
                <w:szCs w:val="20"/>
                <w:color w:val="auto"/>
              </w:rPr>
              <w:t>Cement</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119,609</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98,223</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271,844</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254,686</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131,099</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95,961</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392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(77,419)</w:t>
            </w: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(66,839)</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392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10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723,162</w:t>
            </w:r>
          </w:p>
        </w:tc>
        <w:tc>
          <w:tcPr>
            <w:tcW w:w="34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603,763</w:t>
            </w:r>
          </w:p>
        </w:tc>
        <w:tc>
          <w:tcPr>
            <w:tcW w:w="32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5"/>
        </w:trPr>
        <w:tc>
          <w:tcPr>
            <w:tcW w:w="39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1,263,826</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1,073,853</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42"/>
        </w:trPr>
        <w:tc>
          <w:tcPr>
            <w:tcW w:w="39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10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91,543</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72,264</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0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1,355,369</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1,146,117</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5"/>
        </w:trPr>
        <w:tc>
          <w:tcPr>
            <w:tcW w:w="3920" w:type="dxa"/>
            <w:vAlign w:val="bottom"/>
          </w:tcPr>
          <w:p>
            <w:pPr>
              <w:spacing w:after="0"/>
              <w:rPr>
                <w:sz w:val="20"/>
                <w:szCs w:val="20"/>
                <w:color w:val="auto"/>
              </w:rPr>
            </w:pPr>
            <w:r>
              <w:rPr>
                <w:rFonts w:ascii="Arial" w:cs="Arial" w:eastAsia="Arial" w:hAnsi="Arial"/>
                <w:sz w:val="20"/>
                <w:szCs w:val="20"/>
                <w:color w:val="auto"/>
              </w:rPr>
              <w:t>Magnesia Specialties Business: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9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59,334</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68,365</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9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10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5,543</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5,158</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10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64,877</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73,523</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5"/>
        </w:trPr>
        <w:tc>
          <w:tcPr>
            <w:tcW w:w="3920" w:type="dxa"/>
            <w:vAlign w:val="bottom"/>
          </w:tcPr>
          <w:p>
            <w:pPr>
              <w:spacing w:after="0"/>
              <w:rPr>
                <w:sz w:val="20"/>
                <w:szCs w:val="20"/>
                <w:color w:val="auto"/>
              </w:rPr>
            </w:pPr>
            <w:r>
              <w:rPr>
                <w:rFonts w:ascii="Arial" w:cs="Arial" w:eastAsia="Arial" w:hAnsi="Arial"/>
                <w:sz w:val="20"/>
                <w:szCs w:val="20"/>
                <w:color w:val="auto"/>
              </w:rPr>
              <w:t>Total</w:t>
            </w:r>
          </w:p>
        </w:tc>
        <w:tc>
          <w:tcPr>
            <w:tcW w:w="102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1,420,246</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1,219,640</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20"/>
                <w:szCs w:val="20"/>
                <w:color w:val="auto"/>
                <w:w w:val="87"/>
              </w:rPr>
              <w:t>Three Months Ended September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2019</w:t>
            </w:r>
          </w:p>
        </w:tc>
        <w:tc>
          <w:tcPr>
            <w:tcW w:w="1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91"/>
              </w:rPr>
              <w:t>% of Revenues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6"/>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6"/>
          </w:tcPr>
          <w:p>
            <w:pPr>
              <w:jc w:val="right"/>
              <w:ind w:right="980"/>
              <w:spacing w:after="0"/>
              <w:rPr>
                <w:sz w:val="20"/>
                <w:szCs w:val="20"/>
                <w:color w:val="auto"/>
              </w:rPr>
            </w:pPr>
            <w:r>
              <w:rPr>
                <w:rFonts w:ascii="Arial" w:cs="Arial" w:eastAsia="Arial" w:hAnsi="Arial"/>
                <w:sz w:val="20"/>
                <w:szCs w:val="20"/>
                <w:i w:val="1"/>
                <w:iCs w:val="1"/>
                <w:color w:val="auto"/>
              </w:rPr>
              <w:t>(Dollars 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30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00" w:type="dxa"/>
            <w:vAlign w:val="bottom"/>
            <w:gridSpan w:val="2"/>
          </w:tcPr>
          <w:p>
            <w:pPr>
              <w:spacing w:after="0"/>
              <w:rPr>
                <w:sz w:val="20"/>
                <w:szCs w:val="20"/>
                <w:color w:val="auto"/>
              </w:rPr>
            </w:pPr>
            <w:r>
              <w:rPr>
                <w:rFonts w:ascii="Arial" w:cs="Arial" w:eastAsia="Arial" w:hAnsi="Arial"/>
                <w:sz w:val="20"/>
                <w:szCs w:val="20"/>
                <w:color w:val="auto"/>
              </w:rPr>
              <w:t>Building Materials Business: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360"/>
              <w:spacing w:after="0"/>
              <w:rPr>
                <w:sz w:val="20"/>
                <w:szCs w:val="20"/>
                <w:color w:val="auto"/>
              </w:rPr>
            </w:pPr>
            <w:r>
              <w:rPr>
                <w:rFonts w:ascii="Arial" w:cs="Arial" w:eastAsia="Arial" w:hAnsi="Arial"/>
                <w:sz w:val="20"/>
                <w:szCs w:val="20"/>
                <w:color w:val="auto"/>
              </w:rPr>
              <w:t>Mid-America Group</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1240" w:type="dxa"/>
            <w:vAlign w:val="bottom"/>
            <w:gridSpan w:val="2"/>
            <w:shd w:val="clear" w:color="auto" w:fill="CFF0FC"/>
          </w:tcPr>
          <w:p>
            <w:pPr>
              <w:jc w:val="right"/>
              <w:ind w:right="402"/>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174,121</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42.4</w:t>
            </w:r>
          </w:p>
        </w:tc>
        <w:tc>
          <w:tcPr>
            <w:tcW w:w="48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131,072</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360"/>
              <w:spacing w:after="0"/>
              <w:rPr>
                <w:sz w:val="20"/>
                <w:szCs w:val="20"/>
                <w:color w:val="auto"/>
              </w:rPr>
            </w:pPr>
            <w:r>
              <w:rPr>
                <w:rFonts w:ascii="Arial" w:cs="Arial" w:eastAsia="Arial" w:hAnsi="Arial"/>
                <w:sz w:val="20"/>
                <w:szCs w:val="20"/>
                <w:color w:val="auto"/>
              </w:rPr>
              <w:t>Southeast Group</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37,099</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30,899</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360"/>
              <w:spacing w:after="0"/>
              <w:rPr>
                <w:sz w:val="20"/>
                <w:szCs w:val="20"/>
                <w:color w:val="auto"/>
              </w:rPr>
            </w:pPr>
            <w:r>
              <w:rPr>
                <w:rFonts w:ascii="Arial" w:cs="Arial" w:eastAsia="Arial" w:hAnsi="Arial"/>
                <w:sz w:val="20"/>
                <w:szCs w:val="20"/>
                <w:color w:val="auto"/>
              </w:rPr>
              <w:t>West Group</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75,804</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47,695</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600"/>
              <w:spacing w:after="0"/>
              <w:rPr>
                <w:sz w:val="20"/>
                <w:szCs w:val="20"/>
                <w:color w:val="auto"/>
              </w:rPr>
            </w:pPr>
            <w:r>
              <w:rPr>
                <w:rFonts w:ascii="Arial" w:cs="Arial" w:eastAsia="Arial" w:hAnsi="Arial"/>
                <w:sz w:val="20"/>
                <w:szCs w:val="20"/>
                <w:color w:val="auto"/>
              </w:rPr>
              <w:t>Cement</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48,519</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40.6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32,543</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600"/>
              <w:spacing w:after="0"/>
              <w:rPr>
                <w:sz w:val="20"/>
                <w:szCs w:val="20"/>
                <w:color w:val="auto"/>
              </w:rPr>
            </w:pPr>
            <w:r>
              <w:rPr>
                <w:rFonts w:ascii="Arial" w:cs="Arial" w:eastAsia="Arial" w:hAnsi="Arial"/>
                <w:sz w:val="20"/>
                <w:szCs w:val="20"/>
                <w:color w:val="auto"/>
              </w:rPr>
              <w:t>Ready mixed concrete</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28,948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20,632</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Borders>
              <w:bottom w:val="single" w:sz="8" w:color="CFF0FC"/>
            </w:tcBorders>
          </w:tcPr>
          <w:p>
            <w:pPr>
              <w:ind w:left="600"/>
              <w:spacing w:after="0"/>
              <w:rPr>
                <w:sz w:val="20"/>
                <w:szCs w:val="20"/>
                <w:color w:val="auto"/>
              </w:rPr>
            </w:pPr>
            <w:r>
              <w:rPr>
                <w:rFonts w:ascii="Arial" w:cs="Arial" w:eastAsia="Arial" w:hAnsi="Arial"/>
                <w:sz w:val="20"/>
                <w:szCs w:val="20"/>
                <w:color w:val="auto"/>
              </w:rPr>
              <w:t>Asphalt and paving</w:t>
            </w:r>
          </w:p>
        </w:tc>
        <w:tc>
          <w:tcPr>
            <w:tcW w:w="6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31,102</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23.7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25,022</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26.1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shd w:val="clear" w:color="auto" w:fill="CFF0FC"/>
          </w:tcPr>
          <w:p>
            <w:pPr>
              <w:ind w:left="360"/>
              <w:spacing w:after="0"/>
              <w:rPr>
                <w:sz w:val="20"/>
                <w:szCs w:val="20"/>
                <w:color w:val="auto"/>
              </w:rPr>
            </w:pPr>
            <w:r>
              <w:rPr>
                <w:rFonts w:ascii="Arial" w:cs="Arial" w:eastAsia="Arial" w:hAnsi="Arial"/>
                <w:sz w:val="20"/>
                <w:szCs w:val="20"/>
                <w:color w:val="auto"/>
              </w:rPr>
              <w:t>West Group Total</w:t>
            </w:r>
          </w:p>
        </w:tc>
        <w:tc>
          <w:tcPr>
            <w:tcW w:w="640" w:type="dxa"/>
            <w:vAlign w:val="bottom"/>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184,373</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25.5</w:t>
            </w:r>
          </w:p>
        </w:tc>
        <w:tc>
          <w:tcPr>
            <w:tcW w:w="2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125,892</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395,593</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31.3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287,863</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317</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(47)</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0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6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395,910</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29.2</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287,816</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64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120"/>
              <w:spacing w:after="0"/>
              <w:rPr>
                <w:sz w:val="20"/>
                <w:szCs w:val="20"/>
                <w:color w:val="auto"/>
              </w:rPr>
            </w:pPr>
            <w:r>
              <w:rPr>
                <w:rFonts w:ascii="Arial" w:cs="Arial" w:eastAsia="Arial" w:hAnsi="Arial"/>
                <w:sz w:val="20"/>
                <w:szCs w:val="20"/>
                <w:color w:val="auto"/>
              </w:rPr>
              <w:t>Products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23,997</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40.4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26,823</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(987)</w:t>
            </w: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(1,076)</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00" w:type="dxa"/>
            <w:vAlign w:val="bottom"/>
            <w:gridSpan w:val="2"/>
          </w:tcPr>
          <w:p>
            <w:pPr>
              <w:spacing w:after="0"/>
              <w:rPr>
                <w:sz w:val="20"/>
                <w:szCs w:val="20"/>
                <w:color w:val="auto"/>
              </w:rPr>
            </w:pPr>
            <w:r>
              <w:rPr>
                <w:rFonts w:ascii="Arial" w:cs="Arial" w:eastAsia="Arial" w:hAnsi="Arial"/>
                <w:sz w:val="20"/>
                <w:szCs w:val="20"/>
                <w:color w:val="auto"/>
              </w:rPr>
              <w:t>Total Magnesia Specialties Business</w:t>
            </w:r>
          </w:p>
        </w:tc>
        <w:tc>
          <w:tcPr>
            <w:tcW w:w="6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23,010</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35.5</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25,747</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Corporate</w:t>
            </w:r>
          </w:p>
        </w:tc>
        <w:tc>
          <w:tcPr>
            <w:tcW w:w="64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1,725</w:t>
            </w:r>
          </w:p>
        </w:tc>
        <w:tc>
          <w:tcPr>
            <w:tcW w:w="34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(579)</w:t>
            </w:r>
          </w:p>
        </w:tc>
        <w:tc>
          <w:tcPr>
            <w:tcW w:w="32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00" w:type="dxa"/>
            <w:vAlign w:val="bottom"/>
            <w:gridSpan w:val="2"/>
          </w:tcPr>
          <w:p>
            <w:pPr>
              <w:spacing w:after="0"/>
              <w:rPr>
                <w:sz w:val="20"/>
                <w:szCs w:val="20"/>
                <w:color w:val="auto"/>
              </w:rPr>
            </w:pPr>
            <w:r>
              <w:rPr>
                <w:rFonts w:ascii="Arial" w:cs="Arial" w:eastAsia="Arial" w:hAnsi="Arial"/>
                <w:sz w:val="20"/>
                <w:szCs w:val="20"/>
                <w:color w:val="auto"/>
              </w:rPr>
              <w:t>Total</w:t>
            </w:r>
          </w:p>
        </w:tc>
        <w:tc>
          <w:tcPr>
            <w:tcW w:w="640" w:type="dxa"/>
            <w:vAlign w:val="bottom"/>
          </w:tcPr>
          <w:p>
            <w:pPr>
              <w:spacing w:after="0"/>
              <w:rPr>
                <w:sz w:val="20"/>
                <w:szCs w:val="20"/>
                <w:color w:val="auto"/>
              </w:rPr>
            </w:pPr>
          </w:p>
        </w:tc>
        <w:tc>
          <w:tcPr>
            <w:tcW w:w="60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420,645</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29.6</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312,984</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3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060" w:type="dxa"/>
            <w:vAlign w:val="bottom"/>
            <w:gridSpan w:val="7"/>
          </w:tcPr>
          <w:p>
            <w:pPr>
              <w:spacing w:after="0"/>
              <w:rPr>
                <w:sz w:val="20"/>
                <w:szCs w:val="20"/>
                <w:color w:val="auto"/>
              </w:rPr>
            </w:pPr>
            <w:r>
              <w:rPr>
                <w:rFonts w:ascii="Arial" w:cs="Arial" w:eastAsia="Arial" w:hAnsi="Arial"/>
                <w:sz w:val="20"/>
                <w:szCs w:val="20"/>
                <w:color w:val="auto"/>
                <w:w w:val="96"/>
              </w:rPr>
              <w:t>The following presents a rollforward of aggregates products gross profit (dollars in thousands):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5520" w:type="dxa"/>
            <w:vAlign w:val="bottom"/>
            <w:gridSpan w:val="3"/>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520" w:type="dxa"/>
            <w:vAlign w:val="bottom"/>
            <w:gridSpan w:val="3"/>
            <w:shd w:val="clear" w:color="auto" w:fill="CFF0FC"/>
          </w:tcPr>
          <w:p>
            <w:pPr>
              <w:spacing w:after="0"/>
              <w:rPr>
                <w:sz w:val="20"/>
                <w:szCs w:val="20"/>
                <w:color w:val="auto"/>
              </w:rPr>
            </w:pPr>
            <w:r>
              <w:rPr>
                <w:rFonts w:ascii="Arial" w:cs="Arial" w:eastAsia="Arial" w:hAnsi="Arial"/>
                <w:sz w:val="20"/>
                <w:szCs w:val="20"/>
                <w:color w:val="auto"/>
                <w:w w:val="89"/>
              </w:rPr>
              <w:t>Aggregates products gross profit, quarter ended September 30, 2018</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209,666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Volume</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42,079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Pricing</w:t>
            </w:r>
          </w:p>
        </w:tc>
        <w:tc>
          <w:tcPr>
            <w:tcW w:w="6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(5,597)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40" w:type="dxa"/>
            <w:vAlign w:val="bottom"/>
            <w:tcBorders>
              <w:top w:val="single" w:sz="8" w:color="CFF0FC"/>
              <w:bottom w:val="single" w:sz="8" w:color="CFF0FC"/>
            </w:tcBorders>
            <w:shd w:val="clear" w:color="auto" w:fill="CFF0FC"/>
          </w:tcPr>
          <w:p>
            <w:pPr>
              <w:spacing w:after="0"/>
              <w:rPr>
                <w:sz w:val="20"/>
                <w:szCs w:val="20"/>
                <w:color w:val="auto"/>
              </w:rPr>
            </w:pPr>
          </w:p>
        </w:tc>
        <w:tc>
          <w:tcPr>
            <w:tcW w:w="600" w:type="dxa"/>
            <w:vAlign w:val="bottom"/>
            <w:tcBorders>
              <w:top w:val="single" w:sz="8" w:color="CFF0FC"/>
              <w:bottom w:val="single" w:sz="8" w:color="CFF0FC"/>
            </w:tcBorders>
            <w:shd w:val="clear" w:color="auto" w:fill="CFF0FC"/>
          </w:tcPr>
          <w:p>
            <w:pPr>
              <w:spacing w:after="0"/>
              <w:rPr>
                <w:sz w:val="20"/>
                <w:szCs w:val="20"/>
                <w:color w:val="auto"/>
              </w:rPr>
            </w:pPr>
          </w:p>
        </w:tc>
        <w:tc>
          <w:tcPr>
            <w:tcW w:w="8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72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77,358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gridSpan w:val="4"/>
            <w:vMerge w:val="restart"/>
          </w:tcPr>
          <w:p>
            <w:pPr>
              <w:spacing w:after="0"/>
              <w:rPr>
                <w:sz w:val="20"/>
                <w:szCs w:val="20"/>
                <w:color w:val="auto"/>
              </w:rPr>
            </w:pPr>
            <w:r>
              <w:rPr>
                <w:rFonts w:ascii="Arial" w:cs="Arial" w:eastAsia="Arial" w:hAnsi="Arial"/>
                <w:sz w:val="20"/>
                <w:szCs w:val="20"/>
                <w:color w:val="auto"/>
                <w:w w:val="90"/>
              </w:rPr>
              <w:t>Aggregates products gross profit, quarter ended September 30, 2019</w:t>
            </w: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4"/>
            <w:vMerge w:val="continue"/>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42"/>
              <w:spacing w:after="0" w:line="222" w:lineRule="exact"/>
              <w:rPr>
                <w:sz w:val="20"/>
                <w:szCs w:val="20"/>
                <w:color w:val="auto"/>
              </w:rPr>
            </w:pPr>
            <w:r>
              <w:rPr>
                <w:rFonts w:ascii="Arial" w:cs="Arial" w:eastAsia="Arial" w:hAnsi="Arial"/>
                <w:sz w:val="20"/>
                <w:szCs w:val="20"/>
                <w:color w:val="auto"/>
                <w:w w:val="71"/>
              </w:rPr>
              <w:t>$</w:t>
            </w: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287,024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hanging="373"/>
        <w:spacing w:after="0"/>
        <w:tabs>
          <w:tab w:leader="none" w:pos="38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Inclusive of cost increases/decreases, product and geographic mix and other operating impacts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20"/>
                <w:szCs w:val="20"/>
                <w:color w:val="auto"/>
                <w:w w:val="87"/>
              </w:rPr>
              <w:t>Three Months Ended September 30,</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2019</w:t>
            </w:r>
          </w:p>
        </w:tc>
        <w:tc>
          <w:tcPr>
            <w:tcW w:w="1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2018</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line="218" w:lineRule="exact"/>
              <w:rPr>
                <w:sz w:val="20"/>
                <w:szCs w:val="20"/>
                <w:color w:val="auto"/>
              </w:rPr>
            </w:pPr>
            <w:r>
              <w:rPr>
                <w:rFonts w:ascii="Arial" w:cs="Arial" w:eastAsia="Arial" w:hAnsi="Arial"/>
                <w:sz w:val="20"/>
                <w:szCs w:val="20"/>
                <w:color w:val="auto"/>
                <w:w w:val="94"/>
              </w:rPr>
              <w:t>% of</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center"/>
              <w:ind w:right="82"/>
              <w:spacing w:after="0" w:line="218"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62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Revenues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Revenues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tcBorders>
              <w:top w:val="single" w:sz="8" w:color="CFF0FC"/>
            </w:tcBorders>
            <w:shd w:val="clear" w:color="auto" w:fill="CFF0FC"/>
          </w:tcPr>
          <w:p>
            <w:pPr>
              <w:spacing w:after="0"/>
              <w:rPr>
                <w:sz w:val="20"/>
                <w:szCs w:val="20"/>
                <w:color w:val="auto"/>
              </w:rPr>
            </w:pPr>
          </w:p>
        </w:tc>
        <w:tc>
          <w:tcPr>
            <w:tcW w:w="6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3420" w:type="dxa"/>
            <w:vAlign w:val="bottom"/>
            <w:tcBorders>
              <w:top w:val="single" w:sz="8" w:color="auto"/>
            </w:tcBorders>
            <w:gridSpan w:val="6"/>
            <w:shd w:val="clear" w:color="auto" w:fill="CFF0FC"/>
          </w:tcPr>
          <w:p>
            <w:pPr>
              <w:jc w:val="right"/>
              <w:ind w:right="1080"/>
              <w:spacing w:after="0"/>
              <w:rPr>
                <w:sz w:val="20"/>
                <w:szCs w:val="20"/>
                <w:color w:val="auto"/>
              </w:rPr>
            </w:pPr>
            <w:r>
              <w:rPr>
                <w:rFonts w:ascii="Arial" w:cs="Arial" w:eastAsia="Arial" w:hAnsi="Arial"/>
                <w:sz w:val="20"/>
                <w:szCs w:val="20"/>
                <w:i w:val="1"/>
                <w:iCs w:val="1"/>
                <w:color w:val="auto"/>
              </w:rPr>
              <w:t>(Dollars in Thousands)</w:t>
            </w: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88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16,023</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14,113</w:t>
            </w: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5,287</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4,440</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6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29,285</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26,600</w:t>
            </w:r>
          </w:p>
        </w:tc>
        <w:tc>
          <w:tcPr>
            <w:tcW w:w="42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50,595</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45,153</w:t>
            </w: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20"/>
                <w:szCs w:val="20"/>
                <w:color w:val="auto"/>
              </w:rPr>
              <w:t>Magnesia Specialties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2,856</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2,404</w:t>
            </w: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24,830</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20,884</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00" w:type="dxa"/>
            <w:vAlign w:val="bottom"/>
            <w:gridSpan w:val="2"/>
          </w:tcPr>
          <w:p>
            <w:pPr>
              <w:spacing w:after="0"/>
              <w:rPr>
                <w:sz w:val="20"/>
                <w:szCs w:val="20"/>
                <w:color w:val="auto"/>
              </w:rPr>
            </w:pPr>
            <w:r>
              <w:rPr>
                <w:rFonts w:ascii="Arial" w:cs="Arial" w:eastAsia="Arial" w:hAnsi="Arial"/>
                <w:sz w:val="20"/>
                <w:szCs w:val="20"/>
                <w:color w:val="auto"/>
              </w:rPr>
              <w:t>Total</w:t>
            </w:r>
          </w:p>
        </w:tc>
        <w:tc>
          <w:tcPr>
            <w:tcW w:w="640" w:type="dxa"/>
            <w:vAlign w:val="bottom"/>
          </w:tcPr>
          <w:p>
            <w:pPr>
              <w:spacing w:after="0"/>
              <w:rPr>
                <w:sz w:val="23"/>
                <w:szCs w:val="23"/>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78,281</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5.5</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68,441</w:t>
            </w: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88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159,711</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120,344</w:t>
            </w: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31,463</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26,372</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6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156,382</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92,090</w:t>
            </w:r>
          </w:p>
        </w:tc>
        <w:tc>
          <w:tcPr>
            <w:tcW w:w="42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347,556</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238,806</w:t>
            </w: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20"/>
                <w:szCs w:val="20"/>
                <w:color w:val="auto"/>
              </w:rPr>
              <w:t>Magnesia Specialties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20,097</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23,301</w:t>
            </w: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(22,390)</w:t>
            </w: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(21,445)</w:t>
            </w: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00" w:type="dxa"/>
            <w:vAlign w:val="bottom"/>
            <w:gridSpan w:val="2"/>
          </w:tcPr>
          <w:p>
            <w:pPr>
              <w:spacing w:after="0"/>
              <w:rPr>
                <w:sz w:val="20"/>
                <w:szCs w:val="20"/>
                <w:color w:val="auto"/>
              </w:rPr>
            </w:pPr>
            <w:r>
              <w:rPr>
                <w:rFonts w:ascii="Arial" w:cs="Arial" w:eastAsia="Arial" w:hAnsi="Arial"/>
                <w:sz w:val="20"/>
                <w:szCs w:val="20"/>
                <w:color w:val="auto"/>
              </w:rPr>
              <w:t>Total</w:t>
            </w:r>
          </w:p>
        </w:tc>
        <w:tc>
          <w:tcPr>
            <w:tcW w:w="6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345,263</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24.3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240,662</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240" w:lineRule="exact"/>
        <w:rPr>
          <w:sz w:val="20"/>
          <w:szCs w:val="20"/>
          <w:color w:val="auto"/>
        </w:rPr>
      </w:pPr>
    </w:p>
    <w:p>
      <w:pPr>
        <w:ind w:left="832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September 30, 2019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Volume</w:t>
            </w:r>
          </w:p>
        </w:tc>
        <w:tc>
          <w:tcPr>
            <w:tcW w:w="7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Pricing</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38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14.0%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0.8%</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2"/>
        </w:trPr>
        <w:tc>
          <w:tcPr>
            <w:tcW w:w="838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14.8%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42"/>
        </w:trPr>
        <w:tc>
          <w:tcPr>
            <w:tcW w:w="83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12.4%</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453"/>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5"/>
          </w:tcPr>
          <w:p>
            <w:pPr>
              <w:jc w:val="center"/>
              <w:ind w:right="442"/>
              <w:spacing w:after="0"/>
              <w:rPr>
                <w:sz w:val="20"/>
                <w:szCs w:val="20"/>
                <w:color w:val="auto"/>
              </w:rPr>
            </w:pPr>
            <w:r>
              <w:rPr>
                <w:rFonts w:ascii="Arial" w:cs="Arial" w:eastAsia="Arial" w:hAnsi="Arial"/>
                <w:sz w:val="20"/>
                <w:szCs w:val="20"/>
                <w:color w:val="auto"/>
                <w:w w:val="88"/>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422"/>
              <w:spacing w:after="0"/>
              <w:rPr>
                <w:sz w:val="20"/>
                <w:szCs w:val="20"/>
                <w:color w:val="auto"/>
              </w:rPr>
            </w:pPr>
            <w:r>
              <w:rPr>
                <w:rFonts w:ascii="Arial" w:cs="Arial" w:eastAsia="Arial" w:hAnsi="Arial"/>
                <w:sz w:val="20"/>
                <w:szCs w:val="20"/>
                <w:color w:val="auto"/>
                <w:w w:val="85"/>
              </w:rPr>
              <w:t>September 30,</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gridSpan w:val="2"/>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228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20"/>
                <w:szCs w:val="20"/>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280" w:type="dxa"/>
            <w:vAlign w:val="bottom"/>
            <w:gridSpan w:val="5"/>
          </w:tcPr>
          <w:p>
            <w:pPr>
              <w:jc w:val="center"/>
              <w:ind w:right="422"/>
              <w:spacing w:after="0"/>
              <w:rPr>
                <w:sz w:val="20"/>
                <w:szCs w:val="20"/>
                <w:color w:val="auto"/>
              </w:rPr>
            </w:pPr>
            <w:r>
              <w:rPr>
                <w:rFonts w:ascii="Arial" w:cs="Arial" w:eastAsia="Arial" w:hAnsi="Arial"/>
                <w:sz w:val="20"/>
                <w:szCs w:val="20"/>
                <w:i w:val="1"/>
                <w:iCs w:val="1"/>
                <w:color w:val="auto"/>
                <w:w w:val="87"/>
              </w:rPr>
              <w:t>(Tons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838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38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tcPr>
          <w:p>
            <w:pPr>
              <w:jc w:val="right"/>
              <w:spacing w:after="0"/>
              <w:rPr>
                <w:sz w:val="20"/>
                <w:szCs w:val="20"/>
                <w:color w:val="auto"/>
              </w:rPr>
            </w:pPr>
            <w:r>
              <w:rPr>
                <w:rFonts w:ascii="Arial" w:cs="Arial" w:eastAsia="Arial" w:hAnsi="Arial"/>
                <w:sz w:val="20"/>
                <w:szCs w:val="20"/>
                <w:color w:val="auto"/>
              </w:rPr>
              <w:t>29,851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26,194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7,209</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38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tcPr>
          <w:p>
            <w:pPr>
              <w:jc w:val="right"/>
              <w:spacing w:after="0"/>
              <w:rPr>
                <w:sz w:val="20"/>
                <w:szCs w:val="20"/>
                <w:color w:val="auto"/>
              </w:rPr>
            </w:pPr>
            <w:r>
              <w:rPr>
                <w:rFonts w:ascii="Arial" w:cs="Arial" w:eastAsia="Arial" w:hAnsi="Arial"/>
                <w:sz w:val="20"/>
                <w:szCs w:val="20"/>
                <w:color w:val="auto"/>
              </w:rPr>
              <w:t>19,609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17,086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16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56,669</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50,431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40" w:hanging="227"/>
        <w:spacing w:after="0"/>
        <w:tabs>
          <w:tab w:leader="none" w:pos="240" w:val="left"/>
        </w:tabs>
        <w:numPr>
          <w:ilvl w:val="0"/>
          <w:numId w:val="17"/>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2" w:lineRule="exact"/>
        <w:rPr>
          <w:rFonts w:ascii="Arial" w:cs="Arial" w:eastAsia="Arial" w:hAnsi="Arial"/>
          <w:sz w:val="15"/>
          <w:szCs w:val="15"/>
          <w:i w:val="1"/>
          <w:iCs w:val="1"/>
          <w:color w:val="auto"/>
        </w:rPr>
      </w:pPr>
    </w:p>
    <w:p>
      <w:pPr>
        <w:ind w:left="220" w:hanging="213"/>
        <w:spacing w:after="0"/>
        <w:tabs>
          <w:tab w:leader="none" w:pos="220" w:val="left"/>
        </w:tabs>
        <w:numPr>
          <w:ilvl w:val="0"/>
          <w:numId w:val="17"/>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7" w:lineRule="exact"/>
        <w:rPr>
          <w:sz w:val="20"/>
          <w:szCs w:val="20"/>
          <w:color w:val="auto"/>
        </w:rPr>
      </w:pPr>
    </w:p>
    <w:p>
      <w:pPr>
        <w:jc w:val="center"/>
        <w:ind w:left="772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jc w:val="center"/>
        <w:ind w:left="7720"/>
        <w:spacing w:after="0"/>
        <w:rPr>
          <w:sz w:val="20"/>
          <w:szCs w:val="20"/>
          <w:color w:val="auto"/>
        </w:rPr>
      </w:pPr>
      <w:r>
        <w:rPr>
          <w:rFonts w:ascii="Arial" w:cs="Arial" w:eastAsia="Arial" w:hAnsi="Arial"/>
          <w:sz w:val="20"/>
          <w:szCs w:val="20"/>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40" w:type="dxa"/>
            <w:vAlign w:val="bottom"/>
            <w:gridSpan w:val="2"/>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5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4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thousands):</w:t>
            </w: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w w:val="91"/>
              </w:rPr>
              <w:t>53,580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47,549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3,089</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820" w:type="dxa"/>
            <w:vAlign w:val="bottom"/>
            <w:tcBorders>
              <w:bottom w:val="single" w:sz="8" w:color="CFF0FC"/>
            </w:tcBorders>
          </w:tcPr>
          <w:p>
            <w:pPr>
              <w:ind w:left="120"/>
              <w:spacing w:after="0"/>
              <w:rPr>
                <w:sz w:val="20"/>
                <w:szCs w:val="20"/>
                <w:color w:val="auto"/>
              </w:rPr>
            </w:pPr>
            <w:r>
              <w:rPr>
                <w:rFonts w:ascii="Arial" w:cs="Arial" w:eastAsia="Arial" w:hAnsi="Arial"/>
                <w:sz w:val="20"/>
                <w:szCs w:val="20"/>
                <w:color w:val="auto"/>
              </w:rPr>
              <w:t>Total aggregates tons</w:t>
            </w:r>
          </w:p>
        </w:tc>
        <w:tc>
          <w:tcPr>
            <w:tcW w:w="102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56,669</w:t>
            </w:r>
          </w:p>
        </w:tc>
        <w:tc>
          <w:tcPr>
            <w:tcW w:w="300" w:type="dxa"/>
            <w:vAlign w:val="bottom"/>
            <w:tcBorders>
              <w:bottom w:val="single" w:sz="8" w:color="CFF0FC"/>
            </w:tcBorders>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50,431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Cement (in thousands):</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733</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tcPr>
          <w:p>
            <w:pPr>
              <w:jc w:val="right"/>
              <w:spacing w:after="0"/>
              <w:rPr>
                <w:sz w:val="20"/>
                <w:szCs w:val="20"/>
                <w:color w:val="auto"/>
              </w:rPr>
            </w:pPr>
            <w:r>
              <w:rPr>
                <w:rFonts w:ascii="Arial" w:cs="Arial" w:eastAsia="Arial" w:hAnsi="Arial"/>
                <w:sz w:val="20"/>
                <w:szCs w:val="20"/>
                <w:color w:val="auto"/>
              </w:rPr>
              <w:t>327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1,060</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2,433</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400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936</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840" w:type="dxa"/>
            <w:vAlign w:val="bottom"/>
            <w:gridSpan w:val="2"/>
          </w:tcPr>
          <w:p>
            <w:pPr>
              <w:spacing w:after="0"/>
              <w:rPr>
                <w:sz w:val="20"/>
                <w:szCs w:val="20"/>
                <w:color w:val="auto"/>
              </w:rPr>
            </w:pPr>
            <w:r>
              <w:rPr>
                <w:rFonts w:ascii="Arial" w:cs="Arial" w:eastAsia="Arial" w:hAnsi="Arial"/>
                <w:sz w:val="20"/>
                <w:szCs w:val="20"/>
                <w:color w:val="auto"/>
              </w:rPr>
              <w:t>Total asphalt tons</w:t>
            </w:r>
          </w:p>
        </w:tc>
        <w:tc>
          <w:tcPr>
            <w:tcW w:w="10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1,336</w:t>
            </w:r>
          </w:p>
        </w:tc>
        <w:tc>
          <w:tcPr>
            <w:tcW w:w="3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gridSpan w:val="4"/>
          </w:tcPr>
          <w:p>
            <w:pPr>
              <w:jc w:val="center"/>
              <w:ind w:right="420"/>
              <w:spacing w:after="0"/>
              <w:rPr>
                <w:sz w:val="20"/>
                <w:szCs w:val="20"/>
                <w:color w:val="auto"/>
              </w:rPr>
            </w:pPr>
            <w:r>
              <w:rPr>
                <w:rFonts w:ascii="Arial" w:cs="Arial" w:eastAsia="Arial" w:hAnsi="Arial"/>
                <w:sz w:val="20"/>
                <w:szCs w:val="20"/>
                <w:color w:val="auto"/>
                <w:w w:val="88"/>
              </w:rPr>
              <w:t>Three Months Ended</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5"/>
        </w:trPr>
        <w:tc>
          <w:tcPr>
            <w:tcW w:w="57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6"/>
              </w:rPr>
              <w:t>September 30,</w:t>
            </w:r>
          </w:p>
        </w:tc>
        <w:tc>
          <w:tcPr>
            <w:tcW w:w="1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5"/>
        </w:trPr>
        <w:tc>
          <w:tcPr>
            <w:tcW w:w="57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color w:val="auto"/>
              </w:rPr>
              <w:t>2018</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5"/>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13.65</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5.3%</w:t>
            </w:r>
          </w:p>
        </w:tc>
      </w:tr>
      <w:tr>
        <w:trPr>
          <w:trHeight w:val="242"/>
        </w:trPr>
        <w:tc>
          <w:tcPr>
            <w:tcW w:w="5700" w:type="dxa"/>
            <w:vAlign w:val="bottom"/>
          </w:tcPr>
          <w:p>
            <w:pPr>
              <w:spacing w:after="0"/>
              <w:rPr>
                <w:sz w:val="20"/>
                <w:szCs w:val="20"/>
                <w:color w:val="auto"/>
              </w:rPr>
            </w:pPr>
            <w:r>
              <w:rPr>
                <w:rFonts w:ascii="Arial" w:cs="Arial" w:eastAsia="Arial" w:hAnsi="Arial"/>
                <w:sz w:val="20"/>
                <w:szCs w:val="20"/>
                <w:color w:val="auto"/>
              </w:rPr>
              <w:t>Cement (per ton)</w:t>
            </w:r>
          </w:p>
        </w:tc>
        <w:tc>
          <w:tcPr>
            <w:tcW w:w="1120" w:type="dxa"/>
            <w:vAlign w:val="bottom"/>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112.36</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110.63</w:t>
            </w:r>
          </w:p>
        </w:tc>
        <w:tc>
          <w:tcPr>
            <w:tcW w:w="36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color w:val="auto"/>
              </w:rPr>
              <w:t>1.6%</w:t>
            </w:r>
          </w:p>
        </w:tc>
      </w:tr>
      <w:tr>
        <w:trPr>
          <w:trHeight w:val="242"/>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109.72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112.14</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w:t>
            </w:r>
          </w:p>
        </w:tc>
      </w:tr>
      <w:tr>
        <w:trPr>
          <w:trHeight w:val="249"/>
        </w:trPr>
        <w:tc>
          <w:tcPr>
            <w:tcW w:w="5700" w:type="dxa"/>
            <w:vAlign w:val="bottom"/>
          </w:tcPr>
          <w:p>
            <w:pPr>
              <w:spacing w:after="0"/>
              <w:rPr>
                <w:sz w:val="20"/>
                <w:szCs w:val="20"/>
                <w:color w:val="auto"/>
              </w:rPr>
            </w:pPr>
            <w:r>
              <w:rPr>
                <w:rFonts w:ascii="Arial" w:cs="Arial" w:eastAsia="Arial" w:hAnsi="Arial"/>
                <w:sz w:val="20"/>
                <w:szCs w:val="20"/>
                <w:color w:val="auto"/>
              </w:rPr>
              <w:t>Asphalt (per ton)</w:t>
            </w:r>
          </w:p>
        </w:tc>
        <w:tc>
          <w:tcPr>
            <w:tcW w:w="1120" w:type="dxa"/>
            <w:vAlign w:val="bottom"/>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46.67</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45.17</w:t>
            </w:r>
          </w:p>
        </w:tc>
        <w:tc>
          <w:tcPr>
            <w:tcW w:w="36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color w:val="auto"/>
              </w:rPr>
              <w:t>3.3%</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Product Line End-Use Markets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Aggregates shipments to the infrastructure market increased 7%. As expected, transportation-related projects accelerated during the quarter, supported by funding provided by the </w:t>
      </w:r>
      <w:r>
        <w:rPr>
          <w:rFonts w:ascii="Arial" w:cs="Arial" w:eastAsia="Arial" w:hAnsi="Arial"/>
          <w:sz w:val="19"/>
          <w:szCs w:val="19"/>
          <w:i w:val="1"/>
          <w:iCs w:val="1"/>
          <w:color w:val="auto"/>
        </w:rPr>
        <w:t>Fixing America’s Surface Transportation Act</w:t>
      </w:r>
      <w:r>
        <w:rPr>
          <w:rFonts w:ascii="Arial" w:cs="Arial" w:eastAsia="Arial" w:hAnsi="Arial"/>
          <w:sz w:val="19"/>
          <w:szCs w:val="19"/>
          <w:color w:val="auto"/>
        </w:rPr>
        <w:t xml:space="preserve"> (FAST Act) and numerous state and local transportation initiatives and continued reconstruction efforts following flooding in the Midwest. For the quarter, the infrastructure market represented 38% of aggregates shipments, which is below the Company’s most recent ten-year average of 46%.</w:t>
      </w:r>
    </w:p>
    <w:p>
      <w:pPr>
        <w:spacing w:after="0" w:line="66"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Aggregates shipments to the nonresidential market increased 19%, driven by gains in commercial and heavy industrial construction activity. The Company continued to benefit from distribution center, warehouse, data center and wind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energy projects in key geographies, including Texas, the Carolinas, Iowa and Maryland, as well as the early phases of several large energy-sector projects along the Gulf Coast. The nonresidential market represented 34% of third-quarter aggregates shipments.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Aggregates shipments to the residential market increased 16%, driven by continued homebuilding activity in states such as Texas, Colorado, the Carolinas, Georgia and Florida. The residential construction outlook across the Company’s geographic footprint remains positive for both single- and multi-family housing, driven by favorable demographics, job growth, land availability, low interest rates and efficient permitting. On a national level, housing starts remain below the 50-year annual average of 1.5 million despite notable population gains. The residential market accounted for 22% of third-quarter aggregates shipments.</w:t>
      </w:r>
    </w:p>
    <w:p>
      <w:pPr>
        <w:spacing w:after="0" w:line="70" w:lineRule="exact"/>
        <w:rPr>
          <w:sz w:val="20"/>
          <w:szCs w:val="20"/>
          <w:color w:val="auto"/>
        </w:rPr>
      </w:pPr>
    </w:p>
    <w:p>
      <w:pPr>
        <w:jc w:val="both"/>
        <w:ind w:right="20"/>
        <w:spacing w:after="0" w:line="346" w:lineRule="auto"/>
        <w:rPr>
          <w:sz w:val="20"/>
          <w:szCs w:val="20"/>
          <w:color w:val="auto"/>
        </w:rPr>
      </w:pPr>
      <w:r>
        <w:rPr>
          <w:rFonts w:ascii="Arial" w:cs="Arial" w:eastAsia="Arial" w:hAnsi="Arial"/>
          <w:sz w:val="17"/>
          <w:szCs w:val="17"/>
          <w:color w:val="auto"/>
        </w:rPr>
        <w:t>The ChemRock/Rail market accounted for the remaining 6% of third-quarter aggregates shipments. Volumes to this end use increased 4%, driven by improved ballast shipments as the western Class 1 railroads continued to address repairs from the Midwest flooding earlier in the year.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Aggregates product gross margin expanded 480 basis points to 35.1%, reflecting pricing gains, improved operating leverage from increased shipment and production levels and the absence of the $8.3 million negative impact of selling acquired inventory after its markup to fair value as part of acquisition accounting incurred in 2018 as part of the Company’s purchase of Bluegrass Materials.</w:t>
      </w:r>
    </w:p>
    <w:p>
      <w:pPr>
        <w:spacing w:after="0" w:line="6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Third-quarter cement shipments increased 20.6%, driven by strong underlying Texas demand and weather-deferred projects from second-quarter 2019. Unfavorable product mix constrained pricing growth to 1.6%. Production efficiencies from increased shipment and production levels, coupled with lower maintenance costs, contributed to the 750-basis-point expansion in cement product gross margin to 40.6%.</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Ready mixed concrete shipments increased 9.0% and benefitted from healthy demand environments in Texas and Colorado and weather-impacted carryover projects. Ready mixed concrete selling prices declined 2.2%, reflecting unfavorable product mix. Gross margin improvement in ready mixed concrete was due to increased shipments and production efficiencies. Asphalt volume increased 34.1% attributable to favorable weather enabling commencement of delayed residential construction. Asphalt prices increased 3.3%.</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Magnesia Specialties product revenues decreased 13.2% to $59.3 million, compared with $68.4 million, as international chemicals and domestic lime customers rationalized inventory levels. Product gross profit was $24.0 million compared with $26.8 million. Product gross margin improved 120 basis points to 40.4% due to lower costs for contract services and supplies and enhanced cost control measures. Earnings from operations were $20.1 million compared with $23.3 million.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Consolidated SG&amp;A was 5.5% of total revenues compared with 5.6% in the prior-year quarter. The dollar increase in expense is driven by higher incentive compensation expense, reflecting the Company’s improved operating results. Earnings from operations for the quarter were $345.3 million in 2019 compared with $240.7 million in 2018.</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other operating income and expenses, net, was income of $2.9 million in 2019 and expense of $3.8 million in 2018. The 2018 amount reflects $7.1 million of asset and portfolio rationalization charges which primarily consists of asset impairment charges and severance costs in the Company’s Southwest ready mixed concrete operations, reported in the West Group reportable segment.</w:t>
      </w:r>
    </w:p>
    <w:p>
      <w:pPr>
        <w:spacing w:after="0" w:line="6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Other nonoperating income and expenses, net, includes interest income; pension and postretirement benefit cost, excluding service cost; foreign currency transaction gains and losses; equity in earnings or losses of nonconsolidated affiliates and other miscellaneous income. For the third quarter, other nonoperating income, net, was income of $2.0 million and $4.2 million in 2019 and 2018,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Significant items for the nine months ended September 30, 2019 (unless noted, all comparisons are versus the prior-year period):</w:t>
      </w:r>
    </w:p>
    <w:p>
      <w:pPr>
        <w:spacing w:after="0" w:line="117" w:lineRule="exact"/>
        <w:rPr>
          <w:sz w:val="20"/>
          <w:szCs w:val="20"/>
          <w:color w:val="auto"/>
        </w:rPr>
      </w:pPr>
    </w:p>
    <w:p>
      <w:pPr>
        <w:ind w:left="760" w:hanging="377"/>
        <w:spacing w:after="0"/>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Consolidated total revenues of $3.64 billion compared with $3.22 billion, an increase of 13%</w:t>
      </w:r>
    </w:p>
    <w:p>
      <w:pPr>
        <w:spacing w:after="0" w:line="14" w:lineRule="exact"/>
        <w:rPr>
          <w:rFonts w:ascii="Arial" w:cs="Arial" w:eastAsia="Arial" w:hAnsi="Arial"/>
          <w:sz w:val="20"/>
          <w:szCs w:val="20"/>
          <w:color w:val="007DC6"/>
        </w:rPr>
      </w:pPr>
    </w:p>
    <w:p>
      <w:pPr>
        <w:ind w:left="760" w:hanging="377"/>
        <w:spacing w:after="0" w:line="238" w:lineRule="auto"/>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$3.20 billion compared with $2.82 billion and Magnesia Specialties products revenue of $198.9 million compared with $201.4 million</w:t>
      </w:r>
    </w:p>
    <w:p>
      <w:pPr>
        <w:ind w:left="760" w:hanging="377"/>
        <w:spacing w:after="0" w:line="238" w:lineRule="auto"/>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Consolidated gross profit of $920.4 million compared with $739.3 million, an increase of 25%</w:t>
      </w:r>
    </w:p>
    <w:p>
      <w:pPr>
        <w:ind w:left="760" w:hanging="377"/>
        <w:spacing w:after="0" w:line="238" w:lineRule="auto"/>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Consolidated earnings from operations of $700.4 million compared with $543.7 million, an increase of 29%</w:t>
      </w:r>
    </w:p>
    <w:p>
      <w:pPr>
        <w:ind w:left="760" w:hanging="377"/>
        <w:spacing w:after="0" w:line="238" w:lineRule="auto"/>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$480.9 million compared with $375.6 million</w:t>
      </w:r>
    </w:p>
    <w:p>
      <w:pPr>
        <w:ind w:left="760" w:hanging="377"/>
        <w:spacing w:after="0" w:line="238" w:lineRule="auto"/>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Consolidated Adjusted EBITDA of $975.8 million compared with $842.0 million</w:t>
      </w:r>
    </w:p>
    <w:p>
      <w:pPr>
        <w:ind w:left="760" w:hanging="377"/>
        <w:spacing w:after="0"/>
        <w:tabs>
          <w:tab w:leader="none" w:pos="760" w:val="left"/>
        </w:tabs>
        <w:numPr>
          <w:ilvl w:val="0"/>
          <w:numId w:val="18"/>
        </w:numPr>
        <w:rPr>
          <w:rFonts w:ascii="Arial" w:cs="Arial" w:eastAsia="Arial" w:hAnsi="Arial"/>
          <w:sz w:val="20"/>
          <w:szCs w:val="20"/>
          <w:color w:val="007DC6"/>
        </w:rPr>
      </w:pPr>
      <w:r>
        <w:rPr>
          <w:rFonts w:ascii="Arial" w:cs="Arial" w:eastAsia="Arial" w:hAnsi="Arial"/>
          <w:sz w:val="20"/>
          <w:szCs w:val="20"/>
          <w:color w:val="auto"/>
        </w:rPr>
        <w:t>Earnings per diluted share of $7.65 compared with $5.93</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The following tables present total revenues, gross profit (loss), SG&amp;A expenses and earnings (loss) from operations data for the Company and its reportable segments by product line for the nine months ended September 30, 2019 and 2018. In each case, the data is stated as a percentage of revenues of the Company or the relevant segment or product line, as the case may be. The aggregates products gross profit rollforward is presented following the gross profit table. In 2019, the Company reclassified its two cold mix asphalt plants to the aggregates product line as they display characteristics more similar to aggregates than asphalt products. These operations were not material to product revenues or gross profit. Prior-year information has been reclassified to conform to the presentation of the Company’s current reportable product lines.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20"/>
                <w:szCs w:val="20"/>
                <w:color w:val="auto"/>
                <w:w w:val="89"/>
              </w:rPr>
              <w:t>Nine Months Ended September 30,</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3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2019</w:t>
            </w:r>
          </w:p>
        </w:tc>
        <w:tc>
          <w:tcPr>
            <w:tcW w:w="1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88"/>
              </w:rPr>
              <w:t>% of Revenues</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9"/>
              </w:rPr>
              <w:t>% of Revenues</w:t>
            </w:r>
          </w:p>
        </w:tc>
        <w:tc>
          <w:tcPr>
            <w:tcW w:w="100" w:type="dxa"/>
            <w:vAlign w:val="bottom"/>
          </w:tcPr>
          <w:p>
            <w:pPr>
              <w:spacing w:after="0"/>
              <w:rPr>
                <w:sz w:val="20"/>
                <w:szCs w:val="20"/>
                <w:color w:val="auto"/>
              </w:rPr>
            </w:pPr>
          </w:p>
        </w:tc>
      </w:tr>
      <w:tr>
        <w:trPr>
          <w:trHeight w:val="235"/>
        </w:trPr>
        <w:tc>
          <w:tcPr>
            <w:tcW w:w="3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gridSpan w:val="6"/>
          </w:tcPr>
          <w:p>
            <w:pPr>
              <w:jc w:val="right"/>
              <w:ind w:right="1020"/>
              <w:spacing w:after="0"/>
              <w:rPr>
                <w:sz w:val="20"/>
                <w:szCs w:val="20"/>
                <w:color w:val="auto"/>
              </w:rPr>
            </w:pPr>
            <w:r>
              <w:rPr>
                <w:rFonts w:ascii="Arial" w:cs="Arial" w:eastAsia="Arial" w:hAnsi="Arial"/>
                <w:sz w:val="20"/>
                <w:szCs w:val="20"/>
                <w:i w:val="1"/>
                <w:iCs w:val="1"/>
                <w:color w:val="auto"/>
              </w:rPr>
              <w:t>(Dollars in Thousands)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8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1,024,069</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1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841,897</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376,967</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308,306</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720,407</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635,758</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Pr>
          <w:p>
            <w:pPr>
              <w:ind w:left="620"/>
              <w:spacing w:after="0"/>
              <w:rPr>
                <w:sz w:val="20"/>
                <w:szCs w:val="20"/>
                <w:color w:val="auto"/>
              </w:rPr>
            </w:pPr>
            <w:r>
              <w:rPr>
                <w:rFonts w:ascii="Arial" w:cs="Arial" w:eastAsia="Arial" w:hAnsi="Arial"/>
                <w:sz w:val="20"/>
                <w:szCs w:val="20"/>
                <w:color w:val="auto"/>
              </w:rPr>
              <w:t>Cement</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330,976</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300,554</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724,179</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750,424</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225,669</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191,652</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(203,554)</w:t>
            </w: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(205,681)</w:t>
            </w: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382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9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1,797,677</w:t>
            </w: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1,672,707</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5"/>
        </w:trPr>
        <w:tc>
          <w:tcPr>
            <w:tcW w:w="38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3,198,713</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2,822,910</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42"/>
        </w:trPr>
        <w:tc>
          <w:tcPr>
            <w:tcW w:w="38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9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224,765</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185,390</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382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3,423,478</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3,008,300</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42"/>
        </w:trPr>
        <w:tc>
          <w:tcPr>
            <w:tcW w:w="3820" w:type="dxa"/>
            <w:vAlign w:val="bottom"/>
          </w:tcPr>
          <w:p>
            <w:pPr>
              <w:spacing w:after="0"/>
              <w:rPr>
                <w:sz w:val="20"/>
                <w:szCs w:val="20"/>
                <w:color w:val="auto"/>
              </w:rPr>
            </w:pPr>
            <w:r>
              <w:rPr>
                <w:rFonts w:ascii="Arial" w:cs="Arial" w:eastAsia="Arial" w:hAnsi="Arial"/>
                <w:sz w:val="20"/>
                <w:szCs w:val="20"/>
                <w:color w:val="auto"/>
              </w:rPr>
              <w:t>Magnesia Specialties: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8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198,886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201,390</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38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9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16,304</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14,357</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3820" w:type="dxa"/>
            <w:vAlign w:val="bottom"/>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9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215,190</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215,747</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20"/>
                <w:szCs w:val="20"/>
                <w:color w:val="auto"/>
              </w:rPr>
              <w:t>Total</w:t>
            </w:r>
          </w:p>
        </w:tc>
        <w:tc>
          <w:tcPr>
            <w:tcW w:w="96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3,638,668</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3,224,047</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20"/>
                <w:szCs w:val="20"/>
                <w:color w:val="auto"/>
                <w:w w:val="89"/>
              </w:rPr>
              <w:t>Nine Months Ended September 30,</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2019</w:t>
            </w:r>
          </w:p>
        </w:tc>
        <w:tc>
          <w:tcPr>
            <w:tcW w:w="1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88"/>
              </w:rPr>
              <w:t>% of Revenues</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9"/>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80" w:type="dxa"/>
            <w:vAlign w:val="bottom"/>
            <w:gridSpan w:val="6"/>
          </w:tcPr>
          <w:p>
            <w:pPr>
              <w:jc w:val="right"/>
              <w:ind w:right="1020"/>
              <w:spacing w:after="0"/>
              <w:rPr>
                <w:sz w:val="20"/>
                <w:szCs w:val="20"/>
                <w:color w:val="auto"/>
              </w:rPr>
            </w:pPr>
            <w:r>
              <w:rPr>
                <w:rFonts w:ascii="Arial" w:cs="Arial" w:eastAsia="Arial" w:hAnsi="Arial"/>
                <w:sz w:val="20"/>
                <w:szCs w:val="20"/>
                <w:i w:val="1"/>
                <w:iCs w:val="1"/>
                <w:color w:val="auto"/>
              </w:rPr>
              <w:t>(Dollars in Thousands)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380"/>
              <w:spacing w:after="0"/>
              <w:rPr>
                <w:sz w:val="20"/>
                <w:szCs w:val="20"/>
                <w:color w:val="auto"/>
              </w:rPr>
            </w:pPr>
            <w:r>
              <w:rPr>
                <w:rFonts w:ascii="Arial" w:cs="Arial" w:eastAsia="Arial" w:hAnsi="Arial"/>
                <w:sz w:val="20"/>
                <w:szCs w:val="20"/>
                <w:color w:val="auto"/>
              </w:rPr>
              <w:t>Mid-America Group</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8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374,849</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36.6</w:t>
            </w:r>
          </w:p>
        </w:tc>
        <w:tc>
          <w:tcPr>
            <w:tcW w:w="520" w:type="dxa"/>
            <w:vAlign w:val="bottom"/>
            <w:gridSpan w:val="2"/>
          </w:tcPr>
          <w:p>
            <w:pPr>
              <w:jc w:val="right"/>
              <w:ind w:right="83"/>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270,270</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380"/>
              <w:spacing w:after="0"/>
              <w:rPr>
                <w:sz w:val="20"/>
                <w:szCs w:val="20"/>
                <w:color w:val="auto"/>
              </w:rPr>
            </w:pPr>
            <w:r>
              <w:rPr>
                <w:rFonts w:ascii="Arial" w:cs="Arial" w:eastAsia="Arial" w:hAnsi="Arial"/>
                <w:sz w:val="20"/>
                <w:szCs w:val="20"/>
                <w:color w:val="auto"/>
              </w:rPr>
              <w:t>Southeast Group</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101,684</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27.0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57,543</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159,972</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22.2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134,099</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104,526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97,582</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62,454</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66,226</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5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38,519</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35,191</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2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5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365,471</w:t>
            </w: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20.3</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333,098</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19.9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842,004</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660,911</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432</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2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842,382</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24.6</w:t>
            </w:r>
          </w:p>
        </w:tc>
        <w:tc>
          <w:tcPr>
            <w:tcW w:w="2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661,343</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20"/>
                <w:szCs w:val="20"/>
                <w:color w:val="auto"/>
              </w:rPr>
              <w:t>Magnesia Specialties: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79,816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76,756</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20"/>
                <w:szCs w:val="20"/>
                <w:color w:val="auto"/>
              </w:rPr>
              <w:t>(3,226)</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20"/>
                <w:szCs w:val="20"/>
                <w:color w:val="auto"/>
              </w:rPr>
              <w:t>(3,280)</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5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76,590</w:t>
            </w:r>
          </w:p>
        </w:tc>
        <w:tc>
          <w:tcPr>
            <w:tcW w:w="3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35.6</w:t>
            </w: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73,476</w:t>
            </w:r>
          </w:p>
        </w:tc>
        <w:tc>
          <w:tcPr>
            <w:tcW w:w="34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34.1</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5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1,446</w:t>
            </w: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4,474</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5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920,418</w:t>
            </w:r>
          </w:p>
        </w:tc>
        <w:tc>
          <w:tcPr>
            <w:tcW w:w="3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739,293</w:t>
            </w: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2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940" w:type="dxa"/>
            <w:vAlign w:val="bottom"/>
            <w:gridSpan w:val="6"/>
          </w:tcPr>
          <w:p>
            <w:pPr>
              <w:spacing w:after="0"/>
              <w:rPr>
                <w:sz w:val="20"/>
                <w:szCs w:val="20"/>
                <w:color w:val="auto"/>
              </w:rPr>
            </w:pPr>
            <w:r>
              <w:rPr>
                <w:rFonts w:ascii="Arial" w:cs="Arial" w:eastAsia="Arial" w:hAnsi="Arial"/>
                <w:sz w:val="20"/>
                <w:szCs w:val="20"/>
                <w:color w:val="auto"/>
                <w:w w:val="95"/>
              </w:rPr>
              <w:t>The following presents a rollforward of aggregates products gross profit (dollars in thousands):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0" w:type="dxa"/>
            <w:vAlign w:val="bottom"/>
            <w:gridSpan w:val="5"/>
          </w:tcPr>
          <w:p>
            <w:pPr>
              <w:spacing w:after="0"/>
              <w:rPr>
                <w:sz w:val="20"/>
                <w:szCs w:val="20"/>
                <w:color w:val="auto"/>
              </w:rPr>
            </w:pPr>
            <w:r>
              <w:rPr>
                <w:rFonts w:ascii="Arial" w:cs="Arial" w:eastAsia="Arial" w:hAnsi="Arial"/>
                <w:sz w:val="20"/>
                <w:szCs w:val="20"/>
                <w:color w:val="auto"/>
              </w:rPr>
              <w:t>Aggregates products gross profit, nine months ended September 30, 2018</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82"/>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461,912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5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2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121,578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260"/>
              <w:spacing w:after="0"/>
              <w:rPr>
                <w:sz w:val="20"/>
                <w:szCs w:val="20"/>
                <w:color w:val="auto"/>
              </w:rPr>
            </w:pPr>
            <w:r>
              <w:rPr>
                <w:rFonts w:ascii="Arial" w:cs="Arial" w:eastAsia="Arial" w:hAnsi="Arial"/>
                <w:sz w:val="20"/>
                <w:szCs w:val="20"/>
                <w:color w:val="auto"/>
              </w:rPr>
              <w:t>Pricing</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79,069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(26,054)</w:t>
            </w:r>
          </w:p>
        </w:tc>
        <w:tc>
          <w:tcPr>
            <w:tcW w:w="0" w:type="dxa"/>
            <w:vAlign w:val="bottom"/>
          </w:tcPr>
          <w:p>
            <w:pPr>
              <w:spacing w:after="0"/>
              <w:rPr>
                <w:sz w:val="1"/>
                <w:szCs w:val="1"/>
                <w:color w:val="auto"/>
              </w:rPr>
            </w:pPr>
          </w:p>
        </w:tc>
      </w:tr>
      <w:tr>
        <w:trPr>
          <w:trHeight w:val="235"/>
        </w:trPr>
        <w:tc>
          <w:tcPr>
            <w:tcW w:w="42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aggregates products gross profit</w:t>
            </w:r>
          </w:p>
        </w:tc>
        <w:tc>
          <w:tcPr>
            <w:tcW w:w="5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174,593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60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Aggregates products gross profit, nine months ended September 30, 2019</w:t>
            </w:r>
          </w:p>
        </w:tc>
        <w:tc>
          <w:tcPr>
            <w:tcW w:w="1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20"/>
                <w:szCs w:val="20"/>
                <w:color w:val="auto"/>
                <w:w w:val="71"/>
              </w:rPr>
              <w:t>$</w:t>
            </w:r>
          </w:p>
        </w:tc>
        <w:tc>
          <w:tcPr>
            <w:tcW w:w="3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636,505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80" w:hanging="373"/>
        <w:spacing w:after="0"/>
        <w:tabs>
          <w:tab w:leader="none" w:pos="380" w:val="left"/>
        </w:tabs>
        <w:numPr>
          <w:ilvl w:val="0"/>
          <w:numId w:val="19"/>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221" w:lineRule="exact"/>
        <w:rPr>
          <w:rFonts w:ascii="Arial" w:cs="Arial" w:eastAsia="Arial" w:hAnsi="Arial"/>
          <w:sz w:val="15"/>
          <w:szCs w:val="15"/>
          <w:i w:val="1"/>
          <w:iCs w:val="1"/>
          <w:color w:val="auto"/>
        </w:rPr>
      </w:pPr>
    </w:p>
    <w:p>
      <w:pPr>
        <w:ind w:left="5180"/>
        <w:spacing w:after="0"/>
        <w:rPr>
          <w:rFonts w:ascii="Arial" w:cs="Arial" w:eastAsia="Arial" w:hAnsi="Arial"/>
          <w:sz w:val="15"/>
          <w:szCs w:val="15"/>
          <w:i w:val="1"/>
          <w:iCs w:val="1"/>
          <w:color w:val="auto"/>
        </w:rPr>
      </w:pPr>
      <w:r>
        <w:rPr>
          <w:rFonts w:ascii="Arial" w:cs="Arial" w:eastAsia="Arial" w:hAnsi="Arial"/>
          <w:sz w:val="20"/>
          <w:szCs w:val="20"/>
          <w:color w:val="auto"/>
        </w:rPr>
        <w:t>Page 40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20"/>
                <w:szCs w:val="20"/>
                <w:color w:val="auto"/>
                <w:w w:val="89"/>
              </w:rPr>
              <w:t>Nine Months Ended September 30,</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2018</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202"/>
              <w:spacing w:after="0" w:line="218"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102"/>
              <w:spacing w:after="0" w:line="218" w:lineRule="exact"/>
              <w:rPr>
                <w:sz w:val="20"/>
                <w:szCs w:val="20"/>
                <w:color w:val="auto"/>
              </w:rPr>
            </w:pPr>
            <w:r>
              <w:rPr>
                <w:rFonts w:ascii="Arial" w:cs="Arial" w:eastAsia="Arial" w:hAnsi="Arial"/>
                <w:sz w:val="20"/>
                <w:szCs w:val="20"/>
                <w:color w:val="auto"/>
                <w:w w:val="91"/>
              </w:rPr>
              <w:t>% of 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320" w:type="dxa"/>
            <w:vAlign w:val="bottom"/>
          </w:tcPr>
          <w:p>
            <w:pPr>
              <w:jc w:val="right"/>
              <w:ind w:right="242"/>
              <w:spacing w:after="0"/>
              <w:rPr>
                <w:sz w:val="20"/>
                <w:szCs w:val="20"/>
                <w:color w:val="auto"/>
              </w:rPr>
            </w:pPr>
            <w:r>
              <w:rPr>
                <w:rFonts w:ascii="Arial" w:cs="Arial" w:eastAsia="Arial" w:hAnsi="Arial"/>
                <w:sz w:val="20"/>
                <w:szCs w:val="20"/>
                <w:color w:val="auto"/>
              </w:rPr>
              <w:t>Revenues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20"/>
                <w:szCs w:val="20"/>
                <w:color w:val="auto"/>
                <w:w w:val="84"/>
              </w:rPr>
              <w:t>Revenues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gridSpan w:val="5"/>
          </w:tcPr>
          <w:p>
            <w:pPr>
              <w:jc w:val="right"/>
              <w:ind w:right="1100"/>
              <w:spacing w:after="0"/>
              <w:rPr>
                <w:sz w:val="20"/>
                <w:szCs w:val="20"/>
                <w:color w:val="auto"/>
              </w:rPr>
            </w:pPr>
            <w:r>
              <w:rPr>
                <w:rFonts w:ascii="Arial" w:cs="Arial" w:eastAsia="Arial" w:hAnsi="Arial"/>
                <w:sz w:val="20"/>
                <w:szCs w:val="20"/>
                <w:i w:val="1"/>
                <w:iCs w:val="1"/>
                <w:color w:val="auto"/>
              </w:rPr>
              <w:t>(Dollars in Thousands)</w:t>
            </w: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47,158</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41,260</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16,040</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13,689</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86,280</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79,892</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149,478</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134,841</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8,518</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7,512</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70,959</w:t>
            </w:r>
          </w:p>
        </w:tc>
        <w:tc>
          <w:tcPr>
            <w:tcW w:w="38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67,279</w:t>
            </w:r>
          </w:p>
        </w:tc>
        <w:tc>
          <w:tcPr>
            <w:tcW w:w="4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228,955</w:t>
            </w:r>
          </w:p>
        </w:tc>
        <w:tc>
          <w:tcPr>
            <w:tcW w:w="3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209,632</w:t>
            </w:r>
          </w:p>
        </w:tc>
        <w:tc>
          <w:tcPr>
            <w:tcW w:w="4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332,344</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235,221</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85,285</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60,464</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286,540</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249,885</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704,169</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545,570</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67,959</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65,867</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Corporate</w:t>
            </w:r>
          </w:p>
        </w:tc>
        <w:tc>
          <w:tcPr>
            <w:tcW w:w="26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20"/>
                <w:szCs w:val="20"/>
                <w:color w:val="auto"/>
              </w:rPr>
              <w:t>(71,763)</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20"/>
                <w:szCs w:val="20"/>
                <w:color w:val="auto"/>
              </w:rPr>
              <w:t>(67,741)</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6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700,365</w:t>
            </w:r>
          </w:p>
        </w:tc>
        <w:tc>
          <w:tcPr>
            <w:tcW w:w="38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543,696</w:t>
            </w:r>
          </w:p>
        </w:tc>
        <w:tc>
          <w:tcPr>
            <w:tcW w:w="440" w:type="dxa"/>
            <w:vAlign w:val="bottom"/>
            <w:tcBorders>
              <w:top w:val="single" w:sz="8" w:color="CFF0FC"/>
              <w:bottom w:val="single" w:sz="8" w:color="CFF0FC"/>
            </w:tcBorders>
            <w:shd w:val="clear" w:color="auto" w:fill="CFF0FC"/>
          </w:tcPr>
          <w:p>
            <w:pPr>
              <w:spacing w:after="0"/>
              <w:rPr>
                <w:sz w:val="20"/>
                <w:szCs w:val="20"/>
                <w:color w:val="auto"/>
              </w:rPr>
            </w:pPr>
          </w:p>
        </w:tc>
        <w:tc>
          <w:tcPr>
            <w:tcW w:w="1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106"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Nine Months Ended</w:t>
      </w:r>
    </w:p>
    <w:p>
      <w:pPr>
        <w:spacing w:after="0" w:line="19"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September 30, 2019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Borders>
              <w:bottom w:val="single" w:sz="8" w:color="CFF0FC"/>
            </w:tcBorders>
          </w:tcPr>
          <w:p>
            <w:pPr>
              <w:spacing w:after="0"/>
              <w:rPr>
                <w:sz w:val="20"/>
                <w:szCs w:val="20"/>
                <w:color w:val="auto"/>
              </w:rPr>
            </w:pPr>
          </w:p>
        </w:tc>
        <w:tc>
          <w:tcPr>
            <w:tcW w:w="13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20"/>
                <w:szCs w:val="20"/>
                <w:color w:val="auto"/>
              </w:rPr>
              <w:t>Volume</w:t>
            </w: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FF0FC"/>
            </w:tcBorders>
          </w:tcPr>
          <w:p>
            <w:pPr>
              <w:spacing w:after="0"/>
              <w:rPr>
                <w:sz w:val="20"/>
                <w:szCs w:val="20"/>
                <w:color w:val="auto"/>
              </w:rPr>
            </w:pPr>
          </w:p>
        </w:tc>
        <w:tc>
          <w:tcPr>
            <w:tcW w:w="206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20"/>
                <w:szCs w:val="20"/>
                <w:color w:val="auto"/>
              </w:rPr>
              <w:t>Pricing</w:t>
            </w:r>
          </w:p>
        </w:tc>
      </w:tr>
      <w:tr>
        <w:trPr>
          <w:trHeight w:val="235"/>
        </w:trPr>
        <w:tc>
          <w:tcPr>
            <w:tcW w:w="7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3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r>
      <w:tr>
        <w:trPr>
          <w:trHeight w:val="242"/>
        </w:trPr>
        <w:tc>
          <w:tcPr>
            <w:tcW w:w="846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700" w:type="dxa"/>
            <w:vAlign w:val="bottom"/>
          </w:tcPr>
          <w:p>
            <w:pPr>
              <w:jc w:val="right"/>
              <w:spacing w:after="0"/>
              <w:rPr>
                <w:sz w:val="20"/>
                <w:szCs w:val="20"/>
                <w:color w:val="auto"/>
              </w:rPr>
            </w:pPr>
            <w:r>
              <w:rPr>
                <w:rFonts w:ascii="Arial" w:cs="Arial" w:eastAsia="Arial" w:hAnsi="Arial"/>
                <w:sz w:val="20"/>
                <w:szCs w:val="20"/>
                <w:color w:val="auto"/>
              </w:rPr>
              <w:t>19.2%</w:t>
            </w: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2"/>
        </w:trPr>
        <w:tc>
          <w:tcPr>
            <w:tcW w:w="84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w:t>
            </w: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w:t>
            </w:r>
          </w:p>
        </w:tc>
      </w:tr>
      <w:tr>
        <w:trPr>
          <w:trHeight w:val="242"/>
        </w:trPr>
        <w:tc>
          <w:tcPr>
            <w:tcW w:w="846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700" w:type="dxa"/>
            <w:vAlign w:val="bottom"/>
          </w:tcPr>
          <w:p>
            <w:pPr>
              <w:jc w:val="right"/>
              <w:spacing w:after="0"/>
              <w:rPr>
                <w:sz w:val="20"/>
                <w:szCs w:val="20"/>
                <w:color w:val="auto"/>
              </w:rPr>
            </w:pPr>
            <w:r>
              <w:rPr>
                <w:rFonts w:ascii="Arial" w:cs="Arial" w:eastAsia="Arial" w:hAnsi="Arial"/>
                <w:sz w:val="20"/>
                <w:szCs w:val="20"/>
                <w:color w:val="auto"/>
              </w:rPr>
              <w:t>7.4%</w:t>
            </w: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2"/>
        </w:trPr>
        <w:tc>
          <w:tcPr>
            <w:tcW w:w="84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Total Aggregates Operations </w:t>
            </w:r>
            <w:r>
              <w:rPr>
                <w:rFonts w:ascii="Arial" w:cs="Arial" w:eastAsia="Arial" w:hAnsi="Arial"/>
                <w:sz w:val="16"/>
                <w:szCs w:val="16"/>
                <w:color w:val="auto"/>
              </w:rPr>
              <w:t>(2)</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w:t>
            </w: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358" w:lineRule="exact"/>
        <w:rPr>
          <w:sz w:val="20"/>
          <w:szCs w:val="20"/>
          <w:color w:val="auto"/>
        </w:rPr>
      </w:pPr>
    </w:p>
    <w:p>
      <w:pPr>
        <w:jc w:val="center"/>
        <w:ind w:left="7100"/>
        <w:spacing w:after="0"/>
        <w:rPr>
          <w:sz w:val="20"/>
          <w:szCs w:val="20"/>
          <w:color w:val="auto"/>
        </w:rPr>
      </w:pPr>
      <w:r>
        <w:rPr>
          <w:rFonts w:ascii="Arial" w:cs="Arial" w:eastAsia="Arial" w:hAnsi="Arial"/>
          <w:sz w:val="20"/>
          <w:szCs w:val="20"/>
          <w:color w:val="auto"/>
        </w:rPr>
        <w:t>Nine Months Ended</w:t>
      </w:r>
    </w:p>
    <w:p>
      <w:pPr>
        <w:spacing w:after="0" w:line="19" w:lineRule="exact"/>
        <w:rPr>
          <w:sz w:val="20"/>
          <w:szCs w:val="20"/>
          <w:color w:val="auto"/>
        </w:rPr>
      </w:pPr>
    </w:p>
    <w:p>
      <w:pPr>
        <w:jc w:val="center"/>
        <w:ind w:left="7100"/>
        <w:spacing w:after="0"/>
        <w:rPr>
          <w:sz w:val="20"/>
          <w:szCs w:val="20"/>
          <w:color w:val="auto"/>
        </w:rPr>
      </w:pPr>
      <w:r>
        <w:rPr>
          <w:rFonts w:ascii="Arial" w:cs="Arial" w:eastAsia="Arial" w:hAnsi="Arial"/>
          <w:sz w:val="20"/>
          <w:szCs w:val="20"/>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7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20"/>
                <w:szCs w:val="20"/>
                <w:color w:val="auto"/>
                <w:w w:val="94"/>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Shipments</w:t>
            </w:r>
          </w:p>
        </w:tc>
        <w:tc>
          <w:tcPr>
            <w:tcW w:w="1720" w:type="dxa"/>
            <w:vAlign w:val="bottom"/>
            <w:gridSpan w:val="3"/>
          </w:tcPr>
          <w:p>
            <w:pPr>
              <w:ind w:left="60"/>
              <w:spacing w:after="0"/>
              <w:rPr>
                <w:sz w:val="20"/>
                <w:szCs w:val="20"/>
                <w:color w:val="auto"/>
              </w:rPr>
            </w:pPr>
            <w:r>
              <w:rPr>
                <w:rFonts w:ascii="Arial" w:cs="Arial" w:eastAsia="Arial" w:hAnsi="Arial"/>
                <w:sz w:val="20"/>
                <w:szCs w:val="20"/>
                <w:i w:val="1"/>
                <w:iCs w:val="1"/>
                <w:color w:val="auto"/>
                <w:w w:val="89"/>
              </w:rPr>
              <w:t>(Tons in Thousands)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00" w:type="dxa"/>
            <w:vAlign w:val="bottom"/>
            <w:gridSpan w:val="2"/>
            <w:vMerge w:val="continue"/>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73,342</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61,510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0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700" w:type="dxa"/>
            <w:vAlign w:val="bottom"/>
          </w:tcPr>
          <w:p>
            <w:pPr>
              <w:jc w:val="right"/>
              <w:spacing w:after="0"/>
              <w:rPr>
                <w:sz w:val="20"/>
                <w:szCs w:val="20"/>
                <w:color w:val="auto"/>
              </w:rPr>
            </w:pPr>
            <w:r>
              <w:rPr>
                <w:rFonts w:ascii="Arial" w:cs="Arial" w:eastAsia="Arial" w:hAnsi="Arial"/>
                <w:sz w:val="20"/>
                <w:szCs w:val="20"/>
                <w:color w:val="auto"/>
              </w:rPr>
              <w:t>20,819</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17,967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53,042</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49,389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tcPr>
          <w:p>
            <w:pPr>
              <w:spacing w:after="0"/>
              <w:rPr>
                <w:sz w:val="20"/>
                <w:szCs w:val="20"/>
                <w:color w:val="auto"/>
              </w:rPr>
            </w:pPr>
            <w:r>
              <w:rPr>
                <w:rFonts w:ascii="Arial" w:cs="Arial" w:eastAsia="Arial" w:hAnsi="Arial"/>
                <w:sz w:val="20"/>
                <w:szCs w:val="20"/>
                <w:color w:val="auto"/>
              </w:rPr>
              <w:t xml:space="preserve">Total Aggregates Operations </w:t>
            </w:r>
            <w:r>
              <w:rPr>
                <w:rFonts w:ascii="Arial" w:cs="Arial" w:eastAsia="Arial" w:hAnsi="Arial"/>
                <w:sz w:val="16"/>
                <w:szCs w:val="16"/>
                <w:color w:val="auto"/>
              </w:rPr>
              <w:t>(2)</w:t>
            </w:r>
          </w:p>
        </w:tc>
        <w:tc>
          <w:tcPr>
            <w:tcW w:w="1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147,203</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128,866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40" w:hanging="227"/>
        <w:spacing w:after="0"/>
        <w:tabs>
          <w:tab w:leader="none" w:pos="240" w:val="left"/>
        </w:tabs>
        <w:numPr>
          <w:ilvl w:val="0"/>
          <w:numId w:val="20"/>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2" w:lineRule="exact"/>
        <w:rPr>
          <w:rFonts w:ascii="Arial" w:cs="Arial" w:eastAsia="Arial" w:hAnsi="Arial"/>
          <w:sz w:val="15"/>
          <w:szCs w:val="15"/>
          <w:i w:val="1"/>
          <w:iCs w:val="1"/>
          <w:color w:val="auto"/>
        </w:rPr>
      </w:pPr>
    </w:p>
    <w:p>
      <w:pPr>
        <w:ind w:left="220" w:hanging="213"/>
        <w:spacing w:after="0"/>
        <w:tabs>
          <w:tab w:leader="none" w:pos="220" w:val="left"/>
        </w:tabs>
        <w:numPr>
          <w:ilvl w:val="0"/>
          <w:numId w:val="20"/>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3560" w:type="dxa"/>
            <w:vAlign w:val="bottom"/>
            <w:gridSpan w:val="5"/>
          </w:tcPr>
          <w:p>
            <w:pPr>
              <w:jc w:val="center"/>
              <w:ind w:right="140"/>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2360" w:type="dxa"/>
            <w:vAlign w:val="bottom"/>
            <w:tcBorders>
              <w:bottom w:val="single" w:sz="8" w:color="auto"/>
            </w:tcBorders>
            <w:gridSpan w:val="3"/>
          </w:tcPr>
          <w:p>
            <w:pPr>
              <w:jc w:val="center"/>
              <w:ind w:left="962"/>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bottom w:val="single" w:sz="8" w:color="CFF0FC"/>
            </w:tcBorders>
          </w:tcPr>
          <w:p>
            <w:pPr>
              <w:spacing w:after="0"/>
              <w:rPr>
                <w:sz w:val="20"/>
                <w:szCs w:val="20"/>
                <w:color w:val="auto"/>
              </w:rPr>
            </w:pPr>
          </w:p>
        </w:tc>
        <w:tc>
          <w:tcPr>
            <w:tcW w:w="158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color w:val="auto"/>
              </w:rPr>
              <w:t>Aggregates (in thousands):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139,423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120,713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7,780</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tons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147,203</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128,866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tcPr>
          <w:p>
            <w:pPr>
              <w:ind w:left="120"/>
              <w:spacing w:after="0"/>
              <w:rPr>
                <w:sz w:val="20"/>
                <w:szCs w:val="20"/>
                <w:color w:val="auto"/>
              </w:rPr>
            </w:pPr>
            <w:r>
              <w:rPr>
                <w:rFonts w:ascii="Arial" w:cs="Arial" w:eastAsia="Arial" w:hAnsi="Arial"/>
                <w:sz w:val="20"/>
                <w:szCs w:val="20"/>
                <w:color w:val="auto"/>
              </w:rPr>
              <w:t>Tons to external customers</w:t>
            </w:r>
          </w:p>
        </w:tc>
        <w:tc>
          <w:tcPr>
            <w:tcW w:w="1580" w:type="dxa"/>
            <w:vAlign w:val="bottom"/>
          </w:tcPr>
          <w:p>
            <w:pPr>
              <w:jc w:val="right"/>
              <w:spacing w:after="0"/>
              <w:rPr>
                <w:sz w:val="20"/>
                <w:szCs w:val="20"/>
                <w:color w:val="auto"/>
              </w:rPr>
            </w:pPr>
            <w:r>
              <w:rPr>
                <w:rFonts w:ascii="Arial" w:cs="Arial" w:eastAsia="Arial" w:hAnsi="Arial"/>
                <w:sz w:val="20"/>
                <w:szCs w:val="20"/>
                <w:color w:val="auto"/>
              </w:rPr>
              <w:t>2,011</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912</w:t>
            </w:r>
          </w:p>
        </w:tc>
        <w:tc>
          <w:tcPr>
            <w:tcW w:w="28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86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2,923</w:t>
            </w:r>
          </w:p>
        </w:tc>
        <w:tc>
          <w:tcPr>
            <w:tcW w:w="2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Ready Mixed Concrete (in thousands of cubic yards)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6,530</w:t>
            </w:r>
          </w:p>
        </w:tc>
        <w:tc>
          <w:tcPr>
            <w:tcW w:w="28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color w:val="auto"/>
              </w:rPr>
              <w:t>Asphalt (in thousands):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paving business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1,582</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2,248</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2,021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20" w:type="dxa"/>
            <w:vAlign w:val="bottom"/>
            <w:gridSpan w:val="4"/>
          </w:tcPr>
          <w:p>
            <w:pPr>
              <w:jc w:val="center"/>
              <w:ind w:right="480"/>
              <w:spacing w:after="0"/>
              <w:rPr>
                <w:sz w:val="20"/>
                <w:szCs w:val="20"/>
                <w:color w:val="auto"/>
              </w:rPr>
            </w:pPr>
            <w:r>
              <w:rPr>
                <w:rFonts w:ascii="Arial" w:cs="Arial" w:eastAsia="Arial" w:hAnsi="Arial"/>
                <w:sz w:val="20"/>
                <w:szCs w:val="20"/>
                <w:color w:val="auto"/>
                <w:w w:val="89"/>
              </w:rPr>
              <w:t>Nine Months Ended</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57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20"/>
                <w:szCs w:val="20"/>
                <w:color w:val="auto"/>
                <w:w w:val="86"/>
              </w:rPr>
              <w:t>September 30,</w:t>
            </w:r>
          </w:p>
        </w:tc>
        <w:tc>
          <w:tcPr>
            <w:tcW w:w="13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5"/>
        </w:trPr>
        <w:tc>
          <w:tcPr>
            <w:tcW w:w="576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rPr>
              <w:t>2018</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5"/>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40" w:type="dxa"/>
            <w:vAlign w:val="bottom"/>
            <w:shd w:val="clear" w:color="auto" w:fill="CFF0FC"/>
          </w:tcPr>
          <w:p>
            <w:pPr>
              <w:jc w:val="right"/>
              <w:ind w:right="94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13.78</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3.8%</w:t>
            </w:r>
          </w:p>
        </w:tc>
      </w:tr>
      <w:tr>
        <w:trPr>
          <w:trHeight w:val="242"/>
        </w:trPr>
        <w:tc>
          <w:tcPr>
            <w:tcW w:w="5760" w:type="dxa"/>
            <w:vAlign w:val="bottom"/>
          </w:tcPr>
          <w:p>
            <w:pPr>
              <w:spacing w:after="0"/>
              <w:rPr>
                <w:sz w:val="20"/>
                <w:szCs w:val="20"/>
                <w:color w:val="auto"/>
              </w:rPr>
            </w:pPr>
            <w:r>
              <w:rPr>
                <w:rFonts w:ascii="Arial" w:cs="Arial" w:eastAsia="Arial" w:hAnsi="Arial"/>
                <w:sz w:val="20"/>
                <w:szCs w:val="20"/>
                <w:color w:val="auto"/>
              </w:rPr>
              <w:t>Cement (per ton)</w:t>
            </w:r>
          </w:p>
        </w:tc>
        <w:tc>
          <w:tcPr>
            <w:tcW w:w="1140" w:type="dxa"/>
            <w:vAlign w:val="bottom"/>
          </w:tcPr>
          <w:p>
            <w:pPr>
              <w:jc w:val="right"/>
              <w:ind w:right="94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112.53</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108.92</w:t>
            </w:r>
          </w:p>
        </w:tc>
        <w:tc>
          <w:tcPr>
            <w:tcW w:w="3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3.3%</w:t>
            </w:r>
          </w:p>
        </w:tc>
      </w:tr>
      <w:tr>
        <w:trPr>
          <w:trHeight w:val="242"/>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40" w:type="dxa"/>
            <w:vAlign w:val="bottom"/>
            <w:shd w:val="clear" w:color="auto" w:fill="CFF0FC"/>
          </w:tcPr>
          <w:p>
            <w:pPr>
              <w:jc w:val="right"/>
              <w:ind w:right="94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108.75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108.36</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0.4%</w:t>
            </w:r>
          </w:p>
        </w:tc>
      </w:tr>
      <w:tr>
        <w:trPr>
          <w:trHeight w:val="249"/>
        </w:trPr>
        <w:tc>
          <w:tcPr>
            <w:tcW w:w="5760" w:type="dxa"/>
            <w:vAlign w:val="bottom"/>
          </w:tcPr>
          <w:p>
            <w:pPr>
              <w:spacing w:after="0"/>
              <w:rPr>
                <w:sz w:val="20"/>
                <w:szCs w:val="20"/>
                <w:color w:val="auto"/>
              </w:rPr>
            </w:pPr>
            <w:r>
              <w:rPr>
                <w:rFonts w:ascii="Arial" w:cs="Arial" w:eastAsia="Arial" w:hAnsi="Arial"/>
                <w:sz w:val="20"/>
                <w:szCs w:val="20"/>
                <w:color w:val="auto"/>
              </w:rPr>
              <w:t>Asphalt (per ton)</w:t>
            </w:r>
          </w:p>
        </w:tc>
        <w:tc>
          <w:tcPr>
            <w:tcW w:w="1140" w:type="dxa"/>
            <w:vAlign w:val="bottom"/>
          </w:tcPr>
          <w:p>
            <w:pPr>
              <w:jc w:val="right"/>
              <w:ind w:right="94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46.83</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44.98</w:t>
            </w:r>
          </w:p>
        </w:tc>
        <w:tc>
          <w:tcPr>
            <w:tcW w:w="3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4.1%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Product Line End-Use Markets</w:t>
      </w:r>
    </w:p>
    <w:p>
      <w:pPr>
        <w:spacing w:after="0" w:line="10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nine months ended September 30, 2019, aggregates shipments to the infrastructure market increased 6%, as improved weather, particularly along the eastern seaboard, allowed contractors to advance transportation-related projects. Funding provided by the FAST Act, combined with numerous state and local transportation initiatives, has resulted in an acceleration in lettings and contract awards in key states, including Texas, Colorado, North Carolina, Georgia, Florida, Maryland and Iowa. Additionally, the Midwest Division benefitted from shipments related to emergency flood repairs. Year-to-date infrastructure market represented 36% of aggregates shipments.</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Aggregates shipments to the nonresidential end-use market increased 28%, driven by growth in the commercial and heavy industrial markets. Notably, the increase reflects robust distribution center, warehouse, data center, wind turbine and energy-sector projects in key geographies, including Texas, the Carolinas, Georgia and Iowa. The nonresidential market represented 36% of the first nine months of aggregates shipments.</w:t>
      </w:r>
    </w:p>
    <w:p>
      <w:pPr>
        <w:spacing w:after="0" w:line="85" w:lineRule="exact"/>
        <w:rPr>
          <w:sz w:val="20"/>
          <w:szCs w:val="20"/>
          <w:color w:val="auto"/>
        </w:rPr>
      </w:pPr>
    </w:p>
    <w:p>
      <w:pPr>
        <w:jc w:val="both"/>
        <w:ind w:right="640"/>
        <w:spacing w:after="0" w:line="248" w:lineRule="auto"/>
        <w:rPr>
          <w:sz w:val="20"/>
          <w:szCs w:val="20"/>
          <w:color w:val="auto"/>
        </w:rPr>
      </w:pPr>
      <w:r>
        <w:rPr>
          <w:rFonts w:ascii="Arial" w:cs="Arial" w:eastAsia="Arial" w:hAnsi="Arial"/>
          <w:sz w:val="20"/>
          <w:szCs w:val="20"/>
          <w:color w:val="auto"/>
        </w:rPr>
        <w:t>Aggregates shipments to the residential market increased 13%, driven by weather-deferred homebuilding activity in key states where the Company operates, namely Texas, Colorado, the Carolinas, Iowa and Maryland. The residential market accounted for 22% of aggregates shipments for the nine months ended September 30, 2019.</w:t>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The ChemRock/Rail market accounted for the remaining 6% of aggregates shipments. Volumes to this sector increased 4%, driven by improved ballast shipments.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For the nine months ended September 30, 2019, aggregates shipments increased 14.2%, reflecting robust underlying demand as improved weather in key states enabled contractors to advance weather-deferred projects. Average selling price increased 3.9%. Product gross margin improvement is reflective of better operating leverage from increased shipments and production levels, pricing gains and the absence of the $18.5 million negative impact of selling acquired inventory after its markup to fair value as part of acquisition accounting that occurred in 2018.</w:t>
      </w:r>
    </w:p>
    <w:p>
      <w:pPr>
        <w:spacing w:after="0" w:line="3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Cement shipments increased 6.9% for the nine months ended September 30, 2019, despite unfavorable weather to start the construction season in second quarter 2019. The increase in shipments for the nine months ended reflects healthy Texas demand and favorable weather during the third quarter allowing progress on delayed construction projects. Cement pricing improved 3.3%. Cement product gross margin declined 90 basis points, attributable to higher transportation and energy costs.</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Ready mixed concrete shipments decreased 4% despite growing customer backlogs as unfavorable weather conditions in Texas and Colorado hindered construction activity in these states during the first half of the year. Ready mixed concrete pricing improved 0.4%. Ready mixed concrete product gross margin was relatively flat compared with the prior-year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period. Asphalt shipments increased 11.2% notwithstanding the unfavorable weather conditions earlier in the year as strong bidding activity continued. Asphalt and paving gross margin declined 130 basis points to 17.1%, attributable to a 26% increase in raw material costs, notably liquid asphalt.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For the nine months ended September 30, 2019, Magnesia Specialties reported product revenues of $198.9 million, a decrease of 1.2%, compared with $201.4 million. Product gross profit was $79.8 million compared with $76.8 million. Product gross margin improved 200 basis points to 40.1%. Earnings from operations were $68.0 million compared with $65.9 million.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For the nine months ended September 30, consolidated SG&amp;A was 6.3% of total revenues in 2019 compared with 6.5% in 2018. Earnings from operations for the nine months ended September 30 were $700.4 million in 2019 compared with $543.7 million in 2018.</w:t>
      </w:r>
    </w:p>
    <w:p>
      <w:pPr>
        <w:spacing w:after="0" w:line="4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the nine months ended September 30, consolidated other operating income and expenses, net, was income of $9.1 million and $27.0 million in 2019 and 2018, respectively. The 2019 amount reflects the reversal of $6.9 million of accruals for sales tax and unclaimed property contingencies and higher gains on the sales of assets. The 2018 amount reflects nonrecurring gains on the sale of surplus land of $16.9 million and net gain on litigation and related settlements of $7.7 million, partially offset by $7.1 million in asset and portfolio rationalization charge which primarily consists of asset impairment charges and severance costs in the Company’s Southwest ready mixed concrete operations, reported in the West Group reportable segment.</w:t>
      </w:r>
    </w:p>
    <w:p>
      <w:pPr>
        <w:spacing w:after="0" w:line="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nine months ended September 30, other nonoperating income and expenses, net, was an expense of $9.7 million in 2019 and income of $19.9 million in 2018. The expense in 2019 is attributable to a $15.7 million ($12.0 million net of tax) out-of-period correction of a Company-identified overstatement of the investment balance for a nonconsolidated equity affiliate. The 2018 income reflects interest income of $6.8 million due to cash on hand prior to the closing of the Bluegrass acquisition and approximately $10 million of income from nonconsolidated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Benefit</w:t>
      </w:r>
    </w:p>
    <w:p>
      <w:pPr>
        <w:spacing w:after="0" w:line="106"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For the nine months ended September 30, 2019, the effective income tax rate includes a $13.2 million discrete benefit from a change in the tax status of a subsidiary from a partnership to a corporation.</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For the nine months ended September 30, cash provided by operating activities was $649.8 million in 2019 compared with $441.5 million in 2018, driven by growth in earnings before noncash expenses and lower contributions to the Company’s pension plan, partially offset by higher working capital related to increased product revenues. Operating cash flow 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primarily derived from consolidated net earnings before deducting depreciation, depletion and amortization, and the impact of changes in working capital. Depreciation, depletion and amortization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20"/>
                <w:szCs w:val="20"/>
                <w:color w:val="auto"/>
                <w:w w:val="89"/>
              </w:rPr>
              <w:t>Nine Months Ended</w:t>
            </w:r>
          </w:p>
        </w:tc>
      </w:tr>
      <w:tr>
        <w:trPr>
          <w:trHeight w:val="245"/>
        </w:trPr>
        <w:tc>
          <w:tcPr>
            <w:tcW w:w="7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0"/>
                <w:szCs w:val="20"/>
                <w:color w:val="auto"/>
              </w:rPr>
            </w:pPr>
          </w:p>
        </w:tc>
      </w:tr>
      <w:tr>
        <w:trPr>
          <w:trHeight w:val="235"/>
        </w:trPr>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82"/>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234,341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2"/>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219,019</w:t>
            </w:r>
          </w:p>
        </w:tc>
        <w:tc>
          <w:tcPr>
            <w:tcW w:w="120" w:type="dxa"/>
            <w:vAlign w:val="bottom"/>
            <w:shd w:val="clear" w:color="auto" w:fill="CFF0FC"/>
          </w:tcPr>
          <w:p>
            <w:pPr>
              <w:spacing w:after="0"/>
              <w:rPr>
                <w:sz w:val="21"/>
                <w:szCs w:val="21"/>
                <w:color w:val="auto"/>
              </w:rPr>
            </w:pPr>
          </w:p>
        </w:tc>
      </w:tr>
      <w:tr>
        <w:trPr>
          <w:trHeight w:val="242"/>
        </w:trPr>
        <w:tc>
          <w:tcPr>
            <w:tcW w:w="7840" w:type="dxa"/>
            <w:vAlign w:val="bottom"/>
          </w:tcPr>
          <w:p>
            <w:pPr>
              <w:spacing w:after="0"/>
              <w:rPr>
                <w:sz w:val="20"/>
                <w:szCs w:val="20"/>
                <w:color w:val="auto"/>
              </w:rPr>
            </w:pPr>
            <w:r>
              <w:rPr>
                <w:rFonts w:ascii="Arial" w:cs="Arial" w:eastAsia="Arial" w:hAnsi="Arial"/>
                <w:sz w:val="20"/>
                <w:szCs w:val="20"/>
                <w:color w:val="auto"/>
              </w:rPr>
              <w:t>Depletion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27,353</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20,576</w:t>
            </w:r>
          </w:p>
        </w:tc>
        <w:tc>
          <w:tcPr>
            <w:tcW w:w="120" w:type="dxa"/>
            <w:vAlign w:val="bottom"/>
          </w:tcPr>
          <w:p>
            <w:pPr>
              <w:spacing w:after="0"/>
              <w:rPr>
                <w:sz w:val="21"/>
                <w:szCs w:val="21"/>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15,280</w:t>
            </w:r>
          </w:p>
        </w:tc>
        <w:tc>
          <w:tcPr>
            <w:tcW w:w="28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13,605</w:t>
            </w:r>
          </w:p>
        </w:tc>
        <w:tc>
          <w:tcPr>
            <w:tcW w:w="120" w:type="dxa"/>
            <w:vAlign w:val="bottom"/>
            <w:shd w:val="clear" w:color="auto" w:fill="CFF0FC"/>
          </w:tcPr>
          <w:p>
            <w:pPr>
              <w:spacing w:after="0"/>
              <w:rPr>
                <w:sz w:val="21"/>
                <w:szCs w:val="21"/>
                <w:color w:val="auto"/>
              </w:rPr>
            </w:pPr>
          </w:p>
        </w:tc>
      </w:tr>
      <w:tr>
        <w:trPr>
          <w:trHeight w:val="235"/>
        </w:trPr>
        <w:tc>
          <w:tcPr>
            <w:tcW w:w="7840" w:type="dxa"/>
            <w:vAlign w:val="bottom"/>
          </w:tcPr>
          <w:p>
            <w:pPr>
              <w:spacing w:after="0"/>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276,974</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253,200</w:t>
            </w:r>
          </w:p>
        </w:tc>
        <w:tc>
          <w:tcPr>
            <w:tcW w:w="12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2018 net cash provided by operating activities was $705.1 million.</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During the nine months ended September 30, 2019, the Company paid $283.0 million for capital investments. Full-year capital spending is expected to range from $375 million to $400 million.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261,634 shares of common stock during the first nine months of 2019, at an aggregate cost of $57.3 million. At September 30, 2019, 13,886,117 shares of common stock were remaining under the Company’s repurchase authorization. Future share repurchases are at the discretion of management.</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has a $700 million five-year senior unsecured revolving facility (the Revolving Facility), which expires on December 5, 2023.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securitization facility (the Trade Receivable Facility) held by the Company’s wholly-owned special-purpose subsidiary,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line="238" w:lineRule="auto"/>
        <w:rPr>
          <w:sz w:val="20"/>
          <w:szCs w:val="20"/>
          <w:color w:val="auto"/>
        </w:rPr>
      </w:pPr>
      <w:r>
        <w:rPr>
          <w:rFonts w:ascii="Arial" w:cs="Arial" w:eastAsia="Arial" w:hAnsi="Arial"/>
          <w:sz w:val="20"/>
          <w:szCs w:val="20"/>
          <w:color w:val="auto"/>
        </w:rPr>
        <w:t>Third Quarter Ended September 30, 2019</w:t>
      </w:r>
    </w:p>
    <w:p>
      <w:pPr>
        <w:jc w:val="center"/>
        <w:ind w:right="-19"/>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At September 30, 2019, the Company’s ratio of consolidated debt-to-consolidated EBITDA, as defined by the Company’s Revolving Facility, for the trailing-twelve months was 2.32 times and was calculated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940"/>
        <w:spacing w:after="0" w:line="256" w:lineRule="auto"/>
        <w:rPr>
          <w:sz w:val="20"/>
          <w:szCs w:val="20"/>
          <w:color w:val="auto"/>
        </w:rPr>
      </w:pPr>
      <w:r>
        <w:rPr>
          <w:rFonts w:ascii="Arial" w:cs="Arial" w:eastAsia="Arial" w:hAnsi="Arial"/>
          <w:sz w:val="20"/>
          <w:szCs w:val="20"/>
          <w:color w:val="auto"/>
        </w:rPr>
        <w:t>Earnings from continuing operations attributable to Martin Marietta Add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247255" cy="15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7247255" cy="153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Income tax expense</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298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298450"/>
                    </a:xfrm>
                    <a:prstGeom prst="rect">
                      <a:avLst/>
                    </a:prstGeom>
                    <a:noFill/>
                  </pic:spPr>
                </pic:pic>
              </a:graphicData>
            </a:graphic>
          </wp:anchor>
        </w:drawing>
      </w:r>
    </w:p>
    <w:p>
      <w:pPr>
        <w:ind w:left="400" w:right="3100" w:hanging="147"/>
        <w:spacing w:after="0" w:line="245" w:lineRule="auto"/>
        <w:rPr>
          <w:sz w:val="20"/>
          <w:szCs w:val="20"/>
          <w:color w:val="auto"/>
        </w:rPr>
      </w:pPr>
      <w:r>
        <w:rPr>
          <w:rFonts w:ascii="Arial" w:cs="Arial" w:eastAsia="Arial" w:hAnsi="Arial"/>
          <w:sz w:val="20"/>
          <w:szCs w:val="20"/>
          <w:color w:val="auto"/>
        </w:rPr>
        <w:t>Depreciation, depletion and amortization expense and noncash nonconsolidated equity affiliate adjustment</w:t>
      </w:r>
    </w:p>
    <w:p>
      <w:pPr>
        <w:ind w:left="260"/>
        <w:spacing w:after="0"/>
        <w:rPr>
          <w:sz w:val="20"/>
          <w:szCs w:val="20"/>
          <w:color w:val="auto"/>
        </w:rPr>
      </w:pPr>
      <w:r>
        <w:rPr>
          <w:rFonts w:ascii="Arial" w:cs="Arial" w:eastAsia="Arial" w:hAnsi="Arial"/>
          <w:sz w:val="20"/>
          <w:szCs w:val="20"/>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15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Acquisition-related expenses, net</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Noncash portion of asset and portfolio rationalization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153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47255" cy="153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Interest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as defined by the Company’s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247255" cy="323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255" cy="323850"/>
                    </a:xfrm>
                    <a:prstGeom prst="rect">
                      <a:avLst/>
                    </a:prstGeom>
                    <a:noFill/>
                  </pic:spPr>
                </pic:pic>
              </a:graphicData>
            </a:graphic>
          </wp:anchor>
        </w:drawing>
      </w:r>
    </w:p>
    <w:p>
      <w:pPr>
        <w:spacing w:after="0" w:line="66" w:lineRule="exact"/>
        <w:rPr>
          <w:sz w:val="20"/>
          <w:szCs w:val="20"/>
          <w:color w:val="auto"/>
        </w:rPr>
      </w:pPr>
    </w:p>
    <w:p>
      <w:pPr>
        <w:ind w:left="260" w:right="3040" w:hanging="245"/>
        <w:spacing w:after="0" w:line="313" w:lineRule="auto"/>
        <w:rPr>
          <w:sz w:val="20"/>
          <w:szCs w:val="20"/>
          <w:color w:val="auto"/>
        </w:rPr>
      </w:pPr>
      <w:r>
        <w:rPr>
          <w:rFonts w:ascii="Arial" w:cs="Arial" w:eastAsia="Arial" w:hAnsi="Arial"/>
          <w:sz w:val="17"/>
          <w:szCs w:val="17"/>
          <w:color w:val="auto"/>
        </w:rPr>
        <w:t>Consolidated net debt, as defined and including debt for which the Company is a co-borrower, at September 30, 2019</w:t>
      </w:r>
    </w:p>
    <w:p>
      <w:pPr>
        <w:ind w:left="260" w:right="2420" w:hanging="245"/>
        <w:spacing w:after="0" w:line="248" w:lineRule="auto"/>
        <w:rPr>
          <w:sz w:val="20"/>
          <w:szCs w:val="20"/>
          <w:color w:val="auto"/>
        </w:rPr>
      </w:pPr>
      <w:r>
        <w:rPr>
          <w:rFonts w:ascii="Arial" w:cs="Arial" w:eastAsia="Arial" w:hAnsi="Arial"/>
          <w:sz w:val="20"/>
          <w:szCs w:val="20"/>
          <w:color w:val="auto"/>
        </w:rPr>
        <w:t>Consolidated debt-to-consolidated EBITDA, as defined by the Company’s Revolving Facility, at September 30, 2019 for the trailing-twelve months EBITDA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October 1, 2018 to</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457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i w:val="1"/>
          <w:iCs w:val="1"/>
          <w:color w:val="auto"/>
        </w:rPr>
        <w:t>(Dollars in Thousands)</w:t>
      </w:r>
    </w:p>
    <w:p>
      <w:pPr>
        <w:spacing w:after="0" w:line="19" w:lineRule="exact"/>
        <w:rPr>
          <w:sz w:val="20"/>
          <w:szCs w:val="20"/>
          <w:color w:val="auto"/>
        </w:rPr>
      </w:pPr>
    </w:p>
    <w:p>
      <w:pPr>
        <w:spacing w:after="0"/>
        <w:tabs>
          <w:tab w:leader="none" w:pos="16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575,278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132,586</w:t>
            </w:r>
          </w:p>
        </w:tc>
        <w:tc>
          <w:tcPr>
            <w:tcW w:w="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132,223</w:t>
            </w:r>
          </w:p>
        </w:tc>
        <w:tc>
          <w:tcPr>
            <w:tcW w:w="60" w:type="dxa"/>
            <w:vAlign w:val="bottom"/>
          </w:tcPr>
          <w:p>
            <w:pPr>
              <w:spacing w:after="0"/>
              <w:rPr>
                <w:sz w:val="21"/>
                <w:szCs w:val="21"/>
                <w:color w:val="auto"/>
              </w:rPr>
            </w:pPr>
          </w:p>
        </w:tc>
      </w:tr>
      <w:tr>
        <w:trPr>
          <w:trHeight w:val="46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378,205</w:t>
            </w:r>
          </w:p>
        </w:tc>
        <w:tc>
          <w:tcPr>
            <w:tcW w:w="60" w:type="dxa"/>
            <w:vAlign w:val="bottom"/>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34,583</w:t>
            </w:r>
          </w:p>
        </w:tc>
        <w:tc>
          <w:tcPr>
            <w:tcW w:w="6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664</w:t>
            </w:r>
          </w:p>
        </w:tc>
        <w:tc>
          <w:tcPr>
            <w:tcW w:w="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11,725</w:t>
            </w:r>
          </w:p>
        </w:tc>
        <w:tc>
          <w:tcPr>
            <w:tcW w:w="60" w:type="dxa"/>
            <w:vAlign w:val="bottom"/>
          </w:tcPr>
          <w:p>
            <w:pPr>
              <w:spacing w:after="0"/>
              <w:rPr>
                <w:sz w:val="21"/>
                <w:szCs w:val="21"/>
                <w:color w:val="auto"/>
              </w:rPr>
            </w:pPr>
          </w:p>
        </w:tc>
      </w:tr>
      <w:tr>
        <w:trPr>
          <w:trHeight w:val="72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(511)</w:t>
            </w:r>
          </w:p>
        </w:tc>
      </w:tr>
      <w:tr>
        <w:trPr>
          <w:trHeight w:val="235"/>
        </w:trPr>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1,264,753</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780" w:type="dxa"/>
            <w:vAlign w:val="bottom"/>
            <w:gridSpan w:val="2"/>
          </w:tcPr>
          <w:p>
            <w:pPr>
              <w:jc w:val="right"/>
              <w:ind w:right="603"/>
              <w:spacing w:after="0"/>
              <w:rPr>
                <w:sz w:val="20"/>
                <w:szCs w:val="20"/>
                <w:color w:val="auto"/>
              </w:rPr>
            </w:pPr>
            <w:r>
              <w:rPr>
                <w:rFonts w:ascii="Arial" w:cs="Arial" w:eastAsia="Arial" w:hAnsi="Arial"/>
                <w:sz w:val="20"/>
                <w:szCs w:val="20"/>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2,935,066</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20"/>
                <w:szCs w:val="20"/>
                <w:color w:val="auto"/>
              </w:rPr>
              <w:t>2.32 times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420"/>
          </w:cols>
          <w:pgMar w:left="240" w:top="122" w:right="239" w:bottom="1440" w:gutter="0" w:footer="0" w:header="0"/>
          <w:type w:val="continuous"/>
        </w:sectPr>
      </w:pPr>
    </w:p>
    <w:p>
      <w:pPr>
        <w:spacing w:after="0" w:line="2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Any future significant strategic acquisition for cash would likely require an appropriate balance of newly-issued equity with debt in order to maintain a composite investment-grade credit rating. At September 30, 2019, the Company had $907.7 million of unused borrowing capacity under its Revolving Facility and Trade Receivable Facility, subject to complying with the related leverage covenant. The Revolving Facility expires on December 5, 2023. On September 24, 2019, the Company extended the maturity of its Trade Receivable Facility to September 23, 2020. The Company has $300 million of floating rate senior notes due in December 2019 and $300 million of floating rate senior notes due in May 2020. Both notes are classified as long-term debt on the Company’s September 30, 2019 balance sheet as the Company has the intent and ability to refinance the notes on a long-term basis.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6"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2018. Management continues to evaluate its exposure to all operating risks on an ongoing basis.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6"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Based on current trends and expectations, management has raised its full-year 2019 guidance. Specifically, aggregates shipments by end-use market compared with 2018 levels are as follows:</w:t>
      </w:r>
    </w:p>
    <w:p>
      <w:pPr>
        <w:spacing w:after="0" w:line="69" w:lineRule="exact"/>
        <w:rPr>
          <w:sz w:val="20"/>
          <w:szCs w:val="20"/>
          <w:color w:val="auto"/>
        </w:rPr>
      </w:pPr>
    </w:p>
    <w:p>
      <w:pPr>
        <w:ind w:left="760" w:hanging="377"/>
        <w:spacing w:after="0"/>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Infrastructure shipments to increase in the high-single digits.</w:t>
      </w:r>
    </w:p>
    <w:p>
      <w:pPr>
        <w:spacing w:after="0" w:line="14" w:lineRule="exact"/>
        <w:rPr>
          <w:rFonts w:ascii="Arial" w:cs="Arial" w:eastAsia="Arial" w:hAnsi="Arial"/>
          <w:sz w:val="20"/>
          <w:szCs w:val="20"/>
          <w:color w:val="auto"/>
        </w:rPr>
      </w:pPr>
    </w:p>
    <w:p>
      <w:pPr>
        <w:ind w:left="760" w:hanging="377"/>
        <w:spacing w:after="0" w:line="238" w:lineRule="auto"/>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Nonresidential shipments to experience a double-digit increase.</w:t>
      </w:r>
    </w:p>
    <w:p>
      <w:pPr>
        <w:ind w:left="760" w:hanging="377"/>
        <w:spacing w:after="0" w:line="238" w:lineRule="auto"/>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Residential shipments to experience a double-digit increase.</w:t>
      </w:r>
    </w:p>
    <w:p>
      <w:pPr>
        <w:ind w:left="760" w:hanging="377"/>
        <w:spacing w:after="0"/>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ChemRock/Rail shipments to be up slightly.</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performance of the United States economy; shipment declines resulting from economic events beyond the Company’s control; a widespread decline in aggregates pricing, including a decline in aggregates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infrastructure construction; the level and timing of federal, state or local transportation or infrastructure projects funding, most particularly in Texas, Colorado, North Carolina, Georgia, Iowa and Maryland; the United States Congress’ inability to reach agreement among themselves or with the current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30" w:lineRule="exact"/>
        <w:rPr>
          <w:sz w:val="20"/>
          <w:szCs w:val="20"/>
          <w:color w:val="auto"/>
        </w:rPr>
      </w:pPr>
      <w:r>
        <w:rPr>
          <w:rFonts w:ascii="Arial" w:cs="Arial" w:eastAsia="Arial" w:hAnsi="Arial"/>
          <w:sz w:val="17"/>
          <w:szCs w:val="17"/>
          <w:color w:val="auto"/>
        </w:rPr>
        <w:t>activity on or near military bases; a decline in the commercial component of the nonresidential construction market, notably office and retail space; a decline in energy-related construction activity resulting from a sustained period of low global oil prices or changes in oil production patterns in response to this decline, particularly in Texas; a slowdown in residential construction recovery; unfavorable weather conditions, particularly Atlantic Ocean and Gulf Coast hurricane activity, the late start to spring or the early onset of winter and the impact of a drought or excessive rainfall in the markets served by the Company, any of which can significantly affect production schedules, volumes, product and/or geographic mix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7"/>
          <w:szCs w:val="17"/>
          <w:color w:val="auto"/>
        </w:rPr>
        <w:t>‐</w:t>
      </w:r>
      <w:r>
        <w:rPr>
          <w:rFonts w:ascii="Arial" w:cs="Arial" w:eastAsia="Arial" w:hAnsi="Arial"/>
          <w:sz w:val="17"/>
          <w:szCs w:val="17"/>
          <w:color w:val="auto"/>
        </w:rPr>
        <w:t>chain challenges; unexpected equipment failures, unscheduled maintenance, industrial accident or other prolonged and/or significant disruption to production facilities; increasing governmental regulation, including environmental laws; transportation availability or a sustained reduction in capital investment by the railroads, notably the availability of railcars, locomotive power and the condition of rail infrastructure to move trains to supply the Company’s Texas, Colorado, Florida, North Carolina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continued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200" w:lineRule="exact"/>
        <w:rPr>
          <w:sz w:val="20"/>
          <w:szCs w:val="20"/>
          <w:color w:val="auto"/>
        </w:rPr>
      </w:pPr>
    </w:p>
    <w:p>
      <w:pPr>
        <w:spacing w:after="0" w:line="3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You should consider these forward-looking statements in light of risk factors discussed in the Company’s Annual Report on Form 10-K for the year ended December 31, 2018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Third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2018,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line="238" w:lineRule="auto"/>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6" w:lineRule="exact"/>
        <w:rPr>
          <w:sz w:val="20"/>
          <w:szCs w:val="20"/>
          <w:color w:val="auto"/>
        </w:rPr>
      </w:pPr>
    </w:p>
    <w:p>
      <w:pPr>
        <w:jc w:val="both"/>
        <w:ind w:right="20"/>
        <w:spacing w:after="0" w:line="346" w:lineRule="auto"/>
        <w:rPr>
          <w:sz w:val="20"/>
          <w:szCs w:val="20"/>
          <w:color w:val="auto"/>
        </w:rPr>
      </w:pPr>
      <w:r>
        <w:rPr>
          <w:rFonts w:ascii="Arial" w:cs="Arial" w:eastAsia="Arial" w:hAnsi="Arial"/>
          <w:sz w:val="17"/>
          <w:szCs w:val="17"/>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jc w:val="both"/>
        <w:spacing w:after="0" w:line="302" w:lineRule="auto"/>
        <w:rPr>
          <w:sz w:val="20"/>
          <w:szCs w:val="20"/>
          <w:color w:val="auto"/>
        </w:rPr>
      </w:pPr>
      <w:r>
        <w:rPr>
          <w:rFonts w:ascii="Arial" w:cs="Arial" w:eastAsia="Arial" w:hAnsi="Arial"/>
          <w:sz w:val="17"/>
          <w:szCs w:val="17"/>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Demand in the residential construction market is affected by interest rates. The Federal Reserve lowered interest rates during the quarter ended September 30, 2019. The federal funds rate at September 30, 2019 was 1.9%. The residential construction market accounted for 22% of the Company’s aggregates shipments in 2018.</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i w:val="1"/>
          <w:iCs w:val="1"/>
          <w:color w:val="auto"/>
        </w:rPr>
        <w:t xml:space="preserve">Variable-Rate Borrowing Facilities. </w:t>
      </w:r>
      <w:r>
        <w:rPr>
          <w:rFonts w:ascii="Arial" w:cs="Arial" w:eastAsia="Arial" w:hAnsi="Arial"/>
          <w:sz w:val="19"/>
          <w:szCs w:val="19"/>
          <w:color w:val="auto"/>
        </w:rPr>
        <w:t>At September 30, 2019, the Company had a $700 million Revolving Facility and a $400 million Trade</w:t>
      </w:r>
      <w:r>
        <w:rPr>
          <w:rFonts w:ascii="Arial" w:cs="Arial" w:eastAsia="Arial" w:hAnsi="Arial"/>
          <w:sz w:val="19"/>
          <w:szCs w:val="19"/>
          <w:i w:val="1"/>
          <w:iCs w:val="1"/>
          <w:color w:val="auto"/>
        </w:rPr>
        <w:t xml:space="preserve"> </w:t>
      </w:r>
      <w:r>
        <w:rPr>
          <w:rFonts w:ascii="Arial" w:cs="Arial" w:eastAsia="Arial" w:hAnsi="Arial"/>
          <w:sz w:val="19"/>
          <w:szCs w:val="19"/>
          <w:color w:val="auto"/>
        </w:rPr>
        <w:t>Receivable Facility. The Company also has $600 million variable-rate senior notes. Borrowings under these facilities bear interest at a variable interest rate. A hypothetical 100-basis-point increase in interest rates on borrowings of $790 million, which was the collective outstanding balance at September 30, 2019, would increase interest expense by $7.9 million on an annual basis.</w:t>
      </w:r>
    </w:p>
    <w:p>
      <w:pPr>
        <w:spacing w:after="0" w:line="6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i w:val="1"/>
          <w:iCs w:val="1"/>
          <w:color w:val="auto"/>
        </w:rPr>
        <w:t xml:space="preserve">Pension Expense. </w:t>
      </w:r>
      <w:r>
        <w:rPr>
          <w:rFonts w:ascii="Arial" w:cs="Arial" w:eastAsia="Arial" w:hAnsi="Arial"/>
          <w:sz w:val="17"/>
          <w:szCs w:val="17"/>
          <w:color w:val="auto"/>
        </w:rPr>
        <w:t>The Company’s results of operations are affected by its pension expense. Assumptions that affect pension expense include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2018.</w:t>
      </w:r>
    </w:p>
    <w:p>
      <w:pPr>
        <w:spacing w:after="0" w:line="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100% of its 2019 coal requirements. Energy costs for the nine months ended September 30, 2019 increased approximately 0.7% over the prior-year period. A hypothetical 0.7% change in the Company’s energy prices for the full year 2019 as compared with 2018, assuming constant volumes, would change full year 2019 energy expense by $2.1 million.</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total revenues for cement for full-year 2019 of $420 million to $450 million, a hypothetical 10% change in sales price would impact total revenues by $42.0 million to $45.0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line="238" w:lineRule="auto"/>
        <w:rPr>
          <w:sz w:val="20"/>
          <w:szCs w:val="20"/>
          <w:color w:val="auto"/>
        </w:rPr>
      </w:pPr>
      <w:r>
        <w:rPr>
          <w:rFonts w:ascii="Arial" w:cs="Arial" w:eastAsia="Arial" w:hAnsi="Arial"/>
          <w:sz w:val="20"/>
          <w:szCs w:val="20"/>
          <w:color w:val="auto"/>
        </w:rPr>
        <w:t>For the Quarter Ended September 30,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As of September 30, 2019, an evaluation was performed under the supervision and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September 30, 2019.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jc w:val="center"/>
        <w:ind w:right="10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FORM 10-Q</w:t>
      </w:r>
    </w:p>
    <w:p>
      <w:pPr>
        <w:jc w:val="center"/>
        <w:ind w:right="100"/>
        <w:spacing w:after="0"/>
        <w:rPr>
          <w:sz w:val="20"/>
          <w:szCs w:val="20"/>
          <w:color w:val="auto"/>
        </w:rPr>
      </w:pPr>
      <w:r>
        <w:rPr>
          <w:rFonts w:ascii="Arial" w:cs="Arial" w:eastAsia="Arial" w:hAnsi="Arial"/>
          <w:sz w:val="20"/>
          <w:szCs w:val="20"/>
          <w:color w:val="auto"/>
        </w:rPr>
        <w:t>For the Quarter Ended September 30, 2019</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PART II-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6"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auto"/>
        </w:rPr>
        <w:t xml:space="preserve">Certain legal proceedings in which we are involved are discussed in Note O to the consolidated financial statements and Part I, Item 3 of our Annual Report on Form 10-K for the year ended December 31, 2018. See also </w:t>
      </w:r>
      <w:r>
        <w:rPr>
          <w:rFonts w:ascii="Arial" w:cs="Arial" w:eastAsia="Arial" w:hAnsi="Arial"/>
          <w:sz w:val="20"/>
          <w:szCs w:val="20"/>
          <w:i w:val="1"/>
          <w:iCs w:val="1"/>
          <w:color w:val="auto"/>
        </w:rPr>
        <w:t>Note 8 Commitments and Contingencies, Legal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Administrative Proceedings, </w:t>
      </w:r>
      <w:r>
        <w:rPr>
          <w:rFonts w:ascii="Arial" w:cs="Arial" w:eastAsia="Arial" w:hAnsi="Arial"/>
          <w:sz w:val="20"/>
          <w:szCs w:val="20"/>
          <w:color w:val="auto"/>
        </w:rPr>
        <w:t>of this Form 10-Q.</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6" w:lineRule="exact"/>
        <w:rPr>
          <w:sz w:val="20"/>
          <w:szCs w:val="20"/>
          <w:color w:val="auto"/>
        </w:rPr>
      </w:pPr>
    </w:p>
    <w:p>
      <w:pPr>
        <w:jc w:val="both"/>
        <w:ind w:right="100"/>
        <w:spacing w:after="0" w:line="258"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Total Number of Shares</w:t>
            </w:r>
          </w:p>
        </w:tc>
        <w:tc>
          <w:tcPr>
            <w:tcW w:w="210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Maximum Number of</w:t>
            </w:r>
          </w:p>
        </w:tc>
      </w:tr>
      <w:tr>
        <w:trPr>
          <w:trHeight w:val="242"/>
        </w:trPr>
        <w:tc>
          <w:tcPr>
            <w:tcW w:w="3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85"/>
              </w:rPr>
              <w:t>Purchased as Part of</w:t>
            </w:r>
          </w:p>
        </w:tc>
        <w:tc>
          <w:tcPr>
            <w:tcW w:w="2100" w:type="dxa"/>
            <w:vAlign w:val="bottom"/>
            <w:gridSpan w:val="2"/>
          </w:tcPr>
          <w:p>
            <w:pPr>
              <w:jc w:val="center"/>
              <w:ind w:right="40"/>
              <w:spacing w:after="0"/>
              <w:rPr>
                <w:sz w:val="20"/>
                <w:szCs w:val="20"/>
                <w:color w:val="auto"/>
              </w:rPr>
            </w:pPr>
            <w:r>
              <w:rPr>
                <w:rFonts w:ascii="Arial" w:cs="Arial" w:eastAsia="Arial" w:hAnsi="Arial"/>
                <w:sz w:val="20"/>
                <w:szCs w:val="20"/>
                <w:color w:val="auto"/>
                <w:w w:val="87"/>
              </w:rPr>
              <w:t>Shares that May Yet</w:t>
            </w:r>
          </w:p>
        </w:tc>
      </w:tr>
      <w:tr>
        <w:trPr>
          <w:trHeight w:val="242"/>
        </w:trPr>
        <w:tc>
          <w:tcPr>
            <w:tcW w:w="3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jc w:val="right"/>
              <w:ind w:right="162"/>
              <w:spacing w:after="0"/>
              <w:rPr>
                <w:sz w:val="20"/>
                <w:szCs w:val="20"/>
                <w:color w:val="auto"/>
              </w:rPr>
            </w:pPr>
            <w:r>
              <w:rPr>
                <w:rFonts w:ascii="Arial" w:cs="Arial" w:eastAsia="Arial" w:hAnsi="Arial"/>
                <w:sz w:val="20"/>
                <w:szCs w:val="20"/>
                <w:color w:val="auto"/>
              </w:rPr>
              <w:t>Total Number of</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20"/>
                <w:szCs w:val="20"/>
                <w:color w:val="auto"/>
              </w:rPr>
              <w:t>Average Price</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Publicly Announced</w:t>
            </w:r>
          </w:p>
        </w:tc>
        <w:tc>
          <w:tcPr>
            <w:tcW w:w="2100" w:type="dxa"/>
            <w:vAlign w:val="bottom"/>
            <w:gridSpan w:val="2"/>
          </w:tcPr>
          <w:p>
            <w:pPr>
              <w:jc w:val="center"/>
              <w:ind w:right="40"/>
              <w:spacing w:after="0"/>
              <w:rPr>
                <w:sz w:val="20"/>
                <w:szCs w:val="20"/>
                <w:color w:val="auto"/>
              </w:rPr>
            </w:pPr>
            <w:r>
              <w:rPr>
                <w:rFonts w:ascii="Arial" w:cs="Arial" w:eastAsia="Arial" w:hAnsi="Arial"/>
                <w:sz w:val="20"/>
                <w:szCs w:val="20"/>
                <w:color w:val="auto"/>
                <w:w w:val="86"/>
              </w:rPr>
              <w:t>be Purchased Under</w:t>
            </w:r>
          </w:p>
        </w:tc>
      </w:tr>
      <w:tr>
        <w:trPr>
          <w:trHeight w:val="245"/>
        </w:trPr>
        <w:tc>
          <w:tcPr>
            <w:tcW w:w="3720" w:type="dxa"/>
            <w:vAlign w:val="bottom"/>
            <w:gridSpan w:val="2"/>
          </w:tcPr>
          <w:p>
            <w:pPr>
              <w:ind w:left="1580"/>
              <w:spacing w:after="0"/>
              <w:rPr>
                <w:sz w:val="20"/>
                <w:szCs w:val="20"/>
                <w:color w:val="auto"/>
              </w:rPr>
            </w:pPr>
            <w:r>
              <w:rPr>
                <w:rFonts w:ascii="Arial" w:cs="Arial" w:eastAsia="Arial" w:hAnsi="Arial"/>
                <w:sz w:val="20"/>
                <w:szCs w:val="20"/>
                <w:color w:val="auto"/>
              </w:rPr>
              <w:t>Period</w:t>
            </w:r>
          </w:p>
        </w:tc>
        <w:tc>
          <w:tcPr>
            <w:tcW w:w="1740" w:type="dxa"/>
            <w:vAlign w:val="bottom"/>
          </w:tcPr>
          <w:p>
            <w:pPr>
              <w:jc w:val="right"/>
              <w:ind w:right="122"/>
              <w:spacing w:after="0"/>
              <w:rPr>
                <w:sz w:val="20"/>
                <w:szCs w:val="20"/>
                <w:color w:val="auto"/>
              </w:rPr>
            </w:pPr>
            <w:r>
              <w:rPr>
                <w:rFonts w:ascii="Arial" w:cs="Arial" w:eastAsia="Arial" w:hAnsi="Arial"/>
                <w:sz w:val="20"/>
                <w:szCs w:val="20"/>
                <w:color w:val="auto"/>
                <w:w w:val="91"/>
              </w:rPr>
              <w:t>Shares Purchased</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20"/>
                <w:szCs w:val="20"/>
                <w:color w:val="auto"/>
              </w:rPr>
              <w:t>Paid per Share</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86"/>
              </w:rPr>
              <w:t>Plans or Programs</w:t>
            </w:r>
          </w:p>
        </w:tc>
        <w:tc>
          <w:tcPr>
            <w:tcW w:w="2100" w:type="dxa"/>
            <w:vAlign w:val="bottom"/>
            <w:gridSpan w:val="2"/>
          </w:tcPr>
          <w:p>
            <w:pPr>
              <w:jc w:val="center"/>
              <w:ind w:right="40"/>
              <w:spacing w:after="0"/>
              <w:rPr>
                <w:sz w:val="20"/>
                <w:szCs w:val="20"/>
                <w:color w:val="auto"/>
              </w:rPr>
            </w:pPr>
            <w:r>
              <w:rPr>
                <w:rFonts w:ascii="Arial" w:cs="Arial" w:eastAsia="Arial" w:hAnsi="Arial"/>
                <w:sz w:val="20"/>
                <w:szCs w:val="20"/>
                <w:color w:val="auto"/>
                <w:w w:val="87"/>
              </w:rPr>
              <w:t>the Plans or Programs</w:t>
            </w:r>
          </w:p>
        </w:tc>
      </w:tr>
      <w:tr>
        <w:trPr>
          <w:trHeight w:val="235"/>
        </w:trPr>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July 1, 2019 - July 31, 2019</w:t>
            </w:r>
          </w:p>
        </w:tc>
        <w:tc>
          <w:tcPr>
            <w:tcW w:w="60" w:type="dxa"/>
            <w:vAlign w:val="bottom"/>
            <w:tcBorders>
              <w:top w:val="single" w:sz="8" w:color="CFF0FC"/>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top w:val="single" w:sz="8" w:color="CFF0FC"/>
            </w:tcBorders>
            <w:shd w:val="clear" w:color="auto" w:fill="CFF0FC"/>
          </w:tcPr>
          <w:p>
            <w:pPr>
              <w:spacing w:after="0"/>
              <w:rPr>
                <w:sz w:val="20"/>
                <w:szCs w:val="20"/>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CFF0FC"/>
            </w:tcBorders>
            <w:shd w:val="clear" w:color="auto" w:fill="CFF0FC"/>
          </w:tcPr>
          <w:p>
            <w:pPr>
              <w:spacing w:after="0"/>
              <w:rPr>
                <w:sz w:val="20"/>
                <w:szCs w:val="20"/>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13,915,340</w:t>
            </w:r>
          </w:p>
        </w:tc>
        <w:tc>
          <w:tcPr>
            <w:tcW w:w="20" w:type="dxa"/>
            <w:vAlign w:val="bottom"/>
            <w:tcBorders>
              <w:top w:val="single" w:sz="8" w:color="CFF0FC"/>
            </w:tcBorders>
            <w:shd w:val="clear" w:color="auto" w:fill="CFF0FC"/>
          </w:tcPr>
          <w:p>
            <w:pPr>
              <w:spacing w:after="0"/>
              <w:rPr>
                <w:sz w:val="20"/>
                <w:szCs w:val="20"/>
                <w:color w:val="auto"/>
              </w:rPr>
            </w:pPr>
          </w:p>
        </w:tc>
      </w:tr>
      <w:tr>
        <w:trPr>
          <w:trHeight w:val="242"/>
        </w:trPr>
        <w:tc>
          <w:tcPr>
            <w:tcW w:w="3720" w:type="dxa"/>
            <w:vAlign w:val="bottom"/>
            <w:gridSpan w:val="2"/>
          </w:tcPr>
          <w:p>
            <w:pPr>
              <w:spacing w:after="0"/>
              <w:rPr>
                <w:sz w:val="20"/>
                <w:szCs w:val="20"/>
                <w:color w:val="auto"/>
              </w:rPr>
            </w:pPr>
            <w:r>
              <w:rPr>
                <w:rFonts w:ascii="Arial" w:cs="Arial" w:eastAsia="Arial" w:hAnsi="Arial"/>
                <w:sz w:val="20"/>
                <w:szCs w:val="20"/>
                <w:color w:val="auto"/>
              </w:rPr>
              <w:t>August 1, 2019 - August 31, 2019</w:t>
            </w:r>
          </w:p>
        </w:tc>
        <w:tc>
          <w:tcPr>
            <w:tcW w:w="1740" w:type="dxa"/>
            <w:vAlign w:val="bottom"/>
          </w:tcPr>
          <w:p>
            <w:pPr>
              <w:jc w:val="right"/>
              <w:spacing w:after="0"/>
              <w:rPr>
                <w:sz w:val="20"/>
                <w:szCs w:val="20"/>
                <w:color w:val="auto"/>
              </w:rPr>
            </w:pPr>
            <w:r>
              <w:rPr>
                <w:rFonts w:ascii="Arial" w:cs="Arial" w:eastAsia="Arial" w:hAnsi="Arial"/>
                <w:sz w:val="20"/>
                <w:szCs w:val="20"/>
                <w:color w:val="auto"/>
              </w:rPr>
              <w:t>26,223</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249.43</w:t>
            </w:r>
          </w:p>
        </w:tc>
        <w:tc>
          <w:tcPr>
            <w:tcW w:w="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26,223</w:t>
            </w:r>
          </w:p>
        </w:tc>
        <w:tc>
          <w:tcPr>
            <w:tcW w:w="1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13,889,117</w:t>
            </w:r>
          </w:p>
        </w:tc>
        <w:tc>
          <w:tcPr>
            <w:tcW w:w="20" w:type="dxa"/>
            <w:vAlign w:val="bottom"/>
          </w:tcPr>
          <w:p>
            <w:pPr>
              <w:spacing w:after="0"/>
              <w:rPr>
                <w:sz w:val="21"/>
                <w:szCs w:val="21"/>
                <w:color w:val="auto"/>
              </w:rPr>
            </w:pPr>
          </w:p>
        </w:tc>
      </w:tr>
      <w:tr>
        <w:trPr>
          <w:trHeight w:val="242"/>
        </w:trPr>
        <w:tc>
          <w:tcPr>
            <w:tcW w:w="37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September 1, 2019 - September 30, 2019</w:t>
            </w: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249.50</w:t>
            </w:r>
          </w:p>
        </w:tc>
        <w:tc>
          <w:tcPr>
            <w:tcW w:w="6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w:t>
            </w:r>
          </w:p>
        </w:tc>
        <w:tc>
          <w:tcPr>
            <w:tcW w:w="14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13,886,117</w:t>
            </w:r>
          </w:p>
        </w:tc>
        <w:tc>
          <w:tcPr>
            <w:tcW w:w="2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6"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Page 52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96"/>
              </w:rPr>
              <w:t>MARTIN MARIETTA MATERIALS, INC. AND CONSOLIDATED SUBSIDIARIES</w:t>
            </w:r>
          </w:p>
        </w:tc>
      </w:tr>
      <w:tr>
        <w:trPr>
          <w:trHeight w:val="228"/>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2"/>
              <w:spacing w:after="0" w:line="229" w:lineRule="exact"/>
              <w:rPr>
                <w:sz w:val="20"/>
                <w:szCs w:val="20"/>
                <w:color w:val="auto"/>
              </w:rPr>
            </w:pPr>
            <w:r>
              <w:rPr>
                <w:rFonts w:ascii="Arial" w:cs="Arial" w:eastAsia="Arial" w:hAnsi="Arial"/>
                <w:sz w:val="20"/>
                <w:szCs w:val="20"/>
                <w:color w:val="auto"/>
                <w:w w:val="93"/>
              </w:rPr>
              <w:t>FORM 10-Q</w:t>
            </w:r>
          </w:p>
        </w:tc>
      </w:tr>
      <w:tr>
        <w:trPr>
          <w:trHeight w:val="249"/>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02"/>
              <w:spacing w:after="0"/>
              <w:rPr>
                <w:sz w:val="20"/>
                <w:szCs w:val="20"/>
                <w:color w:val="auto"/>
              </w:rPr>
            </w:pPr>
            <w:r>
              <w:rPr>
                <w:rFonts w:ascii="Arial" w:cs="Arial" w:eastAsia="Arial" w:hAnsi="Arial"/>
                <w:sz w:val="20"/>
                <w:szCs w:val="20"/>
                <w:color w:val="auto"/>
                <w:w w:val="87"/>
              </w:rPr>
              <w:t>For the Quarter Ended September 30, 2019</w:t>
            </w:r>
          </w:p>
        </w:tc>
      </w:tr>
      <w:tr>
        <w:trPr>
          <w:trHeight w:val="422"/>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94"/>
              </w:rPr>
              <w:t>PART II- OTHER INFORMATION</w:t>
            </w:r>
          </w:p>
        </w:tc>
      </w:tr>
      <w:tr>
        <w:trPr>
          <w:trHeight w:val="249"/>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9"/>
              </w:rPr>
              <w:t>(Continued)</w:t>
            </w:r>
          </w:p>
        </w:tc>
      </w:tr>
      <w:tr>
        <w:trPr>
          <w:trHeight w:val="331"/>
        </w:trPr>
        <w:tc>
          <w:tcPr>
            <w:tcW w:w="11420" w:type="dxa"/>
            <w:vAlign w:val="bottom"/>
            <w:gridSpan w:val="5"/>
          </w:tcPr>
          <w:p>
            <w:pPr>
              <w:spacing w:after="0"/>
              <w:rPr>
                <w:sz w:val="20"/>
                <w:szCs w:val="20"/>
                <w:color w:val="auto"/>
              </w:rPr>
            </w:pPr>
            <w:r>
              <w:rPr>
                <w:rFonts w:ascii="Arial" w:cs="Arial" w:eastAsia="Arial" w:hAnsi="Arial"/>
                <w:sz w:val="20"/>
                <w:szCs w:val="20"/>
                <w:color w:val="auto"/>
              </w:rPr>
              <w:t>Item 6. Exhibits.</w:t>
            </w:r>
          </w:p>
        </w:tc>
      </w:tr>
      <w:tr>
        <w:trPr>
          <w:trHeight w:val="477"/>
        </w:trPr>
        <w:tc>
          <w:tcPr>
            <w:tcW w:w="1180" w:type="dxa"/>
            <w:vAlign w:val="bottom"/>
            <w:tcBorders>
              <w:top w:val="single" w:sz="8" w:color="auto"/>
            </w:tcBorders>
            <w:gridSpan w:val="3"/>
          </w:tcPr>
          <w:p>
            <w:pPr>
              <w:ind w:left="80"/>
              <w:spacing w:after="0"/>
              <w:rPr>
                <w:sz w:val="20"/>
                <w:szCs w:val="20"/>
                <w:color w:val="auto"/>
              </w:rPr>
            </w:pPr>
            <w:r>
              <w:rPr>
                <w:rFonts w:ascii="Arial" w:cs="Arial" w:eastAsia="Arial" w:hAnsi="Arial"/>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Arial" w:cs="Arial" w:eastAsia="Arial" w:hAnsi="Arial"/>
                <w:sz w:val="20"/>
                <w:szCs w:val="20"/>
                <w:color w:val="auto"/>
              </w:rPr>
              <w:t>Document</w:t>
            </w:r>
          </w:p>
        </w:tc>
      </w:tr>
      <w:tr>
        <w:trPr>
          <w:trHeight w:val="302"/>
        </w:trPr>
        <w:tc>
          <w:tcPr>
            <w:tcW w:w="1060" w:type="dxa"/>
            <w:vAlign w:val="bottom"/>
            <w:tcBorders>
              <w:top w:val="single" w:sz="8" w:color="auto"/>
            </w:tcBorders>
            <w:gridSpan w:val="2"/>
          </w:tcPr>
          <w:p>
            <w:pPr>
              <w:spacing w:after="0"/>
              <w:rPr>
                <w:rFonts w:ascii="Arial" w:cs="Arial" w:eastAsia="Arial" w:hAnsi="Arial"/>
                <w:sz w:val="20"/>
                <w:szCs w:val="20"/>
                <w:color w:val="0000EE"/>
              </w:rPr>
            </w:pPr>
            <w:hyperlink r:id="rId73">
              <w:r>
                <w:rPr>
                  <w:rFonts w:ascii="Arial" w:cs="Arial" w:eastAsia="Arial" w:hAnsi="Arial"/>
                  <w:sz w:val="20"/>
                  <w:szCs w:val="20"/>
                  <w:color w:val="0000EE"/>
                </w:rPr>
                <w:t>10.</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0"/>
              </w:rPr>
              <w:t>Eleventh Amendment to Credit and Security Agreement, dated as of September 24, 2019, among Martin Marietta Funding LLC,</w:t>
            </w:r>
          </w:p>
        </w:tc>
      </w:tr>
      <w:tr>
        <w:trPr>
          <w:trHeight w:val="232"/>
        </w:trPr>
        <w:tc>
          <w:tcPr>
            <w:tcW w:w="46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as borrower, Martin Marietta Materials, Inc., as servicer, and SunTrust Bank, as lender together with the other lenders from time</w:t>
            </w:r>
          </w:p>
        </w:tc>
      </w:tr>
      <w:tr>
        <w:trPr>
          <w:trHeight w:val="228"/>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gridSpan w:val="2"/>
          </w:tcPr>
          <w:p>
            <w:pPr>
              <w:spacing w:after="0" w:line="229" w:lineRule="exact"/>
              <w:rPr>
                <w:sz w:val="20"/>
                <w:szCs w:val="20"/>
                <w:color w:val="auto"/>
              </w:rPr>
            </w:pPr>
            <w:r>
              <w:rPr>
                <w:rFonts w:ascii="Arial" w:cs="Arial" w:eastAsia="Arial" w:hAnsi="Arial"/>
                <w:sz w:val="20"/>
                <w:szCs w:val="20"/>
                <w:color w:val="auto"/>
                <w:w w:val="91"/>
              </w:rPr>
              <w:t>to time party thereto, and SunTrust Bank, as administrative agent for the lenders (incorporated by reference to Exhibit 10.01 to</w:t>
            </w:r>
          </w:p>
        </w:tc>
      </w:tr>
      <w:tr>
        <w:trPr>
          <w:trHeight w:val="249"/>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2"/>
              </w:rPr>
              <w:t>the Martin Marietta Materials, Inc. Current Report on Form 8-K, filed on September 24, 2019) (Commission File No. 1-12744)</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55">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Certification dated October 30, 2019 of Chief Executive Officer pursuant to Securities and Exchange Act of 1934 rule 13a-14 as</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57">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1"/>
              </w:rPr>
              <w:t>Certification dated October 30, 2019 of Chief Financial Officer pursuant to Securities and Exchange Act of 1934 rule 13a-14 as</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59">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5"/>
              </w:rPr>
              <w:t>Written Statement dated October 30 2019 of Chief Executive Officer required by 18 U.S.C. 1350, as adopted pursuant to</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60">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6"/>
              </w:rPr>
              <w:t>Written Statement dated October 30, 2019 of Chief Financial Officer required by 18 U.S.C. 1350, as adopted pursuant to</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0" w:lineRule="exact"/>
        <w:rPr>
          <w:sz w:val="20"/>
          <w:szCs w:val="20"/>
          <w:color w:val="auto"/>
        </w:rPr>
      </w:pPr>
    </w:p>
    <w:p>
      <w:pPr>
        <w:ind w:left="1180" w:hanging="1173"/>
        <w:spacing w:after="0"/>
        <w:tabs>
          <w:tab w:leader="none" w:pos="1180" w:val="left"/>
        </w:tabs>
        <w:numPr>
          <w:ilvl w:val="0"/>
          <w:numId w:val="22"/>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460" w:type="dxa"/>
            <w:vAlign w:val="bottom"/>
          </w:tcPr>
          <w:p>
            <w:pPr>
              <w:ind w:left="220"/>
              <w:spacing w:after="0"/>
              <w:rPr>
                <w:sz w:val="20"/>
                <w:szCs w:val="20"/>
                <w:color w:val="auto"/>
              </w:rPr>
            </w:pPr>
            <w:r>
              <w:rPr>
                <w:rFonts w:ascii="Arial" w:cs="Arial" w:eastAsia="Arial" w:hAnsi="Arial"/>
                <w:sz w:val="20"/>
                <w:szCs w:val="20"/>
                <w:color w:val="auto"/>
                <w:w w:val="89"/>
              </w:rPr>
              <w:t>Inline XBRL Instance Document – The instance document does not appear in the Interactive Data File because its XBRL tags are</w:t>
            </w:r>
          </w:p>
        </w:tc>
      </w:tr>
      <w:tr>
        <w:trPr>
          <w:trHeight w:val="249"/>
        </w:trPr>
        <w:tc>
          <w:tcPr>
            <w:tcW w:w="960" w:type="dxa"/>
            <w:vAlign w:val="bottom"/>
          </w:tcPr>
          <w:p>
            <w:pPr>
              <w:spacing w:after="0"/>
              <w:rPr>
                <w:sz w:val="21"/>
                <w:szCs w:val="21"/>
                <w:color w:val="auto"/>
              </w:rPr>
            </w:pPr>
          </w:p>
        </w:tc>
        <w:tc>
          <w:tcPr>
            <w:tcW w:w="10460" w:type="dxa"/>
            <w:vAlign w:val="bottom"/>
          </w:tcPr>
          <w:p>
            <w:pPr>
              <w:ind w:left="220"/>
              <w:spacing w:after="0"/>
              <w:rPr>
                <w:sz w:val="20"/>
                <w:szCs w:val="20"/>
                <w:color w:val="auto"/>
              </w:rPr>
            </w:pPr>
            <w:r>
              <w:rPr>
                <w:rFonts w:ascii="Arial" w:cs="Arial" w:eastAsia="Arial" w:hAnsi="Arial"/>
                <w:sz w:val="20"/>
                <w:szCs w:val="20"/>
                <w:color w:val="auto"/>
              </w:rPr>
              <w:t>embedded within the Inline XBRL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460" w:type="dxa"/>
            <w:vAlign w:val="bottom"/>
          </w:tcPr>
          <w:p>
            <w:pPr>
              <w:ind w:left="220"/>
              <w:spacing w:after="0"/>
              <w:rPr>
                <w:sz w:val="20"/>
                <w:szCs w:val="20"/>
                <w:color w:val="auto"/>
              </w:rPr>
            </w:pPr>
            <w:r>
              <w:rPr>
                <w:rFonts w:ascii="Arial" w:cs="Arial" w:eastAsia="Arial" w:hAnsi="Arial"/>
                <w:sz w:val="20"/>
                <w:szCs w:val="20"/>
                <w:color w:val="auto"/>
              </w:rPr>
              <w:t>Inline XBRL Taxonomy Extension Schema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460" w:type="dxa"/>
            <w:vAlign w:val="bottom"/>
          </w:tcPr>
          <w:p>
            <w:pPr>
              <w:ind w:left="22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460" w:type="dxa"/>
            <w:vAlign w:val="bottom"/>
          </w:tcPr>
          <w:p>
            <w:pPr>
              <w:ind w:left="22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460" w:type="dxa"/>
            <w:vAlign w:val="bottom"/>
          </w:tcPr>
          <w:p>
            <w:pPr>
              <w:ind w:left="22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460" w:type="dxa"/>
            <w:vAlign w:val="bottom"/>
          </w:tcPr>
          <w:p>
            <w:pPr>
              <w:ind w:left="22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100" w:lineRule="exact"/>
        <w:rPr>
          <w:sz w:val="20"/>
          <w:szCs w:val="20"/>
          <w:color w:val="auto"/>
        </w:rPr>
      </w:pPr>
    </w:p>
    <w:p>
      <w:pPr>
        <w:ind w:left="1180" w:hanging="1173"/>
        <w:spacing w:after="0"/>
        <w:tabs>
          <w:tab w:leader="none" w:pos="11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2" w:lineRule="exact"/>
        <w:rPr>
          <w:rFonts w:ascii="Arial" w:cs="Arial" w:eastAsia="Arial" w:hAnsi="Arial"/>
          <w:sz w:val="20"/>
          <w:szCs w:val="20"/>
          <w:color w:val="auto"/>
        </w:rPr>
      </w:pPr>
    </w:p>
    <w:p>
      <w:pPr>
        <w:ind w:left="5180"/>
        <w:spacing w:after="0"/>
        <w:rPr>
          <w:rFonts w:ascii="Arial" w:cs="Arial" w:eastAsia="Arial" w:hAnsi="Arial"/>
          <w:sz w:val="20"/>
          <w:szCs w:val="20"/>
          <w:color w:val="auto"/>
        </w:rPr>
      </w:pPr>
      <w:r>
        <w:rPr>
          <w:rFonts w:ascii="Arial" w:cs="Arial" w:eastAsia="Arial" w:hAnsi="Arial"/>
          <w:sz w:val="20"/>
          <w:szCs w:val="20"/>
          <w:color w:val="auto"/>
        </w:rPr>
        <w:t>Page 53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color w:val="auto"/>
        </w:rPr>
        <w:t>SIGNATURES</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49"/>
        </w:trPr>
        <w:tc>
          <w:tcPr>
            <w:tcW w:w="35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200" w:type="dxa"/>
            <w:vAlign w:val="bottom"/>
          </w:tcPr>
          <w:p>
            <w:pPr>
              <w:jc w:val="center"/>
              <w:ind w:right="2002"/>
              <w:spacing w:after="0"/>
              <w:rPr>
                <w:sz w:val="20"/>
                <w:szCs w:val="20"/>
                <w:color w:val="auto"/>
              </w:rPr>
            </w:pPr>
            <w:r>
              <w:rPr>
                <w:rFonts w:ascii="Arial" w:cs="Arial" w:eastAsia="Arial" w:hAnsi="Arial"/>
                <w:sz w:val="20"/>
                <w:szCs w:val="20"/>
                <w:color w:val="auto"/>
                <w:w w:val="89"/>
              </w:rPr>
              <w:t>(Registrant)</w:t>
            </w:r>
          </w:p>
        </w:tc>
      </w:tr>
      <w:tr>
        <w:trPr>
          <w:trHeight w:val="452"/>
        </w:trPr>
        <w:tc>
          <w:tcPr>
            <w:tcW w:w="3520" w:type="dxa"/>
            <w:vAlign w:val="bottom"/>
          </w:tcPr>
          <w:p>
            <w:pPr>
              <w:spacing w:after="0"/>
              <w:rPr>
                <w:sz w:val="20"/>
                <w:szCs w:val="20"/>
                <w:color w:val="auto"/>
              </w:rPr>
            </w:pPr>
            <w:r>
              <w:rPr>
                <w:rFonts w:ascii="Arial" w:cs="Arial" w:eastAsia="Arial" w:hAnsi="Arial"/>
                <w:sz w:val="20"/>
                <w:szCs w:val="20"/>
                <w:color w:val="auto"/>
              </w:rPr>
              <w:t>Date: October 30, 2019</w:t>
            </w:r>
          </w:p>
        </w:tc>
        <w:tc>
          <w:tcPr>
            <w:tcW w:w="7900" w:type="dxa"/>
            <w:vAlign w:val="bottom"/>
            <w:gridSpan w:val="2"/>
          </w:tcPr>
          <w:p>
            <w:pPr>
              <w:ind w:left="3300"/>
              <w:spacing w:after="0"/>
              <w:rPr>
                <w:sz w:val="20"/>
                <w:szCs w:val="20"/>
                <w:color w:val="auto"/>
              </w:rPr>
            </w:pPr>
            <w:r>
              <w:rPr>
                <w:rFonts w:ascii="Arial" w:cs="Arial" w:eastAsia="Arial" w:hAnsi="Arial"/>
                <w:sz w:val="20"/>
                <w:szCs w:val="20"/>
                <w:color w:val="auto"/>
              </w:rPr>
              <w:t>By: /s/ James A. J. Nickolas</w:t>
            </w:r>
          </w:p>
        </w:tc>
      </w:tr>
      <w:tr>
        <w:trPr>
          <w:trHeight w:val="205"/>
        </w:trPr>
        <w:tc>
          <w:tcPr>
            <w:tcW w:w="3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James A. J. Nickolas</w:t>
            </w:r>
          </w:p>
        </w:tc>
      </w:tr>
      <w:tr>
        <w:trPr>
          <w:trHeight w:val="228"/>
        </w:trPr>
        <w:tc>
          <w:tcPr>
            <w:tcW w:w="3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00" w:type="dxa"/>
            <w:vAlign w:val="bottom"/>
          </w:tcPr>
          <w:p>
            <w:pPr>
              <w:spacing w:after="0" w:line="229" w:lineRule="exact"/>
              <w:rPr>
                <w:sz w:val="20"/>
                <w:szCs w:val="20"/>
                <w:color w:val="auto"/>
              </w:rPr>
            </w:pPr>
            <w:r>
              <w:rPr>
                <w:rFonts w:ascii="Arial" w:cs="Arial" w:eastAsia="Arial" w:hAnsi="Arial"/>
                <w:sz w:val="20"/>
                <w:szCs w:val="20"/>
                <w:color w:val="auto"/>
              </w:rPr>
              <w:t>Sr. Vice President and</w:t>
            </w:r>
          </w:p>
        </w:tc>
      </w:tr>
      <w:tr>
        <w:trPr>
          <w:trHeight w:val="249"/>
        </w:trPr>
        <w:tc>
          <w:tcPr>
            <w:tcW w:w="35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200" w:type="dxa"/>
            <w:vAlign w:val="bottom"/>
          </w:tcPr>
          <w:p>
            <w:pPr>
              <w:jc w:val="center"/>
              <w:ind w:right="1982"/>
              <w:spacing w:after="0"/>
              <w:rPr>
                <w:sz w:val="20"/>
                <w:szCs w:val="20"/>
                <w:color w:val="auto"/>
              </w:rPr>
            </w:pPr>
            <w:r>
              <w:rPr>
                <w:rFonts w:ascii="Arial" w:cs="Arial" w:eastAsia="Arial" w:hAnsi="Arial"/>
                <w:sz w:val="20"/>
                <w:szCs w:val="20"/>
                <w:color w:val="auto"/>
                <w:w w:val="93"/>
              </w:rPr>
              <w:t>Chief Financial Officer</w:t>
            </w:r>
          </w:p>
        </w:tc>
      </w:tr>
      <w:tr>
        <w:trPr>
          <w:trHeight w:val="900"/>
        </w:trPr>
        <w:tc>
          <w:tcPr>
            <w:tcW w:w="3520" w:type="dxa"/>
            <w:vAlign w:val="bottom"/>
          </w:tcPr>
          <w:p>
            <w:pPr>
              <w:spacing w:after="0"/>
              <w:rPr>
                <w:sz w:val="24"/>
                <w:szCs w:val="24"/>
                <w:color w:val="auto"/>
              </w:rPr>
            </w:pPr>
          </w:p>
        </w:tc>
        <w:tc>
          <w:tcPr>
            <w:tcW w:w="7900" w:type="dxa"/>
            <w:vAlign w:val="bottom"/>
            <w:gridSpan w:val="2"/>
          </w:tcPr>
          <w:p>
            <w:pPr>
              <w:ind w:left="1660"/>
              <w:spacing w:after="0"/>
              <w:rPr>
                <w:sz w:val="20"/>
                <w:szCs w:val="20"/>
                <w:color w:val="auto"/>
              </w:rPr>
            </w:pPr>
            <w:r>
              <w:rPr>
                <w:rFonts w:ascii="Arial" w:cs="Arial" w:eastAsia="Arial" w:hAnsi="Arial"/>
                <w:sz w:val="20"/>
                <w:szCs w:val="20"/>
                <w:color w:val="auto"/>
              </w:rPr>
              <w:t>Page 54 of 54</w:t>
            </w:r>
          </w:p>
        </w:tc>
      </w:tr>
    </w:tbl>
    <w:p>
      <w:pPr>
        <w:sectPr>
          <w:pgSz w:w="11900" w:h="16838" w:orient="portrait"/>
          <w:cols w:equalWidth="0" w:num="1">
            <w:col w:w="11420"/>
          </w:cols>
          <w:pgMar w:left="240" w:top="35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2" w:lineRule="exact"/>
        <w:rPr>
          <w:sz w:val="20"/>
          <w:szCs w:val="20"/>
          <w:color w:val="auto"/>
        </w:rPr>
      </w:pPr>
    </w:p>
    <w:p>
      <w:pPr>
        <w:jc w:val="center"/>
        <w:spacing w:after="0" w:line="264"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7" w:lineRule="exact"/>
        <w:rPr>
          <w:sz w:val="20"/>
          <w:szCs w:val="20"/>
          <w:color w:val="auto"/>
        </w:rPr>
      </w:pPr>
    </w:p>
    <w:p>
      <w:pPr>
        <w:ind w:left="1300" w:hanging="420"/>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6"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6"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55" w:name="page56"/>
    <w:bookmarkEnd w:id="55"/>
    <w:p>
      <w:pPr>
        <w:spacing w:after="0" w:line="39" w:lineRule="exact"/>
        <w:rPr>
          <w:sz w:val="20"/>
          <w:szCs w:val="20"/>
          <w:color w:val="auto"/>
        </w:rPr>
      </w:pPr>
    </w:p>
    <w:p>
      <w:pPr>
        <w:jc w:val="both"/>
        <w:ind w:left="1300" w:hanging="420"/>
        <w:spacing w:after="0" w:line="248"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20"/>
          <w:szCs w:val="20"/>
          <w:color w:val="auto"/>
        </w:rPr>
      </w:pPr>
    </w:p>
    <w:p>
      <w:pPr>
        <w:ind w:left="2180" w:hanging="427"/>
        <w:spacing w:after="0" w:line="258" w:lineRule="auto"/>
        <w:tabs>
          <w:tab w:leader="none" w:pos="21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0"/>
                <w:szCs w:val="20"/>
                <w:color w:val="auto"/>
              </w:rPr>
            </w:pPr>
            <w:r>
              <w:rPr>
                <w:rFonts w:ascii="Arial" w:cs="Arial" w:eastAsia="Arial" w:hAnsi="Arial"/>
                <w:sz w:val="20"/>
                <w:szCs w:val="20"/>
                <w:color w:val="auto"/>
              </w:rPr>
              <w:t>Date: October 30, 2019</w:t>
            </w:r>
          </w:p>
        </w:tc>
        <w:tc>
          <w:tcPr>
            <w:tcW w:w="7040" w:type="dxa"/>
            <w:vAlign w:val="bottom"/>
            <w:gridSpan w:val="2"/>
          </w:tcPr>
          <w:p>
            <w:pPr>
              <w:ind w:left="2480"/>
              <w:spacing w:after="0"/>
              <w:rPr>
                <w:sz w:val="20"/>
                <w:szCs w:val="20"/>
                <w:color w:val="auto"/>
              </w:rPr>
            </w:pPr>
            <w:r>
              <w:rPr>
                <w:rFonts w:ascii="Arial" w:cs="Arial" w:eastAsia="Arial" w:hAnsi="Arial"/>
                <w:sz w:val="20"/>
                <w:szCs w:val="20"/>
                <w:color w:val="auto"/>
              </w:rPr>
              <w:t>By:  /s/ C. Howard Nye</w:t>
            </w:r>
          </w:p>
        </w:tc>
      </w:tr>
      <w:tr>
        <w:trPr>
          <w:trHeight w:val="205"/>
        </w:trPr>
        <w:tc>
          <w:tcPr>
            <w:tcW w:w="4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10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C. Howard Nye</w:t>
            </w:r>
          </w:p>
        </w:tc>
      </w:tr>
      <w:tr>
        <w:trPr>
          <w:trHeight w:val="228"/>
        </w:trPr>
        <w:tc>
          <w:tcPr>
            <w:tcW w:w="4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00" w:type="dxa"/>
            <w:vAlign w:val="bottom"/>
          </w:tcPr>
          <w:p>
            <w:pPr>
              <w:spacing w:after="0" w:line="229" w:lineRule="exact"/>
              <w:rPr>
                <w:sz w:val="20"/>
                <w:szCs w:val="20"/>
                <w:color w:val="auto"/>
              </w:rPr>
            </w:pPr>
            <w:r>
              <w:rPr>
                <w:rFonts w:ascii="Arial" w:cs="Arial" w:eastAsia="Arial" w:hAnsi="Arial"/>
                <w:sz w:val="20"/>
                <w:szCs w:val="20"/>
                <w:color w:val="auto"/>
              </w:rPr>
              <w:t>Chairman, President and</w:t>
            </w:r>
          </w:p>
        </w:tc>
      </w:tr>
      <w:tr>
        <w:trPr>
          <w:trHeight w:val="249"/>
        </w:trPr>
        <w:tc>
          <w:tcPr>
            <w:tcW w:w="4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2" w:lineRule="exact"/>
        <w:rPr>
          <w:sz w:val="20"/>
          <w:szCs w:val="20"/>
          <w:color w:val="auto"/>
        </w:rPr>
      </w:pPr>
    </w:p>
    <w:p>
      <w:pPr>
        <w:jc w:val="center"/>
        <w:spacing w:after="0" w:line="264"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7" w:lineRule="exact"/>
        <w:rPr>
          <w:sz w:val="20"/>
          <w:szCs w:val="20"/>
          <w:color w:val="auto"/>
        </w:rPr>
      </w:pPr>
    </w:p>
    <w:p>
      <w:pPr>
        <w:ind w:left="1300" w:hanging="420"/>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6"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6"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478155</wp:posOffset>
            </wp:positionV>
            <wp:extent cx="728980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57" w:name="page58"/>
    <w:bookmarkEnd w:id="57"/>
    <w:p>
      <w:pPr>
        <w:spacing w:after="0" w:line="39" w:lineRule="exact"/>
        <w:rPr>
          <w:sz w:val="20"/>
          <w:szCs w:val="20"/>
          <w:color w:val="auto"/>
        </w:rPr>
      </w:pPr>
    </w:p>
    <w:p>
      <w:pPr>
        <w:jc w:val="both"/>
        <w:ind w:left="1300" w:hanging="420"/>
        <w:spacing w:after="0" w:line="248" w:lineRule="auto"/>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20"/>
          <w:szCs w:val="20"/>
          <w:color w:val="auto"/>
        </w:rPr>
      </w:pPr>
    </w:p>
    <w:p>
      <w:pPr>
        <w:ind w:left="2180" w:hanging="427"/>
        <w:spacing w:after="0" w:line="258" w:lineRule="auto"/>
        <w:tabs>
          <w:tab w:leader="none" w:pos="21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0"/>
                <w:szCs w:val="20"/>
                <w:color w:val="auto"/>
              </w:rPr>
            </w:pPr>
            <w:r>
              <w:rPr>
                <w:rFonts w:ascii="Arial" w:cs="Arial" w:eastAsia="Arial" w:hAnsi="Arial"/>
                <w:sz w:val="20"/>
                <w:szCs w:val="20"/>
                <w:color w:val="auto"/>
              </w:rPr>
              <w:t>Date: October 30, 2019</w:t>
            </w:r>
          </w:p>
        </w:tc>
        <w:tc>
          <w:tcPr>
            <w:tcW w:w="7080" w:type="dxa"/>
            <w:vAlign w:val="bottom"/>
            <w:gridSpan w:val="2"/>
          </w:tcPr>
          <w:p>
            <w:pPr>
              <w:ind w:left="2520"/>
              <w:spacing w:after="0"/>
              <w:rPr>
                <w:sz w:val="20"/>
                <w:szCs w:val="20"/>
                <w:color w:val="auto"/>
              </w:rPr>
            </w:pPr>
            <w:r>
              <w:rPr>
                <w:rFonts w:ascii="Arial" w:cs="Arial" w:eastAsia="Arial" w:hAnsi="Arial"/>
                <w:sz w:val="20"/>
                <w:szCs w:val="20"/>
                <w:color w:val="auto"/>
              </w:rPr>
              <w:t>By:  /s/ James A. J. Nickolas</w:t>
            </w:r>
          </w:p>
        </w:tc>
      </w:tr>
      <w:tr>
        <w:trPr>
          <w:trHeight w:val="205"/>
        </w:trPr>
        <w:tc>
          <w:tcPr>
            <w:tcW w:w="4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2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James A. J. Nickolas</w:t>
            </w:r>
          </w:p>
        </w:tc>
      </w:tr>
      <w:tr>
        <w:trPr>
          <w:trHeight w:val="228"/>
        </w:trPr>
        <w:tc>
          <w:tcPr>
            <w:tcW w:w="4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20" w:type="dxa"/>
            <w:vAlign w:val="bottom"/>
          </w:tcPr>
          <w:p>
            <w:pPr>
              <w:spacing w:after="0" w:line="229" w:lineRule="exact"/>
              <w:rPr>
                <w:sz w:val="20"/>
                <w:szCs w:val="20"/>
                <w:color w:val="auto"/>
              </w:rPr>
            </w:pPr>
            <w:r>
              <w:rPr>
                <w:rFonts w:ascii="Arial" w:cs="Arial" w:eastAsia="Arial" w:hAnsi="Arial"/>
                <w:sz w:val="20"/>
                <w:szCs w:val="20"/>
                <w:color w:val="auto"/>
              </w:rPr>
              <w:t>Sr. Vice President and</w:t>
            </w:r>
          </w:p>
        </w:tc>
      </w:tr>
      <w:tr>
        <w:trPr>
          <w:trHeight w:val="249"/>
        </w:trPr>
        <w:tc>
          <w:tcPr>
            <w:tcW w:w="43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0"/>
          <w:szCs w:val="20"/>
          <w:color w:val="auto"/>
        </w:rPr>
        <w:t>In connection with the Quarterly Report on Form 10-Q for the period ended September 30, 2019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60" w:hanging="880"/>
        <w:spacing w:after="0" w:line="258" w:lineRule="auto"/>
        <w:tabs>
          <w:tab w:leader="none" w:pos="17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60" w:right="20" w:hanging="880"/>
        <w:spacing w:after="0" w:line="258" w:lineRule="auto"/>
        <w:tabs>
          <w:tab w:leader="none" w:pos="17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9525</wp:posOffset>
            </wp:positionV>
            <wp:extent cx="28987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October 30, 2019</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32.02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0"/>
          <w:szCs w:val="20"/>
          <w:color w:val="auto"/>
        </w:rPr>
        <w:t>In connection with the Quarterly Report on Form 10-Q for the period ended September 30, 2019 (the “Report”) of Martin Marietta Materials, Inc. (the “Registrant”), as filed with the Securities and Exchange Commission on the date hereof, I, James A. J. Nickolas, the Chief Financial Officer of the Registrant, certify, to the best of my knowledge, that:</w:t>
      </w:r>
    </w:p>
    <w:p>
      <w:pPr>
        <w:spacing w:after="0" w:line="200" w:lineRule="exact"/>
        <w:rPr>
          <w:sz w:val="20"/>
          <w:szCs w:val="20"/>
          <w:color w:val="auto"/>
        </w:rPr>
      </w:pPr>
    </w:p>
    <w:p>
      <w:pPr>
        <w:ind w:left="1760" w:hanging="880"/>
        <w:spacing w:after="0" w:line="258" w:lineRule="auto"/>
        <w:tabs>
          <w:tab w:leader="none" w:pos="1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60" w:right="20" w:hanging="880"/>
        <w:spacing w:after="0" w:line="258" w:lineRule="auto"/>
        <w:tabs>
          <w:tab w:leader="none" w:pos="1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9525</wp:posOffset>
            </wp:positionV>
            <wp:extent cx="28987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James A. J. Nickolas</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Sr.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October 30, 2019</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95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Corporation presents the following items regarding certain mining safety and health matters for the three months ended September 30, 2019:</w:t>
      </w:r>
    </w:p>
    <w:p>
      <w:pPr>
        <w:spacing w:after="0" w:line="190" w:lineRule="exact"/>
        <w:rPr>
          <w:sz w:val="20"/>
          <w:szCs w:val="20"/>
          <w:color w:val="auto"/>
        </w:rPr>
      </w:pPr>
    </w:p>
    <w:p>
      <w:pPr>
        <w:jc w:val="both"/>
        <w:ind w:left="440" w:hanging="433"/>
        <w:spacing w:after="0" w:line="242" w:lineRule="auto"/>
        <w:tabs>
          <w:tab w:leader="none" w:pos="44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79" w:lineRule="exact"/>
        <w:rPr>
          <w:rFonts w:ascii="Arial" w:cs="Arial" w:eastAsia="Arial" w:hAnsi="Arial"/>
          <w:sz w:val="20"/>
          <w:szCs w:val="20"/>
          <w:b w:val="1"/>
          <w:bCs w:val="1"/>
          <w:color w:val="auto"/>
        </w:rPr>
      </w:pPr>
    </w:p>
    <w:p>
      <w:pPr>
        <w:jc w:val="both"/>
        <w:ind w:left="440" w:hanging="433"/>
        <w:spacing w:after="0" w:line="244" w:lineRule="auto"/>
        <w:tabs>
          <w:tab w:leader="none" w:pos="44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6" w:lineRule="exact"/>
        <w:rPr>
          <w:rFonts w:ascii="Arial" w:cs="Arial" w:eastAsia="Arial" w:hAnsi="Arial"/>
          <w:sz w:val="20"/>
          <w:szCs w:val="20"/>
          <w:b w:val="1"/>
          <w:bCs w:val="1"/>
          <w:color w:val="auto"/>
        </w:rPr>
      </w:pPr>
    </w:p>
    <w:p>
      <w:pPr>
        <w:jc w:val="both"/>
        <w:ind w:left="440" w:hanging="433"/>
        <w:spacing w:after="0" w:line="313" w:lineRule="auto"/>
        <w:tabs>
          <w:tab w:leader="none" w:pos="44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424815</wp:posOffset>
            </wp:positionV>
            <wp:extent cx="728980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ind w:left="440"/>
        <w:spacing w:after="0" w:line="259"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90" w:lineRule="exact"/>
        <w:rPr>
          <w:sz w:val="20"/>
          <w:szCs w:val="20"/>
          <w:color w:val="auto"/>
        </w:rPr>
      </w:pPr>
    </w:p>
    <w:p>
      <w:pPr>
        <w:jc w:val="both"/>
        <w:ind w:left="440" w:hanging="433"/>
        <w:spacing w:after="0" w:line="302" w:lineRule="auto"/>
        <w:tabs>
          <w:tab w:leader="none" w:pos="4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57" w:lineRule="exact"/>
        <w:rPr>
          <w:rFonts w:ascii="Arial" w:cs="Arial" w:eastAsia="Arial" w:hAnsi="Arial"/>
          <w:sz w:val="17"/>
          <w:szCs w:val="17"/>
          <w:b w:val="1"/>
          <w:bCs w:val="1"/>
          <w:color w:val="auto"/>
        </w:rPr>
      </w:pPr>
    </w:p>
    <w:p>
      <w:pPr>
        <w:jc w:val="both"/>
        <w:ind w:left="440" w:hanging="433"/>
        <w:spacing w:after="0" w:line="262" w:lineRule="auto"/>
        <w:tabs>
          <w:tab w:leader="none" w:pos="44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7" w:lineRule="exact"/>
        <w:rPr>
          <w:rFonts w:ascii="Arial" w:cs="Arial" w:eastAsia="Arial" w:hAnsi="Arial"/>
          <w:sz w:val="19"/>
          <w:szCs w:val="19"/>
          <w:b w:val="1"/>
          <w:bCs w:val="1"/>
          <w:color w:val="auto"/>
        </w:rPr>
      </w:pPr>
    </w:p>
    <w:p>
      <w:pPr>
        <w:jc w:val="both"/>
        <w:ind w:left="440" w:hanging="433"/>
        <w:spacing w:after="0" w:line="262" w:lineRule="auto"/>
        <w:tabs>
          <w:tab w:leader="none" w:pos="44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87" w:lineRule="exact"/>
        <w:rPr>
          <w:rFonts w:ascii="Arial" w:cs="Arial" w:eastAsia="Arial" w:hAnsi="Arial"/>
          <w:sz w:val="19"/>
          <w:szCs w:val="19"/>
          <w:b w:val="1"/>
          <w:bCs w:val="1"/>
          <w:color w:val="auto"/>
        </w:rPr>
      </w:pPr>
    </w:p>
    <w:p>
      <w:pPr>
        <w:jc w:val="both"/>
        <w:ind w:left="440" w:hanging="433"/>
        <w:spacing w:after="0" w:line="313" w:lineRule="auto"/>
        <w:tabs>
          <w:tab w:leader="none" w:pos="4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48" w:lineRule="exact"/>
        <w:rPr>
          <w:rFonts w:ascii="Arial" w:cs="Arial" w:eastAsia="Arial" w:hAnsi="Arial"/>
          <w:sz w:val="17"/>
          <w:szCs w:val="17"/>
          <w:b w:val="1"/>
          <w:bCs w:val="1"/>
          <w:color w:val="auto"/>
        </w:rPr>
      </w:pPr>
    </w:p>
    <w:p>
      <w:pPr>
        <w:jc w:val="both"/>
        <w:ind w:left="440" w:hanging="433"/>
        <w:spacing w:after="0" w:line="262" w:lineRule="auto"/>
        <w:tabs>
          <w:tab w:leader="none" w:pos="44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87" w:lineRule="exact"/>
        <w:rPr>
          <w:rFonts w:ascii="Arial" w:cs="Arial" w:eastAsia="Arial" w:hAnsi="Arial"/>
          <w:sz w:val="19"/>
          <w:szCs w:val="19"/>
          <w:b w:val="1"/>
          <w:bCs w:val="1"/>
          <w:color w:val="auto"/>
        </w:rPr>
      </w:pPr>
    </w:p>
    <w:p>
      <w:pPr>
        <w:ind w:left="440" w:hanging="433"/>
        <w:spacing w:after="0"/>
        <w:tabs>
          <w:tab w:leader="none" w:pos="44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6" w:lineRule="exact"/>
        <w:rPr>
          <w:rFonts w:ascii="Arial" w:cs="Arial" w:eastAsia="Arial" w:hAnsi="Arial"/>
          <w:sz w:val="20"/>
          <w:szCs w:val="20"/>
          <w:b w:val="1"/>
          <w:bCs w:val="1"/>
          <w:color w:val="auto"/>
        </w:rPr>
      </w:pPr>
    </w:p>
    <w:p>
      <w:pPr>
        <w:ind w:left="440" w:hanging="433"/>
        <w:spacing w:after="0"/>
        <w:tabs>
          <w:tab w:leader="none" w:pos="44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6" w:lineRule="exact"/>
        <w:rPr>
          <w:rFonts w:ascii="Arial" w:cs="Arial" w:eastAsia="Arial" w:hAnsi="Arial"/>
          <w:sz w:val="20"/>
          <w:szCs w:val="20"/>
          <w:b w:val="1"/>
          <w:bCs w:val="1"/>
          <w:color w:val="auto"/>
        </w:rPr>
      </w:pPr>
    </w:p>
    <w:p>
      <w:pPr>
        <w:ind w:left="440" w:hanging="433"/>
        <w:spacing w:after="0"/>
        <w:tabs>
          <w:tab w:leader="none" w:pos="44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457835</wp:posOffset>
            </wp:positionV>
            <wp:extent cx="72898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Corporation’s quarries and mines identified, as of September 30, 2019,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764540</wp:posOffset>
            </wp:positionV>
            <wp:extent cx="72898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1"/>
        </w:trPr>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gridSpan w:val="3"/>
          </w:tcPr>
          <w:p>
            <w:pPr>
              <w:ind w:left="600"/>
              <w:spacing w:after="0"/>
              <w:rPr>
                <w:sz w:val="20"/>
                <w:szCs w:val="20"/>
                <w:color w:val="auto"/>
              </w:rPr>
            </w:pPr>
            <w:r>
              <w:rPr>
                <w:rFonts w:ascii="Arial" w:cs="Arial" w:eastAsia="Arial" w:hAnsi="Arial"/>
                <w:sz w:val="20"/>
                <w:szCs w:val="20"/>
                <w:color w:val="auto"/>
                <w:w w:val="99"/>
              </w:rPr>
              <w:t>Appendix 1</w:t>
            </w:r>
          </w:p>
        </w:tc>
      </w:tr>
      <w:tr>
        <w:trPr>
          <w:trHeight w:val="443"/>
        </w:trPr>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line="229" w:lineRule="exact"/>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Total</w:t>
            </w:r>
          </w:p>
        </w:tc>
        <w:tc>
          <w:tcPr>
            <w:tcW w:w="2280" w:type="dxa"/>
            <w:vAlign w:val="bottom"/>
            <w:gridSpan w:val="3"/>
          </w:tcPr>
          <w:p>
            <w:pPr>
              <w:jc w:val="center"/>
              <w:spacing w:after="0" w:line="229" w:lineRule="exact"/>
              <w:rPr>
                <w:sz w:val="20"/>
                <w:szCs w:val="20"/>
                <w:color w:val="auto"/>
              </w:rPr>
            </w:pPr>
            <w:r>
              <w:rPr>
                <w:rFonts w:ascii="Arial" w:cs="Arial" w:eastAsia="Arial" w:hAnsi="Arial"/>
                <w:sz w:val="20"/>
                <w:szCs w:val="20"/>
                <w:b w:val="1"/>
                <w:bCs w:val="1"/>
                <w:color w:val="auto"/>
                <w:w w:val="90"/>
              </w:rPr>
              <w:t>Pattern Potential Actions</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2"/>
              </w:rPr>
              <w:t>Number</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5"/>
              </w:rPr>
              <w:t>of</w:t>
            </w:r>
          </w:p>
        </w:tc>
        <w:tc>
          <w:tcPr>
            <w:tcW w:w="1500" w:type="dxa"/>
            <w:vAlign w:val="bottom"/>
            <w:gridSpan w:val="2"/>
          </w:tcPr>
          <w:p>
            <w:pPr>
              <w:ind w:left="100"/>
              <w:spacing w:after="0" w:line="229" w:lineRule="exact"/>
              <w:rPr>
                <w:sz w:val="20"/>
                <w:szCs w:val="20"/>
                <w:color w:val="auto"/>
              </w:rPr>
            </w:pPr>
            <w:r>
              <w:rPr>
                <w:rFonts w:ascii="Arial" w:cs="Arial" w:eastAsia="Arial" w:hAnsi="Arial"/>
                <w:sz w:val="20"/>
                <w:szCs w:val="20"/>
                <w:b w:val="1"/>
                <w:bCs w:val="1"/>
                <w:color w:val="auto"/>
                <w:w w:val="89"/>
              </w:rPr>
              <w:t>to have Pending</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Legal</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87"/>
              </w:rPr>
              <w:t>Legal</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8"/>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82"/>
              <w:spacing w:after="0" w:line="229" w:lineRule="exact"/>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spacing w:after="0" w:line="229" w:lineRule="exact"/>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5"/>
              </w:rPr>
              <w:t>as of</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7"/>
              </w:rPr>
              <w:t>Actions</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84"/>
              </w:rPr>
              <w:t>Actions</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0" w:type="dxa"/>
            <w:vAlign w:val="bottom"/>
            <w:gridSpan w:val="3"/>
          </w:tcPr>
          <w:p>
            <w:pPr>
              <w:ind w:left="80"/>
              <w:spacing w:after="0" w:line="229" w:lineRule="exact"/>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line="229" w:lineRule="exact"/>
              <w:rPr>
                <w:sz w:val="20"/>
                <w:szCs w:val="20"/>
                <w:color w:val="auto"/>
              </w:rPr>
            </w:pPr>
            <w:r>
              <w:rPr>
                <w:rFonts w:ascii="Arial" w:cs="Arial" w:eastAsia="Arial" w:hAnsi="Arial"/>
                <w:sz w:val="20"/>
                <w:szCs w:val="20"/>
                <w:b w:val="1"/>
                <w:bCs w:val="1"/>
                <w:color w:val="auto"/>
                <w:w w:val="91"/>
              </w:rPr>
              <w:t>Section</w:t>
            </w:r>
          </w:p>
        </w:tc>
        <w:tc>
          <w:tcPr>
            <w:tcW w:w="7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3"/>
              </w:rPr>
              <w:t>Mining</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7"/>
              </w:rPr>
              <w:t>Last</w:t>
            </w:r>
          </w:p>
        </w:tc>
        <w:tc>
          <w:tcPr>
            <w:tcW w:w="1620" w:type="dxa"/>
            <w:vAlign w:val="bottom"/>
            <w:gridSpan w:val="3"/>
          </w:tcPr>
          <w:p>
            <w:pPr>
              <w:spacing w:after="0" w:line="229" w:lineRule="exact"/>
              <w:rPr>
                <w:sz w:val="20"/>
                <w:szCs w:val="20"/>
                <w:color w:val="auto"/>
              </w:rPr>
            </w:pPr>
            <w:r>
              <w:rPr>
                <w:rFonts w:ascii="Arial" w:cs="Arial" w:eastAsia="Arial" w:hAnsi="Arial"/>
                <w:sz w:val="20"/>
                <w:szCs w:val="20"/>
                <w:b w:val="1"/>
                <w:bCs w:val="1"/>
                <w:color w:val="auto"/>
                <w:w w:val="86"/>
              </w:rPr>
              <w:t>Instituted Resolved</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2"/>
          </w:tcPr>
          <w:p>
            <w:pPr>
              <w:ind w:left="20"/>
              <w:spacing w:after="0" w:line="229" w:lineRule="exact"/>
              <w:rPr>
                <w:sz w:val="20"/>
                <w:szCs w:val="20"/>
                <w:color w:val="auto"/>
              </w:rPr>
            </w:pPr>
            <w:r>
              <w:rPr>
                <w:rFonts w:ascii="Arial" w:cs="Arial" w:eastAsia="Arial" w:hAnsi="Arial"/>
                <w:sz w:val="20"/>
                <w:szCs w:val="20"/>
                <w:b w:val="1"/>
                <w:bCs w:val="1"/>
                <w:color w:val="auto"/>
                <w:w w:val="96"/>
              </w:rPr>
              <w:t>104 S&amp;S 104(b)</w:t>
            </w: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8"/>
              </w:rPr>
              <w:t>Related</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Day of</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3"/>
              </w:rPr>
              <w:t>During</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93"/>
              </w:rPr>
              <w:t>During</w:t>
            </w:r>
          </w:p>
        </w:tc>
      </w:tr>
      <w:tr>
        <w:trPr>
          <w:trHeight w:val="228"/>
        </w:trPr>
        <w:tc>
          <w:tcPr>
            <w:tcW w:w="1240" w:type="dxa"/>
            <w:vAlign w:val="bottom"/>
          </w:tcPr>
          <w:p>
            <w:pPr>
              <w:spacing w:after="0"/>
              <w:rPr>
                <w:sz w:val="19"/>
                <w:szCs w:val="19"/>
                <w:color w:val="auto"/>
              </w:rPr>
            </w:pPr>
          </w:p>
        </w:tc>
        <w:tc>
          <w:tcPr>
            <w:tcW w:w="2180" w:type="dxa"/>
            <w:vAlign w:val="bottom"/>
            <w:gridSpan w:val="3"/>
          </w:tcPr>
          <w:p>
            <w:pPr>
              <w:ind w:left="80"/>
              <w:spacing w:after="0" w:line="229"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w w:val="87"/>
              </w:rPr>
              <w:t>Violations Orders</w:t>
            </w:r>
          </w:p>
        </w:tc>
        <w:tc>
          <w:tcPr>
            <w:tcW w:w="1920" w:type="dxa"/>
            <w:vAlign w:val="bottom"/>
            <w:gridSpan w:val="3"/>
          </w:tcPr>
          <w:p>
            <w:pPr>
              <w:ind w:left="40"/>
              <w:spacing w:after="0" w:line="229" w:lineRule="exact"/>
              <w:rPr>
                <w:sz w:val="20"/>
                <w:szCs w:val="20"/>
                <w:color w:val="auto"/>
              </w:rPr>
            </w:pPr>
            <w:r>
              <w:rPr>
                <w:rFonts w:ascii="Arial" w:cs="Arial" w:eastAsia="Arial" w:hAnsi="Arial"/>
                <w:sz w:val="20"/>
                <w:szCs w:val="20"/>
                <w:b w:val="1"/>
                <w:bCs w:val="1"/>
                <w:color w:val="auto"/>
                <w:w w:val="86"/>
              </w:rPr>
              <w:t>Assessment/ Fatalities</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Period</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89"/>
              </w:rPr>
              <w:t>Period</w:t>
            </w:r>
          </w:p>
        </w:tc>
      </w:tr>
      <w:tr>
        <w:trPr>
          <w:trHeight w:val="251"/>
        </w:trPr>
        <w:tc>
          <w:tcPr>
            <w:tcW w:w="1240" w:type="dxa"/>
            <w:vAlign w:val="bottom"/>
          </w:tcPr>
          <w:p>
            <w:pPr>
              <w:ind w:left="26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1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20" w:type="dxa"/>
            <w:vAlign w:val="bottom"/>
          </w:tcPr>
          <w:p>
            <w:pPr>
              <w:jc w:val="center"/>
              <w:ind w:left="2"/>
              <w:spacing w:after="0"/>
              <w:rPr>
                <w:sz w:val="20"/>
                <w:szCs w:val="20"/>
                <w:color w:val="auto"/>
              </w:rPr>
            </w:pPr>
            <w:r>
              <w:rPr>
                <w:rFonts w:ascii="Arial" w:cs="Arial" w:eastAsia="Arial" w:hAnsi="Arial"/>
                <w:sz w:val="20"/>
                <w:szCs w:val="20"/>
                <w:b w:val="1"/>
                <w:bCs w:val="1"/>
                <w:color w:val="auto"/>
                <w:w w:val="89"/>
              </w:rPr>
              <w:t>(#)</w:t>
            </w:r>
          </w:p>
        </w:tc>
        <w:tc>
          <w:tcPr>
            <w:tcW w:w="80" w:type="dxa"/>
            <w:vAlign w:val="bottom"/>
          </w:tcPr>
          <w:p>
            <w:pPr>
              <w:spacing w:after="0"/>
              <w:rPr>
                <w:sz w:val="21"/>
                <w:szCs w:val="21"/>
                <w:color w:val="auto"/>
              </w:rPr>
            </w:pPr>
          </w:p>
        </w:tc>
      </w:tr>
      <w:tr>
        <w:trPr>
          <w:trHeight w:val="242"/>
        </w:trPr>
        <w:tc>
          <w:tcPr>
            <w:tcW w:w="198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2"/>
              </w:rPr>
              <w:t>Amelia Quarry 4407372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American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Stone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3100189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Anderson</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Creek 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4402963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Arrowood</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Asheboro</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4"/>
              </w:rPr>
              <w:t>Bakers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3100071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Belgrade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Arial" w:cs="Arial" w:eastAsia="Arial" w:hAnsi="Arial"/>
                <w:sz w:val="20"/>
                <w:szCs w:val="20"/>
                <w:color w:val="auto"/>
                <w:w w:val="89"/>
              </w:rPr>
              <w:t>Benson Quarry 3101979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Berkeley</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3800072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w w:val="93"/>
              </w:rPr>
              <w:t>Bessemer City</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3101105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Black Ankle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3102220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8"/>
              </w:rPr>
              <w:t>Bonds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Boonesboro</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Burlington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Caldwell</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6"/>
              </w:rPr>
              <w:t>Calhoun Sand</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3800716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Castle Hayne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rPr>
              <w:t>Cayce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3800016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Central Rock</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3100050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Charlotte</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3100057</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Churchville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1800012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8"/>
              </w:rPr>
              <w:t>Clarks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3102009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196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Cumberland</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3102237</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Arial" w:cs="Arial" w:eastAsia="Arial" w:hAnsi="Arial"/>
                <w:sz w:val="20"/>
                <w:szCs w:val="20"/>
                <w:color w:val="auto"/>
                <w:w w:val="91"/>
              </w:rPr>
              <w:t>Denver Quarry 3101971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Doswell</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 VA</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4400045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w w:val="90"/>
              </w:rPr>
              <w:t>East Alamance</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3102021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344</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754"/>
        </w:trPr>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Edmund Sand</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3800662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Fountain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3100065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Franklin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3102130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Frederick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1800013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3102055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Garner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3100072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Georgetown II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3800525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w w:val="99"/>
              </w:rPr>
              <w:t>Greensboro Portable Plt</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3102336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2"/>
              </w:rPr>
              <w:t>Greensboro Portable Plt II</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3102335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Hickory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3100043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Hicone</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3102088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Jamestown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3100051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Kannapolis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3100070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Kent Sand &amp; Gravel</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1800745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Kings Mountain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3100047</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Lemon Springs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3101104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3800721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Maiden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3102125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Mallard Creek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3102006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Matthews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3102084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Medford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1800035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Midlothian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4403767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6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Misc - South Carolina</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District</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TBD</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w w:val="97"/>
              </w:rPr>
              <w:t>Misc Greensboro District</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rPr>
              <w:t>B8611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3800146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North East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1800417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3800702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Onslow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3102120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Pinesburg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1800021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647</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Pomona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3100052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Raleigh Durham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3101941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Red Hill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4400072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7"/>
              </w:rPr>
              <w:t>3100068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Rock Hill Quarry</w:t>
            </w:r>
          </w:p>
        </w:tc>
        <w:tc>
          <w:tcPr>
            <w:tcW w:w="940" w:type="dxa"/>
            <w:vAlign w:val="bottom"/>
          </w:tcPr>
          <w:p>
            <w:pPr>
              <w:jc w:val="right"/>
              <w:ind w:right="62"/>
              <w:spacing w:after="0"/>
              <w:rPr>
                <w:sz w:val="20"/>
                <w:szCs w:val="20"/>
                <w:color w:val="auto"/>
              </w:rPr>
            </w:pPr>
            <w:r>
              <w:rPr>
                <w:rFonts w:ascii="Arial" w:cs="Arial" w:eastAsia="Arial" w:hAnsi="Arial"/>
                <w:sz w:val="20"/>
                <w:szCs w:val="20"/>
                <w:color w:val="auto"/>
                <w:w w:val="97"/>
              </w:rPr>
              <w:t>3800026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3102038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Statesville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3100055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1800009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Thomasville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3101475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Warfordsburg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3600168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Wilmington Sand</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3101308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3102230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Woodleaf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3100069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(45) North Indianapolis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1200002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363</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Apple Grove S G</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3301676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1201911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tcPr>
          <w:p>
            <w:pPr>
              <w:spacing w:after="0" w:line="225" w:lineRule="exact"/>
              <w:rPr>
                <w:sz w:val="20"/>
                <w:szCs w:val="20"/>
                <w:color w:val="auto"/>
              </w:rPr>
            </w:pPr>
            <w:r>
              <w:rPr>
                <w:rFonts w:ascii="Arial" w:cs="Arial" w:eastAsia="Arial" w:hAnsi="Arial"/>
                <w:sz w:val="20"/>
                <w:szCs w:val="20"/>
                <w:color w:val="auto"/>
              </w:rPr>
              <w:t>Bowling Green North</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2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1500065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Bowling Green South</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1500025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Burning Springs Mine</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4608862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1202124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Cedarville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3304072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Cloverdale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1201744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Cumberland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1500037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E Town Sand Gravel</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3304279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Fairfield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3301396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Harlan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1500071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Hartford Quarry</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1500095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1201762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414</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Kokomo Mine</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1202105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1202203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Kokomo Stone</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1200142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1201994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Noblesville Stone</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1202176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363</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4"/>
              </w:rPr>
              <w:t>North Indianapolis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1201993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Petersburg, Ky Gravel</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1516895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3300006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Shamrock SG</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w w:val="95"/>
              </w:rPr>
              <w:t>3304011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1"/>
              </w:rPr>
              <w:t>Spring Valley Cook Rd SG</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5"/>
              </w:rPr>
              <w:t>3304534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9"/>
        </w:trPr>
        <w:tc>
          <w:tcPr>
            <w:tcW w:w="20" w:type="dxa"/>
            <w:vAlign w:val="bottom"/>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1"/>
        </w:trPr>
        <w:tc>
          <w:tcPr>
            <w:tcW w:w="2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6"/>
        </w:trPr>
        <w:tc>
          <w:tcPr>
            <w:tcW w:w="2160" w:type="dxa"/>
            <w:vAlign w:val="bottom"/>
          </w:tcPr>
          <w:p>
            <w:pPr>
              <w:spacing w:after="0"/>
              <w:rPr>
                <w:sz w:val="20"/>
                <w:szCs w:val="20"/>
                <w:color w:val="auto"/>
              </w:rPr>
            </w:pPr>
            <w:r>
              <w:rPr>
                <w:rFonts w:ascii="Arial" w:cs="Arial" w:eastAsia="Arial" w:hAnsi="Arial"/>
                <w:sz w:val="20"/>
                <w:szCs w:val="20"/>
                <w:color w:val="auto"/>
              </w:rPr>
              <w:t>Troy Gravel</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3301678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1202038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Xenia Gravel</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3301393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901083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Auburn Al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100006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900436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Augusta, GA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900065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Ball Ground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900955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Calhoun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4003395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4003159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Cumming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900460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900024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Edgefield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3800738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901106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Junction City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901029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900023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Maylene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100634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901126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Newton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900899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103076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Paulding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901107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801083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Red Oak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900069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900074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Six Mile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901144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3"/>
              </w:rPr>
              <w:t>St. Marys Sand Company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901199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Tyrone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900306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0103022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Warrenton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900580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Plant #2</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1302033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Alden Portable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1302037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1300228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Ames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1300014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363</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Cedar Rapids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1300122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2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1"/>
        </w:trPr>
        <w:tc>
          <w:tcPr>
            <w:tcW w:w="2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6"/>
        </w:trPr>
        <w:tc>
          <w:tcPr>
            <w:tcW w:w="2160" w:type="dxa"/>
            <w:vAlign w:val="bottom"/>
          </w:tcPr>
          <w:p>
            <w:pPr>
              <w:spacing w:after="0"/>
              <w:rPr>
                <w:sz w:val="20"/>
                <w:szCs w:val="20"/>
                <w:color w:val="auto"/>
              </w:rPr>
            </w:pPr>
            <w:r>
              <w:rPr>
                <w:rFonts w:ascii="Arial" w:cs="Arial" w:eastAsia="Arial" w:hAnsi="Arial"/>
                <w:sz w:val="20"/>
                <w:szCs w:val="20"/>
                <w:color w:val="auto"/>
              </w:rPr>
              <w:t>Des Moines Portable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1300150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Des Moines Portable #2</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1300932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Dubois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2501046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1301225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242</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Earlham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1302123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1300124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Fort Calhoun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2500006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Fort Calhoun UG</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2501300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Fort Dodge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1300032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423</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6"/>
              </w:rPr>
              <w:t>Greenwood Quarry  New</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2300141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Iowa Grading 2</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1302316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Linn County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1302208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Malcom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1300112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Marshalltown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1300718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Midwest Division OH</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A2354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Moore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1302188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New Harvey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1301778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North Valley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2501271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Ottawa Quarry  New</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1401590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4500844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Pedersen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1302192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Plant 854</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1302126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Portland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1302122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1302315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Randolph Deep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2302308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1300814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Saylorville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1302290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2100081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Stamper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2302232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362</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1300063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242</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Sunflower Qy  Co 61</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1401556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2500998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West Center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2501231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Yellow Medicine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2100033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2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1"/>
        </w:trPr>
        <w:tc>
          <w:tcPr>
            <w:tcW w:w="2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6"/>
        </w:trPr>
        <w:tc>
          <w:tcPr>
            <w:tcW w:w="2080" w:type="dxa"/>
            <w:vAlign w:val="bottom"/>
          </w:tcPr>
          <w:p>
            <w:pPr>
              <w:spacing w:after="0"/>
              <w:rPr>
                <w:sz w:val="20"/>
                <w:szCs w:val="20"/>
                <w:color w:val="auto"/>
              </w:rPr>
            </w:pPr>
            <w:r>
              <w:rPr>
                <w:rFonts w:ascii="Arial" w:cs="Arial" w:eastAsia="Arial" w:hAnsi="Arial"/>
                <w:sz w:val="20"/>
                <w:szCs w:val="20"/>
                <w:color w:val="auto"/>
              </w:rPr>
              <w:t>Beckmann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4101335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4103283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484</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Bells Savoy SG</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4104019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300011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Black Spur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4104159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1401584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Bridgeport Stone</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4100007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2"/>
              <w:spacing w:after="0"/>
              <w:rPr>
                <w:sz w:val="20"/>
                <w:szCs w:val="20"/>
                <w:color w:val="auto"/>
              </w:rPr>
            </w:pPr>
            <w:r>
              <w:rPr>
                <w:rFonts w:ascii="Arial" w:cs="Arial" w:eastAsia="Arial" w:hAnsi="Arial"/>
                <w:sz w:val="20"/>
                <w:szCs w:val="20"/>
                <w:color w:val="auto"/>
              </w:rPr>
              <w:t>242</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3400460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Chico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4103360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2"/>
              <w:spacing w:after="0"/>
              <w:rPr>
                <w:sz w:val="20"/>
                <w:szCs w:val="20"/>
                <w:color w:val="auto"/>
              </w:rPr>
            </w:pPr>
            <w:r>
              <w:rPr>
                <w:rFonts w:ascii="Arial" w:cs="Arial" w:eastAsia="Arial" w:hAnsi="Arial"/>
                <w:sz w:val="20"/>
                <w:szCs w:val="20"/>
                <w:color w:val="auto"/>
              </w:rPr>
              <w:t>242</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3401299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Garfield SG</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4103909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4102886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87"/>
              </w:rPr>
              <w:t>1,457</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GMS  TXI</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C335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301614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Helotes</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4103137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4103829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Hondo</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4104708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Hondo West</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4104090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Hugo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3400061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4105230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Idabel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3400507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Jones Mill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301586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Koontz McCombs Pit</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4105048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4105170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Mill Creek Limestone</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3401859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Mill Creek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3401285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Perryville Aggregates</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1601417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Poteet Sand</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4101342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Rio Medina</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4103594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San Pedro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4101337</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Sawyer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3401634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8"/>
              </w:rPr>
              <w:t>Smithson Valley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4104108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Snyder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3401651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South Texas Port #2</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4104204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2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1"/>
        </w:trPr>
        <w:tc>
          <w:tcPr>
            <w:tcW w:w="2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auto"/>
                <w:w w:val="89"/>
              </w:rPr>
              <w:t>Appendix 1</w:t>
            </w:r>
          </w:p>
        </w:tc>
      </w:tr>
      <w:tr>
        <w:trPr>
          <w:trHeight w:val="466"/>
        </w:trPr>
        <w:tc>
          <w:tcPr>
            <w:tcW w:w="2200" w:type="dxa"/>
            <w:vAlign w:val="bottom"/>
          </w:tcPr>
          <w:p>
            <w:pPr>
              <w:spacing w:after="0"/>
              <w:rPr>
                <w:sz w:val="20"/>
                <w:szCs w:val="20"/>
                <w:color w:val="auto"/>
              </w:rPr>
            </w:pPr>
            <w:r>
              <w:rPr>
                <w:rFonts w:ascii="Arial" w:cs="Arial" w:eastAsia="Arial" w:hAnsi="Arial"/>
                <w:sz w:val="20"/>
                <w:szCs w:val="20"/>
                <w:color w:val="auto"/>
              </w:rPr>
              <w:t>Tin Top SG</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w w:val="87"/>
              </w:rPr>
              <w:t>4102852</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3402049</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Webberville</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w w:val="87"/>
              </w:rPr>
              <w:t>4104363</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785</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Woodworth Aggregates</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1601070</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Granite Canyon Quarry</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w w:val="87"/>
              </w:rPr>
              <w:t>4800018</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1</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Greeley 35th Ready Mix</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503215</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w w:val="94"/>
              </w:rPr>
              <w:t>Greeley 35th Sand Gravel</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504613</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4800004</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1</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997</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Milford Quarry  Utah</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w w:val="87"/>
              </w:rPr>
              <w:t>4202177</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504635</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Parsons Sand Gravel</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504382</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PC Portable Plant 4</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4801565</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w w:val="94"/>
              </w:rPr>
              <w:t>Penrose Sand and Gravel</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504509</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1</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242</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Platte Sand &amp; Gravel</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504418</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Portable Crushing</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503984</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1,001</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504359</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Portable Plant 21</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504520</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504136</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Riverbend Sand Gravel</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504841</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25"/>
        </w:trPr>
        <w:tc>
          <w:tcPr>
            <w:tcW w:w="220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w w:val="89"/>
              </w:rPr>
              <w:t>Spanish Springs Quarry Co</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45"/>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2</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2600803</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3</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Spec Agg Quarry</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500860</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Taft Sand Gravel</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504526</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Taft Shop</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504735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Hunter Cement</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4102820</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4</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9,847</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Midlothian Cement</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w w:val="87"/>
              </w:rPr>
              <w:t>4100071</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4</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9"/>
              </w:rPr>
              <w:t>Geology and Exploration</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B7127</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tcPr>
          <w:p>
            <w:pPr>
              <w:spacing w:after="0"/>
              <w:rPr>
                <w:sz w:val="20"/>
                <w:szCs w:val="20"/>
                <w:color w:val="auto"/>
              </w:rPr>
            </w:pPr>
            <w:r>
              <w:rPr>
                <w:rFonts w:ascii="Arial" w:cs="Arial" w:eastAsia="Arial" w:hAnsi="Arial"/>
                <w:sz w:val="20"/>
                <w:szCs w:val="20"/>
                <w:color w:val="auto"/>
              </w:rPr>
              <w:t>Salisbury Shop</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w w:val="87"/>
              </w:rPr>
              <w:t>3101235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42"/>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Woodville  Stone</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7"/>
              </w:rPr>
              <w:t>3300156</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center"/>
              <w:ind w:left="142"/>
              <w:spacing w:after="0"/>
              <w:rPr>
                <w:sz w:val="20"/>
                <w:szCs w:val="20"/>
                <w:color w:val="auto"/>
              </w:rPr>
            </w:pPr>
            <w:r>
              <w:rPr>
                <w:rFonts w:ascii="Arial" w:cs="Arial" w:eastAsia="Arial" w:hAnsi="Arial"/>
                <w:sz w:val="20"/>
                <w:szCs w:val="20"/>
                <w:color w:val="auto"/>
                <w:w w:val="89"/>
              </w:rPr>
              <w:t>0</w:t>
            </w:r>
          </w:p>
        </w:tc>
      </w:tr>
      <w:tr>
        <w:trPr>
          <w:trHeight w:val="255"/>
        </w:trPr>
        <w:tc>
          <w:tcPr>
            <w:tcW w:w="220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840" w:type="dxa"/>
            <w:vAlign w:val="bottom"/>
          </w:tcPr>
          <w:p>
            <w:pPr>
              <w:spacing w:after="0"/>
              <w:rPr>
                <w:sz w:val="22"/>
                <w:szCs w:val="22"/>
                <w:color w:val="auto"/>
              </w:rPr>
            </w:pPr>
          </w:p>
        </w:tc>
        <w:tc>
          <w:tcPr>
            <w:tcW w:w="60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31</w:t>
            </w:r>
          </w:p>
        </w:tc>
        <w:tc>
          <w:tcPr>
            <w:tcW w:w="680" w:type="dxa"/>
            <w:vAlign w:val="bottom"/>
          </w:tcPr>
          <w:p>
            <w:pPr>
              <w:jc w:val="right"/>
              <w:ind w:right="202"/>
              <w:spacing w:after="0"/>
              <w:rPr>
                <w:sz w:val="20"/>
                <w:szCs w:val="20"/>
                <w:color w:val="auto"/>
              </w:rPr>
            </w:pPr>
            <w:r>
              <w:rPr>
                <w:rFonts w:ascii="Arial" w:cs="Arial" w:eastAsia="Arial" w:hAnsi="Arial"/>
                <w:sz w:val="20"/>
                <w:szCs w:val="20"/>
                <w:b w:val="1"/>
                <w:bCs w:val="1"/>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b w:val="1"/>
                <w:bCs w:val="1"/>
                <w:color w:val="auto"/>
              </w:rPr>
              <w:t>3</w:t>
            </w:r>
          </w:p>
        </w:tc>
        <w:tc>
          <w:tcPr>
            <w:tcW w:w="660" w:type="dxa"/>
            <w:vAlign w:val="bottom"/>
          </w:tcPr>
          <w:p>
            <w:pPr>
              <w:jc w:val="right"/>
              <w:ind w:right="162"/>
              <w:spacing w:after="0"/>
              <w:rPr>
                <w:sz w:val="20"/>
                <w:szCs w:val="20"/>
                <w:color w:val="auto"/>
              </w:rPr>
            </w:pPr>
            <w:r>
              <w:rPr>
                <w:rFonts w:ascii="Arial" w:cs="Arial" w:eastAsia="Arial" w:hAnsi="Arial"/>
                <w:sz w:val="20"/>
                <w:szCs w:val="20"/>
                <w:b w:val="1"/>
                <w:bCs w:val="1"/>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auto"/>
              </w:rPr>
              <w:t>0</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b w:val="1"/>
                <w:bCs w:val="1"/>
                <w:color w:val="auto"/>
                <w:w w:val="88"/>
              </w:rPr>
              <w:t>20,103</w:t>
            </w:r>
          </w:p>
        </w:tc>
        <w:tc>
          <w:tcPr>
            <w:tcW w:w="520" w:type="dxa"/>
            <w:vAlign w:val="bottom"/>
          </w:tcPr>
          <w:p>
            <w:pPr>
              <w:jc w:val="right"/>
              <w:ind w:right="162"/>
              <w:spacing w:after="0"/>
              <w:rPr>
                <w:sz w:val="20"/>
                <w:szCs w:val="20"/>
                <w:color w:val="auto"/>
              </w:rPr>
            </w:pPr>
            <w:r>
              <w:rPr>
                <w:rFonts w:ascii="Arial" w:cs="Arial" w:eastAsia="Arial" w:hAnsi="Arial"/>
                <w:sz w:val="20"/>
                <w:szCs w:val="20"/>
                <w:b w:val="1"/>
                <w:bCs w:val="1"/>
                <w:color w:val="auto"/>
              </w:rPr>
              <w:t>0</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jc w:val="right"/>
              <w:ind w:right="202"/>
              <w:spacing w:after="0"/>
              <w:rPr>
                <w:sz w:val="20"/>
                <w:szCs w:val="20"/>
                <w:color w:val="auto"/>
              </w:rPr>
            </w:pPr>
            <w:r>
              <w:rPr>
                <w:rFonts w:ascii="Arial" w:cs="Arial" w:eastAsia="Arial" w:hAnsi="Arial"/>
                <w:sz w:val="20"/>
                <w:szCs w:val="20"/>
                <w:b w:val="1"/>
                <w:bCs w:val="1"/>
                <w:color w:val="auto"/>
              </w:rPr>
              <w:t>3</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940" w:type="dxa"/>
            <w:vAlign w:val="bottom"/>
          </w:tcPr>
          <w:p>
            <w:pPr>
              <w:jc w:val="center"/>
              <w:ind w:left="142"/>
              <w:spacing w:after="0"/>
              <w:rPr>
                <w:sz w:val="20"/>
                <w:szCs w:val="20"/>
                <w:color w:val="auto"/>
              </w:rPr>
            </w:pPr>
            <w:r>
              <w:rPr>
                <w:rFonts w:ascii="Arial" w:cs="Arial" w:eastAsia="Arial" w:hAnsi="Arial"/>
                <w:sz w:val="20"/>
                <w:szCs w:val="20"/>
                <w:b w:val="1"/>
                <w:bCs w:val="1"/>
                <w:color w:val="auto"/>
                <w:w w:val="80"/>
              </w:rPr>
              <w:t>10</w:t>
            </w:r>
          </w:p>
        </w:tc>
      </w:tr>
    </w:tbl>
    <w:p>
      <w:pPr>
        <w:spacing w:after="0" w:line="184" w:lineRule="exact"/>
        <w:rPr>
          <w:sz w:val="20"/>
          <w:szCs w:val="20"/>
          <w:color w:val="auto"/>
        </w:rPr>
      </w:pPr>
    </w:p>
    <w:p>
      <w:pPr>
        <w:jc w:val="both"/>
        <w:ind w:firstLine="7"/>
        <w:spacing w:after="0" w:line="302" w:lineRule="auto"/>
        <w:tabs>
          <w:tab w:leader="none" w:pos="1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Of the three legal actions pending on September 30, 2019, two were contests of citations or orders referenced in Subpart B of CFR Part 2700, which includes contests of citations and orders issued under Section 104 of the Mine Act and contests of imminent danger orders under Section 107 of the Mine Act and one was a contest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8"/>
    </w:lvl>
  </w:abstractNum>
  <w:abstractNum w:abstractNumId="7">
    <w:nsid w:val="62BBD95A"/>
    <w:multiLevelType w:val="hybridMultilevel"/>
    <w:lvl w:ilvl="0">
      <w:lvlJc w:val="left"/>
      <w:lvlText w:val="%1."/>
      <w:numFmt w:val="decimal"/>
      <w:start w:val="9"/>
    </w:lvl>
  </w:abstractNum>
  <w:abstractNum w:abstractNumId="8">
    <w:nsid w:val="436C6125"/>
    <w:multiLevelType w:val="hybridMultilevel"/>
    <w:lvl w:ilvl="0">
      <w:lvlJc w:val="left"/>
      <w:lvlText w:val="%1."/>
      <w:numFmt w:val="decimal"/>
      <w:start w:val="10"/>
    </w:lvl>
  </w:abstractNum>
  <w:abstractNum w:abstractNumId="9">
    <w:nsid w:val="628C895D"/>
    <w:multiLevelType w:val="hybridMultilevel"/>
    <w:lvl w:ilvl="0">
      <w:lvlJc w:val="left"/>
      <w:lvlText w:val="%1."/>
      <w:numFmt w:val="decimal"/>
      <w:start w:val="1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3"/>
    </w:lvl>
  </w:abstractNum>
  <w:abstractNum w:abstractNumId="12">
    <w:nsid w:val="2443A858"/>
    <w:multiLevelType w:val="hybridMultilevel"/>
    <w:lvl w:ilvl="0">
      <w:lvlJc w:val="left"/>
      <w:lvlText w:val="%1."/>
      <w:numFmt w:val="decimal"/>
      <w:start w:val="14"/>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95"/>
    </w:lvl>
  </w:abstractNum>
  <w:abstractNum w:abstractNumId="22">
    <w:nsid w:val="71F32454"/>
    <w:multiLevelType w:val="hybridMultilevel"/>
    <w:lvl w:ilvl="0">
      <w:lvlJc w:val="left"/>
      <w:lvlText w:val="%1"/>
      <w:numFmt w:val="decimal"/>
      <w:start w:val="104"/>
    </w:lvl>
  </w:abstractNum>
  <w:abstractNum w:abstractNumId="23">
    <w:nsid w:val="2CA88611"/>
    <w:multiLevelType w:val="hybridMultilevel"/>
    <w:lvl w:ilvl="0">
      <w:lvlJc w:val="left"/>
      <w:lvlText w:val="%1."/>
      <w:numFmt w:val="decimal"/>
      <w:start w:val="1"/>
    </w:lvl>
    <w:lvl w:ilvl="1">
      <w:lvlJc w:val="left"/>
      <w:lvlText w:val="%2."/>
      <w:numFmt w:val="lowerLetter"/>
      <w:start w:val="1"/>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decimal"/>
      <w:start w:val="1"/>
    </w:lvl>
    <w:lvl w:ilvl="1">
      <w:lvlJc w:val="left"/>
      <w:lvlText w:val="%2."/>
      <w:numFmt w:val="lowerLetter"/>
      <w:start w:val="1"/>
    </w:lvl>
  </w:abstractNum>
  <w:abstractNum w:abstractNumId="26">
    <w:nsid w:val="3A95F874"/>
    <w:multiLevelType w:val="hybridMultilevel"/>
    <w:lvl w:ilvl="0">
      <w:lvlJc w:val="left"/>
      <w:lvlText w:val="%1."/>
      <w:numFmt w:val="decimal"/>
      <w:start w:val="5"/>
    </w:lvl>
    <w:lvl w:ilvl="1">
      <w:lvlJc w:val="left"/>
      <w:lvlText w:val="%2."/>
      <w:numFmt w:val="lowerLetter"/>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73" Type="http://schemas.openxmlformats.org/officeDocument/2006/relationships/hyperlink" Target="http://www.sec.gov/Archives/edgar/data/916076/000095015719001073/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2019-12-28T04:29:47Z</dcterms:created>
  <dcterms:modified xsi:type="dcterms:W3CDTF">2019-12-28T04:29:47Z</dcterms:modified>
</cp:coreProperties>
</file>