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145415</wp:posOffset>
            </wp:positionH>
            <wp:positionV relativeFrom="page">
              <wp:posOffset>145415</wp:posOffset>
            </wp:positionV>
            <wp:extent cx="727138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page">
              <wp:posOffset>145415</wp:posOffset>
            </wp:positionH>
            <wp:positionV relativeFrom="page">
              <wp:posOffset>166370</wp:posOffset>
            </wp:positionV>
            <wp:extent cx="7271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6985"/>
                    </a:xfrm>
                    <a:prstGeom prst="rect">
                      <a:avLst/>
                    </a:prstGeom>
                    <a:noFill/>
                  </pic:spPr>
                </pic:pic>
              </a:graphicData>
            </a:graphic>
          </wp:anchor>
        </w:drawing>
        <w:t>UNITED STATES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61" w:lineRule="exact"/>
        <w:rPr>
          <w:sz w:val="24"/>
          <w:szCs w:val="24"/>
          <w:color w:val="auto"/>
        </w:rPr>
      </w:pPr>
    </w:p>
    <w:p>
      <w:pPr>
        <w:jc w:val="center"/>
        <w:ind w:right="-139"/>
        <w:spacing w:after="0"/>
        <w:rPr>
          <w:sz w:val="20"/>
          <w:szCs w:val="20"/>
          <w:color w:val="auto"/>
        </w:rPr>
      </w:pPr>
      <w:r>
        <w:rPr>
          <w:rFonts w:ascii="Arial" w:cs="Arial" w:eastAsia="Arial" w:hAnsi="Arial"/>
          <w:sz w:val="27"/>
          <w:szCs w:val="27"/>
          <w:b w:val="1"/>
          <w:bCs w:val="1"/>
          <w:color w:val="auto"/>
        </w:rPr>
        <w:t>SCHEDULE 14A INFORMATION</w:t>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jc w:val="center"/>
        <w:ind w:right="-1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27" w:lineRule="exact"/>
        <w:rPr>
          <w:sz w:val="24"/>
          <w:szCs w:val="24"/>
          <w:color w:val="auto"/>
        </w:rPr>
      </w:pPr>
    </w:p>
    <w:p>
      <w:pPr>
        <w:ind w:left="20"/>
        <w:spacing w:after="0" w:line="161" w:lineRule="exact"/>
        <w:tabs>
          <w:tab w:leader="none" w:pos="252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4"/>
          <w:szCs w:val="14"/>
          <w:color w:val="auto"/>
        </w:rPr>
        <w:t>Check the appropriate box:</w:t>
      </w:r>
    </w:p>
    <w:p>
      <w:pPr>
        <w:spacing w:after="0" w:line="83" w:lineRule="exact"/>
        <w:rPr>
          <w:sz w:val="24"/>
          <w:szCs w:val="24"/>
          <w:color w:val="auto"/>
        </w:rPr>
      </w:pPr>
    </w:p>
    <w:p>
      <w:pPr>
        <w:ind w:left="480" w:hanging="47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01" w:lineRule="exact"/>
        <w:rPr>
          <w:rFonts w:ascii="MS PGothic" w:cs="MS PGothic" w:eastAsia="MS PGothic" w:hAnsi="MS PGothic"/>
          <w:sz w:val="14"/>
          <w:szCs w:val="14"/>
          <w:color w:val="auto"/>
        </w:rPr>
      </w:pPr>
    </w:p>
    <w:p>
      <w:pPr>
        <w:ind w:left="480" w:hanging="47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09" w:lineRule="exact"/>
        <w:rPr>
          <w:rFonts w:ascii="MS PGothic" w:cs="MS PGothic" w:eastAsia="MS PGothic" w:hAnsi="MS PGothic"/>
          <w:sz w:val="14"/>
          <w:szCs w:val="14"/>
          <w:color w:val="auto"/>
        </w:rPr>
      </w:pPr>
    </w:p>
    <w:p>
      <w:pPr>
        <w:ind w:left="480" w:hanging="47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05" w:lineRule="exact"/>
        <w:rPr>
          <w:sz w:val="24"/>
          <w:szCs w:val="24"/>
          <w:color w:val="auto"/>
        </w:rPr>
      </w:pPr>
    </w:p>
    <w:p>
      <w:pPr>
        <w:ind w:left="480" w:hanging="471"/>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05" w:lineRule="exact"/>
        <w:rPr>
          <w:sz w:val="24"/>
          <w:szCs w:val="24"/>
          <w:color w:val="auto"/>
        </w:rPr>
      </w:pPr>
    </w:p>
    <w:p>
      <w:pPr>
        <w:ind w:left="480" w:hanging="471"/>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39"/>
        <w:spacing w:after="0"/>
        <w:rPr>
          <w:sz w:val="20"/>
          <w:szCs w:val="20"/>
          <w:color w:val="auto"/>
        </w:rPr>
      </w:pPr>
      <w:r>
        <w:rPr>
          <w:rFonts w:ascii="Arial" w:cs="Arial" w:eastAsia="Arial" w:hAnsi="Arial"/>
          <w:sz w:val="35"/>
          <w:szCs w:val="35"/>
          <w:b w:val="1"/>
          <w:bCs w:val="1"/>
          <w:color w:val="auto"/>
        </w:rPr>
        <w:t>VULCAN MATERIALS COMPANY</w:t>
      </w:r>
    </w:p>
    <w:p>
      <w:pPr>
        <w:spacing w:after="0" w:line="4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78"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MARTIN MARIETTA MATERIALS, INC.</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94" w:lineRule="exact"/>
        <w:rPr>
          <w:sz w:val="24"/>
          <w:szCs w:val="24"/>
          <w:color w:val="auto"/>
        </w:rPr>
      </w:pPr>
    </w:p>
    <w:p>
      <w:pPr>
        <w:ind w:left="480" w:hanging="471"/>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94" w:lineRule="exact"/>
        <w:rPr>
          <w:sz w:val="24"/>
          <w:szCs w:val="24"/>
          <w:color w:val="auto"/>
        </w:rPr>
      </w:pPr>
    </w:p>
    <w:p>
      <w:pPr>
        <w:ind w:left="480" w:hanging="471"/>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93" w:lineRule="exact"/>
        <w:rPr>
          <w:rFonts w:ascii="MS PGothic" w:cs="MS PGothic" w:eastAsia="MS PGothic" w:hAnsi="MS PGothic"/>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82" w:lineRule="exact"/>
        <w:rPr>
          <w:rFonts w:ascii="Arial" w:cs="Arial" w:eastAsia="Arial" w:hAnsi="Arial"/>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82" w:lineRule="exact"/>
        <w:rPr>
          <w:rFonts w:ascii="Arial" w:cs="Arial" w:eastAsia="Arial" w:hAnsi="Arial"/>
          <w:sz w:val="14"/>
          <w:szCs w:val="14"/>
          <w:color w:val="auto"/>
        </w:rPr>
      </w:pPr>
    </w:p>
    <w:p>
      <w:pPr>
        <w:ind w:left="920" w:right="40" w:hanging="446"/>
        <w:spacing w:after="0" w:line="296"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323" w:lineRule="exact"/>
        <w:rPr>
          <w:rFonts w:ascii="Arial" w:cs="Arial" w:eastAsia="Arial" w:hAnsi="Arial"/>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82" w:lineRule="exact"/>
        <w:rPr>
          <w:rFonts w:ascii="Arial" w:cs="Arial" w:eastAsia="Arial" w:hAnsi="Arial"/>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315" w:lineRule="exact"/>
        <w:rPr>
          <w:rFonts w:ascii="Arial" w:cs="Arial" w:eastAsia="Arial" w:hAnsi="Arial"/>
          <w:sz w:val="14"/>
          <w:szCs w:val="14"/>
          <w:color w:val="auto"/>
        </w:rPr>
      </w:pPr>
    </w:p>
    <w:p>
      <w:pPr>
        <w:ind w:left="480" w:hanging="471"/>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93" w:lineRule="exact"/>
        <w:rPr>
          <w:rFonts w:ascii="MS PGothic" w:cs="MS PGothic" w:eastAsia="MS PGothic" w:hAnsi="MS PGothic"/>
          <w:sz w:val="14"/>
          <w:szCs w:val="14"/>
          <w:color w:val="auto"/>
        </w:rPr>
      </w:pPr>
    </w:p>
    <w:p>
      <w:pPr>
        <w:ind w:left="480" w:hanging="471"/>
        <w:spacing w:after="0" w:line="296"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MS PGothic" w:cs="MS PGothic" w:eastAsia="MS PGothic" w:hAnsi="MS PGothic"/>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82" w:lineRule="exact"/>
        <w:rPr>
          <w:rFonts w:ascii="Arial" w:cs="Arial" w:eastAsia="Arial" w:hAnsi="Arial"/>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82" w:lineRule="exact"/>
        <w:rPr>
          <w:rFonts w:ascii="Arial" w:cs="Arial" w:eastAsia="Arial" w:hAnsi="Arial"/>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382" w:lineRule="exact"/>
        <w:rPr>
          <w:rFonts w:ascii="Arial" w:cs="Arial" w:eastAsia="Arial" w:hAnsi="Arial"/>
          <w:sz w:val="14"/>
          <w:szCs w:val="14"/>
          <w:color w:val="auto"/>
        </w:rPr>
      </w:pPr>
    </w:p>
    <w:p>
      <w:pPr>
        <w:ind w:left="920" w:hanging="446"/>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589915</wp:posOffset>
            </wp:positionH>
            <wp:positionV relativeFrom="paragraph">
              <wp:posOffset>-3285490</wp:posOffset>
            </wp:positionV>
            <wp:extent cx="66871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-2940685</wp:posOffset>
            </wp:positionV>
            <wp:extent cx="66871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-2482850</wp:posOffset>
            </wp:positionV>
            <wp:extent cx="66871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-2138045</wp:posOffset>
            </wp:positionV>
            <wp:extent cx="66871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-1821180</wp:posOffset>
            </wp:positionV>
            <wp:extent cx="66871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-800735</wp:posOffset>
            </wp:positionV>
            <wp:extent cx="66871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-455930</wp:posOffset>
            </wp:positionV>
            <wp:extent cx="66871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-111125</wp:posOffset>
            </wp:positionV>
            <wp:extent cx="668718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233045</wp:posOffset>
            </wp:positionV>
            <wp:extent cx="668718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71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353060</wp:posOffset>
            </wp:positionV>
            <wp:extent cx="727138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381000</wp:posOffset>
            </wp:positionV>
            <wp:extent cx="727138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ectPr>
          <w:pgSz w:w="11900" w:h="16838" w:orient="portrait"/>
          <w:cols w:equalWidth="0" w:num="1">
            <w:col w:w="11340"/>
          </w:cols>
          <w:pgMar w:left="220" w:top="37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80"/>
        <w:spacing w:after="0"/>
        <w:rPr>
          <w:sz w:val="20"/>
          <w:szCs w:val="20"/>
          <w:color w:val="auto"/>
        </w:rPr>
      </w:pPr>
      <w:r>
        <w:rPr>
          <w:rFonts w:ascii="Arial" w:cs="Arial" w:eastAsia="Arial" w:hAnsi="Arial"/>
          <w:sz w:val="29"/>
          <w:szCs w:val="29"/>
          <w:b w:val="1"/>
          <w:bCs w:val="1"/>
          <w:color w:val="auto"/>
        </w:rPr>
        <w:t>Update on Martin Marietta</w:t>
      </w:r>
    </w:p>
    <w:p>
      <w:pPr>
        <w:spacing w:after="0" w:line="59" w:lineRule="exact"/>
        <w:rPr>
          <w:sz w:val="20"/>
          <w:szCs w:val="20"/>
          <w:color w:val="auto"/>
        </w:rPr>
      </w:pPr>
    </w:p>
    <w:p>
      <w:pPr>
        <w:ind w:left="5680"/>
        <w:spacing w:after="0"/>
        <w:rPr>
          <w:sz w:val="20"/>
          <w:szCs w:val="20"/>
          <w:color w:val="auto"/>
        </w:rPr>
      </w:pPr>
      <w:r>
        <w:rPr>
          <w:rFonts w:ascii="Arial" w:cs="Arial" w:eastAsia="Arial" w:hAnsi="Arial"/>
          <w:sz w:val="30"/>
          <w:szCs w:val="30"/>
          <w:b w:val="1"/>
          <w:bCs w:val="1"/>
          <w:color w:val="auto"/>
        </w:rPr>
        <w:t>Materials’ Proposed</w:t>
      </w:r>
    </w:p>
    <w:p>
      <w:pPr>
        <w:spacing w:after="0" w:line="10" w:lineRule="exact"/>
        <w:rPr>
          <w:sz w:val="20"/>
          <w:szCs w:val="20"/>
          <w:color w:val="auto"/>
        </w:rPr>
      </w:pPr>
    </w:p>
    <w:p>
      <w:pPr>
        <w:ind w:left="5680"/>
        <w:spacing w:after="0"/>
        <w:rPr>
          <w:sz w:val="20"/>
          <w:szCs w:val="20"/>
          <w:color w:val="auto"/>
        </w:rPr>
      </w:pPr>
      <w:r>
        <w:rPr>
          <w:rFonts w:ascii="Arial" w:cs="Arial" w:eastAsia="Arial" w:hAnsi="Arial"/>
          <w:sz w:val="30"/>
          <w:szCs w:val="30"/>
          <w:b w:val="1"/>
          <w:bCs w:val="1"/>
          <w:color w:val="auto"/>
        </w:rPr>
        <w:t>Combination with Vulcan</w:t>
      </w:r>
    </w:p>
    <w:p>
      <w:pPr>
        <w:spacing w:after="0" w:line="10" w:lineRule="exact"/>
        <w:rPr>
          <w:sz w:val="20"/>
          <w:szCs w:val="20"/>
          <w:color w:val="auto"/>
        </w:rPr>
      </w:pPr>
    </w:p>
    <w:p>
      <w:pPr>
        <w:ind w:left="5680"/>
        <w:spacing w:after="0"/>
        <w:rPr>
          <w:sz w:val="20"/>
          <w:szCs w:val="20"/>
          <w:color w:val="auto"/>
        </w:rPr>
      </w:pPr>
      <w:r>
        <w:rPr>
          <w:rFonts w:ascii="Arial" w:cs="Arial" w:eastAsia="Arial" w:hAnsi="Arial"/>
          <w:sz w:val="30"/>
          <w:szCs w:val="30"/>
          <w:b w:val="1"/>
          <w:bCs w:val="1"/>
          <w:color w:val="auto"/>
        </w:rPr>
        <w:t>Materials</w:t>
      </w:r>
    </w:p>
    <w:p>
      <w:pPr>
        <w:spacing w:after="0" w:line="168" w:lineRule="exact"/>
        <w:rPr>
          <w:sz w:val="20"/>
          <w:szCs w:val="20"/>
          <w:color w:val="auto"/>
        </w:rPr>
      </w:pPr>
    </w:p>
    <w:p>
      <w:pPr>
        <w:ind w:left="5680"/>
        <w:spacing w:after="0"/>
        <w:rPr>
          <w:sz w:val="20"/>
          <w:szCs w:val="20"/>
          <w:color w:val="auto"/>
        </w:rPr>
      </w:pPr>
      <w:r>
        <w:rPr>
          <w:rFonts w:ascii="Arial" w:cs="Arial" w:eastAsia="Arial" w:hAnsi="Arial"/>
          <w:sz w:val="21"/>
          <w:szCs w:val="21"/>
          <w:color w:val="auto"/>
        </w:rPr>
        <w:t>May 1, 2012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80"/>
        <w:spacing w:after="0"/>
        <w:rPr>
          <w:sz w:val="20"/>
          <w:szCs w:val="20"/>
          <w:color w:val="auto"/>
        </w:rPr>
      </w:pPr>
      <w:r>
        <w:rPr>
          <w:rFonts w:ascii="Arial" w:cs="Arial" w:eastAsia="Arial" w:hAnsi="Arial"/>
          <w:sz w:val="21"/>
          <w:szCs w:val="21"/>
          <w:color w:val="004E7A"/>
        </w:rPr>
        <w:t>Rock Solid Fundamentals.</w:t>
      </w:r>
    </w:p>
    <w:p>
      <w:pPr>
        <w:spacing w:after="0" w:line="13" w:lineRule="exact"/>
        <w:rPr>
          <w:sz w:val="20"/>
          <w:szCs w:val="20"/>
          <w:color w:val="auto"/>
        </w:rPr>
      </w:pPr>
    </w:p>
    <w:p>
      <w:pPr>
        <w:ind w:left="5680"/>
        <w:spacing w:after="0"/>
        <w:rPr>
          <w:sz w:val="20"/>
          <w:szCs w:val="20"/>
          <w:color w:val="auto"/>
        </w:rPr>
      </w:pPr>
      <w:r>
        <w:rPr>
          <w:rFonts w:ascii="Arial" w:cs="Arial" w:eastAsia="Arial" w:hAnsi="Arial"/>
          <w:sz w:val="21"/>
          <w:szCs w:val="21"/>
          <w:color w:val="004E7A"/>
        </w:rPr>
        <w:t>Positioned for the Long Term.</w:t>
      </w:r>
    </w:p>
    <w:p>
      <w:pPr>
        <w:sectPr>
          <w:pgSz w:w="11900" w:h="16838" w:orient="portrait"/>
          <w:cols w:equalWidth="0" w:num="1">
            <w:col w:w="9360"/>
          </w:cols>
          <w:pgMar w:left="1440" w:top="1440" w:right="1099" w:bottom="1440" w:gutter="0" w:footer="0" w:header="0"/>
        </w:sectPr>
      </w:pPr>
    </w:p>
    <w:bookmarkStart w:id="2" w:name="page3"/>
    <w:bookmarkEnd w:id="2"/>
    <w:p>
      <w:pPr>
        <w:ind w:left="140"/>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Introduction: Martin Marietta Continues to Outperform Vulcan</w:t>
      </w:r>
    </w:p>
    <w:p>
      <w:pPr>
        <w:sectPr>
          <w:pgSz w:w="11900" w:h="16838" w:orient="portrait"/>
          <w:cols w:equalWidth="0" w:num="1">
            <w:col w:w="9600"/>
          </w:cols>
          <w:pgMar w:left="1200" w:top="633" w:right="10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left="220" w:right="120"/>
        <w:spacing w:after="0" w:line="259" w:lineRule="auto"/>
        <w:rPr>
          <w:sz w:val="20"/>
          <w:szCs w:val="20"/>
          <w:color w:val="auto"/>
        </w:rPr>
      </w:pPr>
      <w:r>
        <w:rPr>
          <w:rFonts w:ascii="Arial" w:cs="Arial" w:eastAsia="Arial" w:hAnsi="Arial"/>
          <w:sz w:val="18"/>
          <w:szCs w:val="18"/>
          <w:b w:val="1"/>
          <w:bCs w:val="1"/>
          <w:color w:val="FFFFFF"/>
        </w:rPr>
        <w:t>Martin Marietta’s net sales is growing at a faster rate than Vulcan’s…</w:t>
      </w:r>
    </w:p>
    <w:p>
      <w:pPr>
        <w:spacing w:after="0" w:line="270" w:lineRule="exact"/>
        <w:rPr>
          <w:sz w:val="20"/>
          <w:szCs w:val="20"/>
          <w:color w:val="auto"/>
        </w:rPr>
      </w:pPr>
    </w:p>
    <w:p>
      <w:pPr>
        <w:ind w:left="520" w:right="260" w:firstLine="11"/>
        <w:spacing w:after="0" w:line="320" w:lineRule="auto"/>
        <w:rPr>
          <w:sz w:val="20"/>
          <w:szCs w:val="20"/>
          <w:color w:val="auto"/>
        </w:rPr>
      </w:pPr>
      <w:r>
        <w:rPr>
          <w:rFonts w:ascii="Arial" w:cs="Arial" w:eastAsia="Arial" w:hAnsi="Arial"/>
          <w:sz w:val="17"/>
          <w:szCs w:val="17"/>
          <w:b w:val="1"/>
          <w:bCs w:val="1"/>
          <w:color w:val="FFFFFF"/>
        </w:rPr>
        <w:t>…and generating stronger margins</w:t>
      </w:r>
    </w:p>
    <w:p>
      <w:pPr>
        <w:spacing w:after="0" w:line="198"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tab/>
        <w:t>Vulcan's earnings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announcement focused on</w:t>
      </w:r>
    </w:p>
    <w:p>
      <w:pPr>
        <w:spacing w:after="0" w:line="16" w:lineRule="exact"/>
        <w:rPr>
          <w:sz w:val="20"/>
          <w:szCs w:val="20"/>
          <w:color w:val="auto"/>
        </w:rPr>
      </w:pPr>
    </w:p>
    <w:p>
      <w:pPr>
        <w:ind w:left="240" w:right="240"/>
        <w:spacing w:after="0" w:line="253" w:lineRule="auto"/>
        <w:rPr>
          <w:sz w:val="20"/>
          <w:szCs w:val="20"/>
          <w:color w:val="auto"/>
        </w:rPr>
      </w:pPr>
      <w:r>
        <w:rPr>
          <w:rFonts w:ascii="Arial" w:cs="Arial" w:eastAsia="Arial" w:hAnsi="Arial"/>
          <w:sz w:val="16"/>
          <w:szCs w:val="16"/>
          <w:color w:val="auto"/>
        </w:rPr>
        <w:t>promises for future performance but did not</w:t>
      </w:r>
    </w:p>
    <w:p>
      <w:pPr>
        <w:ind w:left="240"/>
        <w:spacing w:after="0"/>
        <w:rPr>
          <w:sz w:val="20"/>
          <w:szCs w:val="20"/>
          <w:color w:val="auto"/>
        </w:rPr>
      </w:pPr>
      <w:r>
        <w:rPr>
          <w:rFonts w:ascii="Arial" w:cs="Arial" w:eastAsia="Arial" w:hAnsi="Arial"/>
          <w:sz w:val="17"/>
          <w:szCs w:val="17"/>
          <w:color w:val="auto"/>
        </w:rPr>
        <w:t>provide a substantive</w:t>
      </w:r>
    </w:p>
    <w:p>
      <w:pPr>
        <w:ind w:left="240"/>
        <w:spacing w:after="0" w:line="236" w:lineRule="auto"/>
        <w:rPr>
          <w:sz w:val="20"/>
          <w:szCs w:val="20"/>
          <w:color w:val="auto"/>
        </w:rPr>
      </w:pPr>
      <w:r>
        <w:rPr>
          <w:rFonts w:ascii="Arial" w:cs="Arial" w:eastAsia="Arial" w:hAnsi="Arial"/>
          <w:sz w:val="17"/>
          <w:szCs w:val="17"/>
          <w:color w:val="auto"/>
        </w:rPr>
        <w:t>update on their recently</w:t>
      </w:r>
    </w:p>
    <w:p>
      <w:pPr>
        <w:ind w:left="240" w:right="260"/>
        <w:spacing w:after="0" w:line="271" w:lineRule="auto"/>
        <w:rPr>
          <w:sz w:val="20"/>
          <w:szCs w:val="20"/>
          <w:color w:val="auto"/>
        </w:rPr>
      </w:pPr>
      <w:r>
        <w:rPr>
          <w:rFonts w:ascii="Arial" w:cs="Arial" w:eastAsia="Arial" w:hAnsi="Arial"/>
          <w:sz w:val="16"/>
          <w:szCs w:val="16"/>
          <w:color w:val="auto"/>
        </w:rPr>
        <w:t>announced Profit Enhancement Plan and Planned Asset Sales</w:t>
      </w:r>
    </w:p>
    <w:p>
      <w:pPr>
        <w:spacing w:after="0" w:line="9" w:lineRule="exact"/>
        <w:rPr>
          <w:sz w:val="20"/>
          <w:szCs w:val="20"/>
          <w:color w:val="auto"/>
        </w:rPr>
      </w:pPr>
    </w:p>
    <w:p>
      <w:pPr>
        <w:ind w:left="200"/>
        <w:spacing w:after="0"/>
        <w:tabs>
          <w:tab w:leader="none" w:pos="440" w:val="left"/>
        </w:tabs>
        <w:rPr>
          <w:sz w:val="20"/>
          <w:szCs w:val="20"/>
          <w:color w:val="auto"/>
        </w:rPr>
      </w:pPr>
      <w:r>
        <w:rPr>
          <w:rFonts w:ascii="Arial" w:cs="Arial" w:eastAsia="Arial" w:hAnsi="Arial"/>
          <w:sz w:val="16"/>
          <w:szCs w:val="16"/>
          <w:color w:val="auto"/>
        </w:rPr>
        <w:t>•</w:t>
        <w:tab/>
        <w:t>When asked, Vulcan did</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quantify savings in</w:t>
      </w:r>
    </w:p>
    <w:p>
      <w:pPr>
        <w:jc w:val="center"/>
        <w:ind w:left="440"/>
        <w:spacing w:after="0" w:line="201" w:lineRule="auto"/>
        <w:rPr>
          <w:sz w:val="20"/>
          <w:szCs w:val="20"/>
          <w:color w:val="auto"/>
        </w:rPr>
      </w:pPr>
      <w:r>
        <w:rPr>
          <w:rFonts w:ascii="Arial" w:cs="Arial" w:eastAsia="Arial" w:hAnsi="Arial"/>
          <w:sz w:val="12"/>
          <w:szCs w:val="12"/>
          <w:color w:val="auto"/>
        </w:rPr>
        <w:t>Q1 associated with their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YoY Net Sales Growth</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Aggregates YoY Price</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Growth</w:t>
      </w:r>
    </w:p>
    <w:p>
      <w:pPr>
        <w:spacing w:after="0" w:line="170" w:lineRule="exact"/>
        <w:rPr>
          <w:sz w:val="20"/>
          <w:szCs w:val="20"/>
          <w:color w:val="auto"/>
        </w:rPr>
      </w:pPr>
    </w:p>
    <w:p>
      <w:pPr>
        <w:ind w:left="120" w:right="220" w:firstLine="133"/>
        <w:spacing w:after="0" w:line="306" w:lineRule="auto"/>
        <w:rPr>
          <w:sz w:val="20"/>
          <w:szCs w:val="20"/>
          <w:color w:val="auto"/>
        </w:rPr>
      </w:pPr>
      <w:r>
        <w:rPr>
          <w:rFonts w:ascii="Arial" w:cs="Arial" w:eastAsia="Arial" w:hAnsi="Arial"/>
          <w:sz w:val="17"/>
          <w:szCs w:val="17"/>
          <w:b w:val="1"/>
          <w:bCs w:val="1"/>
          <w:color w:val="FFFFFF"/>
        </w:rPr>
        <w:t>Aggregates YoY Shipments Growth</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Gross Margin</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 xml:space="preserve">Adj. EBITDA Margin </w:t>
      </w:r>
      <w:r>
        <w:rPr>
          <w:rFonts w:ascii="Arial" w:cs="Arial" w:eastAsia="Arial" w:hAnsi="Arial"/>
          <w:sz w:val="14"/>
          <w:szCs w:val="14"/>
          <w:b w:val="1"/>
          <w:bCs w:val="1"/>
          <w:color w:val="FFFFFF"/>
        </w:rPr>
        <w:t>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 xml:space="preserve">SG&amp;A % of Net Sales </w:t>
      </w:r>
      <w:r>
        <w:rPr>
          <w:rFonts w:ascii="Arial" w:cs="Arial" w:eastAsia="Arial" w:hAnsi="Arial"/>
          <w:sz w:val="13"/>
          <w:szCs w:val="13"/>
          <w:b w:val="1"/>
          <w:bCs w:val="1"/>
          <w:color w:val="FFFFFF"/>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980" w:type="dxa"/>
            <w:vAlign w:val="bottom"/>
          </w:tcPr>
          <w:p>
            <w:pPr>
              <w:jc w:val="right"/>
              <w:ind w:right="931"/>
              <w:spacing w:after="0"/>
              <w:rPr>
                <w:sz w:val="20"/>
                <w:szCs w:val="20"/>
                <w:color w:val="auto"/>
              </w:rPr>
            </w:pPr>
            <w:r>
              <w:rPr>
                <w:rFonts w:ascii="Arial" w:cs="Arial" w:eastAsia="Arial" w:hAnsi="Arial"/>
                <w:sz w:val="18"/>
                <w:szCs w:val="18"/>
                <w:b w:val="1"/>
                <w:bCs w:val="1"/>
                <w:color w:val="FFFFFF"/>
              </w:rPr>
              <w:t>Vulcan</w:t>
            </w:r>
          </w:p>
        </w:tc>
        <w:tc>
          <w:tcPr>
            <w:tcW w:w="2000" w:type="dxa"/>
            <w:vAlign w:val="bottom"/>
          </w:tcPr>
          <w:p>
            <w:pPr>
              <w:ind w:left="640"/>
              <w:spacing w:after="0"/>
              <w:rPr>
                <w:sz w:val="20"/>
                <w:szCs w:val="20"/>
                <w:color w:val="auto"/>
              </w:rPr>
            </w:pPr>
            <w:r>
              <w:rPr>
                <w:rFonts w:ascii="Arial" w:cs="Arial" w:eastAsia="Arial" w:hAnsi="Arial"/>
                <w:sz w:val="18"/>
                <w:szCs w:val="18"/>
                <w:b w:val="1"/>
                <w:bCs w:val="1"/>
                <w:color w:val="FFFFFF"/>
              </w:rPr>
              <w:t>Martin Marietta</w:t>
            </w:r>
          </w:p>
        </w:tc>
      </w:tr>
      <w:tr>
        <w:trPr>
          <w:trHeight w:val="235"/>
        </w:trPr>
        <w:tc>
          <w:tcPr>
            <w:tcW w:w="1980" w:type="dxa"/>
            <w:vAlign w:val="bottom"/>
          </w:tcPr>
          <w:p>
            <w:pPr>
              <w:jc w:val="right"/>
              <w:ind w:right="531"/>
              <w:spacing w:after="0"/>
              <w:rPr>
                <w:sz w:val="20"/>
                <w:szCs w:val="20"/>
                <w:color w:val="auto"/>
              </w:rPr>
            </w:pPr>
            <w:r>
              <w:rPr>
                <w:rFonts w:ascii="Arial" w:cs="Arial" w:eastAsia="Arial" w:hAnsi="Arial"/>
                <w:sz w:val="18"/>
                <w:szCs w:val="18"/>
                <w:b w:val="1"/>
                <w:bCs w:val="1"/>
                <w:color w:val="FFFFFF"/>
                <w:w w:val="96"/>
              </w:rPr>
              <w:t>Q1 2012 Results</w:t>
            </w:r>
          </w:p>
        </w:tc>
        <w:tc>
          <w:tcPr>
            <w:tcW w:w="2000" w:type="dxa"/>
            <w:vAlign w:val="bottom"/>
          </w:tcPr>
          <w:p>
            <w:pPr>
              <w:ind w:left="620"/>
              <w:spacing w:after="0"/>
              <w:rPr>
                <w:sz w:val="20"/>
                <w:szCs w:val="20"/>
                <w:color w:val="auto"/>
              </w:rPr>
            </w:pPr>
            <w:r>
              <w:rPr>
                <w:rFonts w:ascii="Arial" w:cs="Arial" w:eastAsia="Arial" w:hAnsi="Arial"/>
                <w:sz w:val="18"/>
                <w:szCs w:val="18"/>
                <w:b w:val="1"/>
                <w:bCs w:val="1"/>
                <w:color w:val="FFFFFF"/>
                <w:w w:val="97"/>
              </w:rPr>
              <w:t>Q1 2012 Results</w:t>
            </w:r>
          </w:p>
        </w:tc>
      </w:tr>
      <w:tr>
        <w:trPr>
          <w:trHeight w:val="526"/>
        </w:trPr>
        <w:tc>
          <w:tcPr>
            <w:tcW w:w="1980" w:type="dxa"/>
            <w:vAlign w:val="bottom"/>
          </w:tcPr>
          <w:p>
            <w:pPr>
              <w:jc w:val="right"/>
              <w:ind w:right="891"/>
              <w:spacing w:after="0"/>
              <w:rPr>
                <w:sz w:val="20"/>
                <w:szCs w:val="20"/>
                <w:color w:val="auto"/>
              </w:rPr>
            </w:pPr>
            <w:r>
              <w:rPr>
                <w:rFonts w:ascii="Arial" w:cs="Arial" w:eastAsia="Arial" w:hAnsi="Arial"/>
                <w:sz w:val="18"/>
                <w:szCs w:val="18"/>
                <w:color w:val="auto"/>
              </w:rPr>
              <w:t>9.5%</w:t>
            </w:r>
          </w:p>
        </w:tc>
        <w:tc>
          <w:tcPr>
            <w:tcW w:w="2000" w:type="dxa"/>
            <w:vAlign w:val="bottom"/>
          </w:tcPr>
          <w:p>
            <w:pPr>
              <w:jc w:val="center"/>
              <w:ind w:left="791"/>
              <w:spacing w:after="0"/>
              <w:rPr>
                <w:sz w:val="20"/>
                <w:szCs w:val="20"/>
                <w:color w:val="auto"/>
              </w:rPr>
            </w:pPr>
            <w:r>
              <w:rPr>
                <w:rFonts w:ascii="Arial" w:cs="Arial" w:eastAsia="Arial" w:hAnsi="Arial"/>
                <w:sz w:val="18"/>
                <w:szCs w:val="18"/>
                <w:color w:val="auto"/>
                <w:w w:val="93"/>
              </w:rPr>
              <w:t>12.5%</w:t>
            </w:r>
            <w:r>
              <w:rPr>
                <w:rFonts w:ascii="Arial" w:cs="Arial" w:eastAsia="Arial" w:hAnsi="Arial"/>
                <w:sz w:val="24"/>
                <w:szCs w:val="24"/>
                <w:color w:val="auto"/>
                <w:w w:val="93"/>
                <w:vertAlign w:val="superscript"/>
              </w:rPr>
              <w:t>1</w:t>
            </w:r>
          </w:p>
        </w:tc>
      </w:tr>
      <w:tr>
        <w:trPr>
          <w:trHeight w:val="527"/>
        </w:trPr>
        <w:tc>
          <w:tcPr>
            <w:tcW w:w="1980" w:type="dxa"/>
            <w:vAlign w:val="bottom"/>
          </w:tcPr>
          <w:p>
            <w:pPr>
              <w:jc w:val="right"/>
              <w:ind w:right="851"/>
              <w:spacing w:after="0"/>
              <w:rPr>
                <w:sz w:val="20"/>
                <w:szCs w:val="20"/>
                <w:color w:val="auto"/>
              </w:rPr>
            </w:pPr>
            <w:r>
              <w:rPr>
                <w:rFonts w:ascii="Arial" w:cs="Arial" w:eastAsia="Arial" w:hAnsi="Arial"/>
                <w:sz w:val="18"/>
                <w:szCs w:val="18"/>
                <w:color w:val="auto"/>
              </w:rPr>
              <w:t>(0.8%)</w:t>
            </w:r>
          </w:p>
        </w:tc>
        <w:tc>
          <w:tcPr>
            <w:tcW w:w="2000" w:type="dxa"/>
            <w:vAlign w:val="bottom"/>
          </w:tcPr>
          <w:p>
            <w:pPr>
              <w:jc w:val="center"/>
              <w:ind w:left="751"/>
              <w:spacing w:after="0"/>
              <w:rPr>
                <w:sz w:val="20"/>
                <w:szCs w:val="20"/>
                <w:color w:val="auto"/>
              </w:rPr>
            </w:pPr>
            <w:r>
              <w:rPr>
                <w:rFonts w:ascii="Arial" w:cs="Arial" w:eastAsia="Arial" w:hAnsi="Arial"/>
                <w:sz w:val="18"/>
                <w:szCs w:val="18"/>
                <w:color w:val="auto"/>
                <w:w w:val="97"/>
              </w:rPr>
              <w:t>2.8%</w:t>
            </w:r>
          </w:p>
        </w:tc>
      </w:tr>
      <w:tr>
        <w:trPr>
          <w:trHeight w:val="599"/>
        </w:trPr>
        <w:tc>
          <w:tcPr>
            <w:tcW w:w="1980" w:type="dxa"/>
            <w:vAlign w:val="bottom"/>
          </w:tcPr>
          <w:p>
            <w:pPr>
              <w:ind w:left="620"/>
              <w:spacing w:after="0"/>
              <w:rPr>
                <w:sz w:val="20"/>
                <w:szCs w:val="20"/>
                <w:color w:val="auto"/>
              </w:rPr>
            </w:pPr>
            <w:r>
              <w:rPr>
                <w:rFonts w:ascii="Arial" w:cs="Arial" w:eastAsia="Arial" w:hAnsi="Arial"/>
                <w:sz w:val="18"/>
                <w:szCs w:val="18"/>
                <w:color w:val="auto"/>
              </w:rPr>
              <w:t>10%</w:t>
            </w:r>
          </w:p>
        </w:tc>
        <w:tc>
          <w:tcPr>
            <w:tcW w:w="2000" w:type="dxa"/>
            <w:vAlign w:val="bottom"/>
          </w:tcPr>
          <w:p>
            <w:pPr>
              <w:jc w:val="center"/>
              <w:ind w:left="751"/>
              <w:spacing w:after="0"/>
              <w:rPr>
                <w:sz w:val="20"/>
                <w:szCs w:val="20"/>
                <w:color w:val="auto"/>
              </w:rPr>
            </w:pPr>
            <w:r>
              <w:rPr>
                <w:rFonts w:ascii="Arial" w:cs="Arial" w:eastAsia="Arial" w:hAnsi="Arial"/>
                <w:sz w:val="18"/>
                <w:szCs w:val="18"/>
                <w:color w:val="auto"/>
                <w:w w:val="99"/>
              </w:rPr>
              <w:t>10%</w:t>
            </w:r>
          </w:p>
        </w:tc>
      </w:tr>
      <w:tr>
        <w:trPr>
          <w:trHeight w:val="610"/>
        </w:trPr>
        <w:tc>
          <w:tcPr>
            <w:tcW w:w="1980" w:type="dxa"/>
            <w:vAlign w:val="bottom"/>
          </w:tcPr>
          <w:p>
            <w:pPr>
              <w:ind w:left="620"/>
              <w:spacing w:after="0"/>
              <w:rPr>
                <w:sz w:val="20"/>
                <w:szCs w:val="20"/>
                <w:color w:val="auto"/>
              </w:rPr>
            </w:pPr>
            <w:r>
              <w:rPr>
                <w:rFonts w:ascii="Arial" w:cs="Arial" w:eastAsia="Arial" w:hAnsi="Arial"/>
                <w:sz w:val="18"/>
                <w:szCs w:val="18"/>
                <w:color w:val="auto"/>
              </w:rPr>
              <w:t>4.4%</w:t>
            </w:r>
          </w:p>
        </w:tc>
        <w:tc>
          <w:tcPr>
            <w:tcW w:w="2000" w:type="dxa"/>
            <w:vAlign w:val="bottom"/>
          </w:tcPr>
          <w:p>
            <w:pPr>
              <w:jc w:val="center"/>
              <w:ind w:left="751"/>
              <w:spacing w:after="0"/>
              <w:rPr>
                <w:sz w:val="20"/>
                <w:szCs w:val="20"/>
                <w:color w:val="auto"/>
              </w:rPr>
            </w:pPr>
            <w:r>
              <w:rPr>
                <w:rFonts w:ascii="Arial" w:cs="Arial" w:eastAsia="Arial" w:hAnsi="Arial"/>
                <w:sz w:val="18"/>
                <w:szCs w:val="18"/>
                <w:color w:val="auto"/>
                <w:w w:val="97"/>
              </w:rPr>
              <w:t>6.8%</w:t>
            </w:r>
          </w:p>
        </w:tc>
      </w:tr>
      <w:tr>
        <w:trPr>
          <w:trHeight w:val="610"/>
        </w:trPr>
        <w:tc>
          <w:tcPr>
            <w:tcW w:w="1980" w:type="dxa"/>
            <w:vAlign w:val="bottom"/>
          </w:tcPr>
          <w:p>
            <w:pPr>
              <w:jc w:val="right"/>
              <w:ind w:right="891"/>
              <w:spacing w:after="0"/>
              <w:rPr>
                <w:sz w:val="20"/>
                <w:szCs w:val="20"/>
                <w:color w:val="auto"/>
              </w:rPr>
            </w:pPr>
            <w:r>
              <w:rPr>
                <w:rFonts w:ascii="Arial" w:cs="Arial" w:eastAsia="Arial" w:hAnsi="Arial"/>
                <w:sz w:val="18"/>
                <w:szCs w:val="18"/>
                <w:color w:val="auto"/>
              </w:rPr>
              <w:t>8.5%</w:t>
            </w:r>
          </w:p>
        </w:tc>
        <w:tc>
          <w:tcPr>
            <w:tcW w:w="2000" w:type="dxa"/>
            <w:vAlign w:val="bottom"/>
          </w:tcPr>
          <w:p>
            <w:pPr>
              <w:jc w:val="center"/>
              <w:ind w:left="731"/>
              <w:spacing w:after="0"/>
              <w:rPr>
                <w:sz w:val="20"/>
                <w:szCs w:val="20"/>
                <w:color w:val="auto"/>
              </w:rPr>
            </w:pPr>
            <w:r>
              <w:rPr>
                <w:rFonts w:ascii="Arial" w:cs="Arial" w:eastAsia="Arial" w:hAnsi="Arial"/>
                <w:sz w:val="18"/>
                <w:szCs w:val="18"/>
                <w:color w:val="auto"/>
                <w:w w:val="97"/>
              </w:rPr>
              <w:t>10.0%</w:t>
            </w:r>
          </w:p>
        </w:tc>
      </w:tr>
      <w:tr>
        <w:trPr>
          <w:trHeight w:val="610"/>
        </w:trPr>
        <w:tc>
          <w:tcPr>
            <w:tcW w:w="1980" w:type="dxa"/>
            <w:vAlign w:val="bottom"/>
          </w:tcPr>
          <w:p>
            <w:pPr>
              <w:jc w:val="right"/>
              <w:ind w:right="851"/>
              <w:spacing w:after="0"/>
              <w:rPr>
                <w:sz w:val="20"/>
                <w:szCs w:val="20"/>
                <w:color w:val="auto"/>
              </w:rPr>
            </w:pPr>
            <w:r>
              <w:rPr>
                <w:rFonts w:ascii="Arial" w:cs="Arial" w:eastAsia="Arial" w:hAnsi="Arial"/>
                <w:sz w:val="18"/>
                <w:szCs w:val="18"/>
                <w:color w:val="auto"/>
              </w:rPr>
              <w:t>13.0%</w:t>
            </w:r>
          </w:p>
        </w:tc>
        <w:tc>
          <w:tcPr>
            <w:tcW w:w="2000" w:type="dxa"/>
            <w:vAlign w:val="bottom"/>
          </w:tcPr>
          <w:p>
            <w:pPr>
              <w:jc w:val="center"/>
              <w:ind w:left="751"/>
              <w:spacing w:after="0"/>
              <w:rPr>
                <w:sz w:val="20"/>
                <w:szCs w:val="20"/>
                <w:color w:val="auto"/>
              </w:rPr>
            </w:pPr>
            <w:r>
              <w:rPr>
                <w:rFonts w:ascii="Arial" w:cs="Arial" w:eastAsia="Arial" w:hAnsi="Arial"/>
                <w:sz w:val="18"/>
                <w:szCs w:val="18"/>
                <w:color w:val="auto"/>
                <w:w w:val="97"/>
              </w:rPr>
              <w:t>9.4%</w:t>
            </w:r>
          </w:p>
        </w:tc>
      </w:tr>
    </w:tbl>
    <w:p>
      <w:pPr>
        <w:spacing w:after="0" w:line="253" w:lineRule="exact"/>
        <w:rPr>
          <w:sz w:val="20"/>
          <w:szCs w:val="20"/>
          <w:color w:val="auto"/>
        </w:rPr>
      </w:pPr>
    </w:p>
    <w:p>
      <w:pPr>
        <w:sectPr>
          <w:pgSz w:w="11900" w:h="16838" w:orient="portrait"/>
          <w:cols w:equalWidth="0" w:num="3">
            <w:col w:w="2240" w:space="420"/>
            <w:col w:w="1920" w:space="580"/>
            <w:col w:w="4440"/>
          </w:cols>
          <w:pgMar w:left="1200" w:top="633" w:right="1099" w:bottom="1440" w:gutter="0" w:footer="0" w:header="0"/>
          <w:type w:val="continuous"/>
        </w:sectPr>
      </w:pPr>
    </w:p>
    <w:p>
      <w:pPr>
        <w:spacing w:after="0" w:line="76" w:lineRule="exact"/>
        <w:rPr>
          <w:sz w:val="20"/>
          <w:szCs w:val="20"/>
          <w:color w:val="auto"/>
        </w:rPr>
      </w:pPr>
    </w:p>
    <w:p>
      <w:pPr>
        <w:ind w:left="460" w:right="60"/>
        <w:spacing w:after="0" w:line="260" w:lineRule="auto"/>
        <w:rPr>
          <w:sz w:val="20"/>
          <w:szCs w:val="20"/>
          <w:color w:val="auto"/>
        </w:rPr>
      </w:pPr>
      <w:r>
        <w:rPr>
          <w:rFonts w:ascii="Arial" w:cs="Arial" w:eastAsia="Arial" w:hAnsi="Arial"/>
          <w:sz w:val="16"/>
          <w:szCs w:val="16"/>
          <w:color w:val="auto"/>
        </w:rPr>
        <w:t>recently announced Profit Enhancement Plan</w:t>
      </w:r>
    </w:p>
    <w:p>
      <w:pPr>
        <w:ind w:left="200"/>
        <w:spacing w:after="0" w:line="231" w:lineRule="auto"/>
        <w:tabs>
          <w:tab w:leader="none" w:pos="440" w:val="left"/>
        </w:tabs>
        <w:rPr>
          <w:sz w:val="20"/>
          <w:szCs w:val="20"/>
          <w:color w:val="auto"/>
        </w:rPr>
      </w:pPr>
      <w:r>
        <w:rPr>
          <w:rFonts w:ascii="Arial" w:cs="Arial" w:eastAsia="Arial" w:hAnsi="Arial"/>
          <w:sz w:val="17"/>
          <w:szCs w:val="17"/>
          <w:color w:val="auto"/>
        </w:rPr>
        <w:t>•</w:t>
        <w:tab/>
        <w:t>Vulcan still did not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detail on which</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assets are included in</w:t>
      </w:r>
    </w:p>
    <w:p>
      <w:pPr>
        <w:jc w:val="right"/>
        <w:spacing w:after="0" w:line="236" w:lineRule="auto"/>
        <w:rPr>
          <w:sz w:val="20"/>
          <w:szCs w:val="20"/>
          <w:color w:val="auto"/>
        </w:rPr>
      </w:pPr>
      <w:r>
        <w:rPr>
          <w:rFonts w:ascii="Arial" w:cs="Arial" w:eastAsia="Arial" w:hAnsi="Arial"/>
          <w:sz w:val="17"/>
          <w:szCs w:val="17"/>
          <w:color w:val="auto"/>
        </w:rPr>
        <w:t>their Planned Asset Sales</w:t>
      </w:r>
    </w:p>
    <w:p>
      <w:pPr>
        <w:ind w:left="460"/>
        <w:spacing w:after="0"/>
        <w:rPr>
          <w:sz w:val="20"/>
          <w:szCs w:val="20"/>
          <w:color w:val="auto"/>
        </w:rPr>
      </w:pPr>
      <w:r>
        <w:rPr>
          <w:rFonts w:ascii="Arial" w:cs="Arial" w:eastAsia="Arial" w:hAnsi="Arial"/>
          <w:sz w:val="17"/>
          <w:szCs w:val="17"/>
          <w:color w:val="auto"/>
        </w:rPr>
        <w:t>and expected timing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FFFFFF"/>
        </w:rPr>
        <w:t>2012 Aggregates</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FFFFF"/>
        </w:rPr>
        <w:t>Outlook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Other Results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Volume growth: 2% - 4%</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Price growth: 1% - 3%</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FFFFFF"/>
        </w:rPr>
        <w:t>Non-aggregates</w:t>
      </w:r>
      <w:r>
        <w:rPr>
          <w:rFonts w:ascii="Arial" w:cs="Arial" w:eastAsia="Arial" w:hAnsi="Arial"/>
          <w:sz w:val="12"/>
          <w:szCs w:val="12"/>
          <w:b w:val="1"/>
          <w:bCs w:val="1"/>
          <w:color w:val="FFFFFF"/>
        </w:rPr>
        <w:t>4</w:t>
      </w: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Negative gross margin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7"/>
          <w:szCs w:val="17"/>
          <w:color w:val="auto"/>
        </w:rPr>
        <w:t>Volume growth: 4% - 5%</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Price growth: 2% - 4%</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Specialty Products</w:t>
      </w:r>
      <w:r>
        <w:rPr>
          <w:rFonts w:ascii="Arial" w:cs="Arial" w:eastAsia="Arial" w:hAnsi="Arial"/>
          <w:sz w:val="12"/>
          <w:szCs w:val="12"/>
          <w:b w:val="1"/>
          <w:bCs w:val="1"/>
          <w:color w:val="FFFFFF"/>
        </w:rPr>
        <w:t>4</w:t>
      </w:r>
    </w:p>
    <w:p>
      <w:pPr>
        <w:spacing w:after="0" w:line="222" w:lineRule="exact"/>
        <w:rPr>
          <w:sz w:val="20"/>
          <w:szCs w:val="20"/>
          <w:color w:val="auto"/>
        </w:rPr>
      </w:pPr>
    </w:p>
    <w:p>
      <w:pPr>
        <w:ind w:right="160" w:hanging="21"/>
        <w:spacing w:after="0" w:line="281" w:lineRule="auto"/>
        <w:rPr>
          <w:sz w:val="20"/>
          <w:szCs w:val="20"/>
          <w:color w:val="auto"/>
        </w:rPr>
      </w:pPr>
      <w:r>
        <w:rPr>
          <w:rFonts w:ascii="Arial" w:cs="Arial" w:eastAsia="Arial" w:hAnsi="Arial"/>
          <w:sz w:val="14"/>
          <w:szCs w:val="14"/>
          <w:color w:val="auto"/>
        </w:rPr>
        <w:t>Quarterly record for net sales and earnings from operations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37.5% gross margin</w:t>
      </w:r>
    </w:p>
    <w:p>
      <w:pPr>
        <w:spacing w:after="0" w:line="156" w:lineRule="exact"/>
        <w:rPr>
          <w:sz w:val="20"/>
          <w:szCs w:val="20"/>
          <w:color w:val="auto"/>
        </w:rPr>
      </w:pPr>
    </w:p>
    <w:p>
      <w:pPr>
        <w:sectPr>
          <w:pgSz w:w="11900" w:h="16838" w:orient="portrait"/>
          <w:cols w:equalWidth="0" w:num="4">
            <w:col w:w="2360" w:space="500"/>
            <w:col w:w="1420" w:space="700"/>
            <w:col w:w="1960" w:space="620"/>
            <w:col w:w="2040"/>
          </w:cols>
          <w:pgMar w:left="1200" w:top="633" w:right="1099" w:bottom="1440" w:gutter="0" w:footer="0" w:header="0"/>
          <w:type w:val="continuous"/>
        </w:sectPr>
      </w:pPr>
    </w:p>
    <w:p>
      <w:pPr>
        <w:ind w:left="60"/>
        <w:spacing w:after="0"/>
        <w:tabs>
          <w:tab w:leader="none" w:pos="46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YoY Net Sales growth reflects Heritage Aggregates business. Inclusive of acquisitions, the YoY Net Sales growth is 20.6%.</w:t>
      </w:r>
    </w:p>
    <w:p>
      <w:pPr>
        <w:spacing w:after="0" w:line="7"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Please see EBITDA reconciliation in appendix.</w:t>
      </w:r>
    </w:p>
    <w:p>
      <w:pPr>
        <w:spacing w:after="0" w:line="7"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0"/>
          <w:szCs w:val="10"/>
          <w:color w:val="auto"/>
        </w:rPr>
        <w:t>Note 3:</w:t>
      </w:r>
      <w:r>
        <w:rPr>
          <w:sz w:val="20"/>
          <w:szCs w:val="20"/>
          <w:color w:val="auto"/>
        </w:rPr>
        <w:tab/>
      </w:r>
      <w:r>
        <w:rPr>
          <w:rFonts w:ascii="Arial" w:cs="Arial" w:eastAsia="Arial" w:hAnsi="Arial"/>
          <w:sz w:val="9"/>
          <w:szCs w:val="9"/>
          <w:color w:val="auto"/>
        </w:rPr>
        <w:t>SG&amp;A not adjusted for R&amp;D expense, as item not disclosed in Vulcan's Q1 2012 press release.</w:t>
      </w:r>
    </w:p>
    <w:p>
      <w:pPr>
        <w:spacing w:after="0" w:line="18" w:lineRule="exact"/>
        <w:rPr>
          <w:sz w:val="20"/>
          <w:szCs w:val="20"/>
          <w:color w:val="auto"/>
        </w:rPr>
      </w:pPr>
    </w:p>
    <w:p>
      <w:pPr>
        <w:ind w:left="60"/>
        <w:spacing w:after="0"/>
        <w:tabs>
          <w:tab w:leader="none" w:pos="460" w:val="left"/>
          <w:tab w:leader="none" w:pos="4800" w:val="left"/>
        </w:tabs>
        <w:rPr>
          <w:sz w:val="20"/>
          <w:szCs w:val="20"/>
          <w:color w:val="auto"/>
        </w:rPr>
      </w:pPr>
      <w:r>
        <w:rPr>
          <w:rFonts w:ascii="Arial" w:cs="Arial" w:eastAsia="Arial" w:hAnsi="Arial"/>
          <w:sz w:val="10"/>
          <w:szCs w:val="10"/>
          <w:color w:val="auto"/>
        </w:rPr>
        <w:t>Note 4:</w:t>
        <w:tab/>
        <w:t>Vulcan’s non-aggregates  segment includes concrete,  asphalt and cement. Martin Marietta’s</w:t>
        <w:tab/>
        <w:t>Specialty Products segment includes the magnesia-based chemicals and dolomitic lime businesses.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0"/>
          <w:szCs w:val="10"/>
          <w:color w:val="auto"/>
        </w:rPr>
        <w:t>Source:  Company filings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w:t>
      </w:r>
    </w:p>
    <w:p>
      <w:pPr>
        <w:sectPr>
          <w:pgSz w:w="11900" w:h="16838" w:orient="portrait"/>
          <w:cols w:equalWidth="0" w:num="1">
            <w:col w:w="9600"/>
          </w:cols>
          <w:pgMar w:left="1200" w:top="633" w:right="109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35"/>
          <w:szCs w:val="35"/>
          <w:color w:val="004E7A"/>
        </w:rPr>
        <w:t>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w:t>
      </w:r>
    </w:p>
    <w:p>
      <w:pPr>
        <w:sectPr>
          <w:pgSz w:w="11900" w:h="16838" w:orient="portrait"/>
          <w:cols w:equalWidth="0" w:num="1">
            <w:col w:w="9360"/>
          </w:cols>
          <w:pgMar w:left="1440" w:top="1440" w:right="1099" w:bottom="1440" w:gutter="0" w:footer="0" w:header="0"/>
        </w:sectPr>
      </w:pPr>
    </w:p>
    <w:bookmarkStart w:id="4" w:name="page5"/>
    <w:bookmarkEnd w:id="4"/>
    <w:p>
      <w:pPr>
        <w:ind w:right="22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 Shareholders Should Show Their Support for Martin Marietta's Compelling Offer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spacing w:after="0"/>
        <w:rPr>
          <w:sz w:val="20"/>
          <w:szCs w:val="20"/>
          <w:color w:val="auto"/>
        </w:rPr>
      </w:pPr>
      <w:r>
        <w:rPr>
          <w:rFonts w:ascii="Arial" w:cs="Arial" w:eastAsia="Arial" w:hAnsi="Arial"/>
          <w:sz w:val="23"/>
          <w:szCs w:val="23"/>
          <w:color w:val="auto"/>
        </w:rPr>
        <w:t>Martin Marietta believes that:</w:t>
      </w:r>
    </w:p>
    <w:p>
      <w:pPr>
        <w:spacing w:after="0" w:line="323" w:lineRule="exact"/>
        <w:rPr>
          <w:sz w:val="20"/>
          <w:szCs w:val="20"/>
          <w:color w:val="auto"/>
        </w:rPr>
      </w:pPr>
    </w:p>
    <w:p>
      <w:pPr>
        <w:ind w:left="500" w:right="760" w:hanging="325"/>
        <w:spacing w:after="0" w:line="266" w:lineRule="auto"/>
        <w:tabs>
          <w:tab w:leader="none" w:pos="500" w:val="left"/>
        </w:tabs>
        <w:numPr>
          <w:ilvl w:val="0"/>
          <w:numId w:val="6"/>
        </w:numPr>
        <w:rPr>
          <w:rFonts w:ascii="Arial" w:cs="Arial" w:eastAsia="Arial" w:hAnsi="Arial"/>
          <w:sz w:val="23"/>
          <w:szCs w:val="23"/>
          <w:color w:val="auto"/>
        </w:rPr>
      </w:pPr>
      <w:r>
        <w:rPr>
          <w:rFonts w:ascii="Arial" w:cs="Arial" w:eastAsia="Arial" w:hAnsi="Arial"/>
          <w:sz w:val="23"/>
          <w:szCs w:val="23"/>
          <w:color w:val="auto"/>
        </w:rPr>
        <w:t>There is undeniable strategic logic in the combination of Martin Marietta and Vulcan</w:t>
      </w:r>
    </w:p>
    <w:p>
      <w:pPr>
        <w:spacing w:after="0" w:line="278" w:lineRule="exact"/>
        <w:rPr>
          <w:rFonts w:ascii="Arial" w:cs="Arial" w:eastAsia="Arial" w:hAnsi="Arial"/>
          <w:sz w:val="23"/>
          <w:szCs w:val="23"/>
          <w:color w:val="auto"/>
        </w:rPr>
      </w:pPr>
    </w:p>
    <w:p>
      <w:pPr>
        <w:ind w:left="500" w:right="960" w:hanging="325"/>
        <w:spacing w:after="0" w:line="266" w:lineRule="auto"/>
        <w:tabs>
          <w:tab w:leader="none" w:pos="500" w:val="left"/>
        </w:tabs>
        <w:numPr>
          <w:ilvl w:val="0"/>
          <w:numId w:val="6"/>
        </w:numPr>
        <w:rPr>
          <w:rFonts w:ascii="Arial" w:cs="Arial" w:eastAsia="Arial" w:hAnsi="Arial"/>
          <w:sz w:val="23"/>
          <w:szCs w:val="23"/>
          <w:color w:val="auto"/>
        </w:rPr>
      </w:pPr>
      <w:r>
        <w:rPr>
          <w:rFonts w:ascii="Arial" w:cs="Arial" w:eastAsia="Arial" w:hAnsi="Arial"/>
          <w:sz w:val="23"/>
          <w:szCs w:val="23"/>
          <w:color w:val="auto"/>
        </w:rPr>
        <w:t>Vulcan’s claims of undervaluation ignore the fact that Vulcan shareholders are not cashing out, but rather maintaining ~58% ownership in a stronger entity</w:t>
      </w:r>
    </w:p>
    <w:p>
      <w:pPr>
        <w:spacing w:after="0" w:line="278" w:lineRule="exact"/>
        <w:rPr>
          <w:rFonts w:ascii="Arial" w:cs="Arial" w:eastAsia="Arial" w:hAnsi="Arial"/>
          <w:sz w:val="23"/>
          <w:szCs w:val="23"/>
          <w:color w:val="auto"/>
        </w:rPr>
      </w:pPr>
    </w:p>
    <w:p>
      <w:pPr>
        <w:ind w:left="500" w:right="1480" w:hanging="325"/>
        <w:spacing w:after="0" w:line="266" w:lineRule="auto"/>
        <w:tabs>
          <w:tab w:leader="none" w:pos="500" w:val="left"/>
        </w:tabs>
        <w:numPr>
          <w:ilvl w:val="0"/>
          <w:numId w:val="6"/>
        </w:numPr>
        <w:rPr>
          <w:rFonts w:ascii="Arial" w:cs="Arial" w:eastAsia="Arial" w:hAnsi="Arial"/>
          <w:sz w:val="23"/>
          <w:szCs w:val="23"/>
          <w:color w:val="auto"/>
        </w:rPr>
      </w:pPr>
      <w:r>
        <w:rPr>
          <w:rFonts w:ascii="Arial" w:cs="Arial" w:eastAsia="Arial" w:hAnsi="Arial"/>
          <w:sz w:val="23"/>
          <w:szCs w:val="23"/>
          <w:color w:val="auto"/>
        </w:rPr>
        <w:t>Vulcan continues to mask underperformance and value destruction while refusing to accept Martin Marietta’s invitation to engage in discussions</w:t>
      </w:r>
    </w:p>
    <w:p>
      <w:pPr>
        <w:spacing w:after="0" w:line="278" w:lineRule="exact"/>
        <w:rPr>
          <w:rFonts w:ascii="Arial" w:cs="Arial" w:eastAsia="Arial" w:hAnsi="Arial"/>
          <w:sz w:val="23"/>
          <w:szCs w:val="23"/>
          <w:color w:val="auto"/>
        </w:rPr>
      </w:pPr>
    </w:p>
    <w:p>
      <w:pPr>
        <w:ind w:left="500" w:right="1080" w:hanging="325"/>
        <w:spacing w:after="0" w:line="266" w:lineRule="auto"/>
        <w:tabs>
          <w:tab w:leader="none" w:pos="500" w:val="left"/>
        </w:tabs>
        <w:numPr>
          <w:ilvl w:val="0"/>
          <w:numId w:val="6"/>
        </w:numPr>
        <w:rPr>
          <w:rFonts w:ascii="Arial" w:cs="Arial" w:eastAsia="Arial" w:hAnsi="Arial"/>
          <w:sz w:val="23"/>
          <w:szCs w:val="23"/>
          <w:color w:val="auto"/>
        </w:rPr>
      </w:pPr>
      <w:r>
        <w:rPr>
          <w:rFonts w:ascii="Arial" w:cs="Arial" w:eastAsia="Arial" w:hAnsi="Arial"/>
          <w:sz w:val="23"/>
          <w:szCs w:val="23"/>
          <w:color w:val="auto"/>
        </w:rPr>
        <w:t>Vulcan shareholders have an opportunity to send a strong messageto their Board</w:t>
      </w:r>
    </w:p>
    <w:p>
      <w:pPr>
        <w:spacing w:after="0" w:line="87" w:lineRule="exact"/>
        <w:rPr>
          <w:rFonts w:ascii="Arial" w:cs="Arial" w:eastAsia="Arial" w:hAnsi="Arial"/>
          <w:sz w:val="23"/>
          <w:szCs w:val="23"/>
          <w:color w:val="auto"/>
        </w:rPr>
      </w:pPr>
    </w:p>
    <w:p>
      <w:pPr>
        <w:ind w:left="700"/>
        <w:spacing w:after="0"/>
        <w:rPr>
          <w:rFonts w:ascii="Arial" w:cs="Arial" w:eastAsia="Arial" w:hAnsi="Arial"/>
          <w:sz w:val="23"/>
          <w:szCs w:val="23"/>
          <w:color w:val="auto"/>
        </w:rPr>
      </w:pPr>
      <w:r>
        <w:rPr>
          <w:rFonts w:ascii="Arial" w:cs="Arial" w:eastAsia="Arial" w:hAnsi="Arial"/>
          <w:sz w:val="21"/>
          <w:szCs w:val="21"/>
          <w:color w:val="auto"/>
        </w:rPr>
        <w:t>–  Elect Martin Marietta’s independent nominees to the Vulcan Board</w:t>
      </w:r>
    </w:p>
    <w:p>
      <w:pPr>
        <w:spacing w:after="0" w:line="124" w:lineRule="exact"/>
        <w:rPr>
          <w:rFonts w:ascii="Arial" w:cs="Arial" w:eastAsia="Arial" w:hAnsi="Arial"/>
          <w:sz w:val="23"/>
          <w:szCs w:val="23"/>
          <w:color w:val="auto"/>
        </w:rPr>
      </w:pPr>
    </w:p>
    <w:p>
      <w:pPr>
        <w:ind w:left="700"/>
        <w:spacing w:after="0"/>
        <w:rPr>
          <w:rFonts w:ascii="Arial" w:cs="Arial" w:eastAsia="Arial" w:hAnsi="Arial"/>
          <w:sz w:val="23"/>
          <w:szCs w:val="23"/>
          <w:color w:val="auto"/>
        </w:rPr>
      </w:pPr>
      <w:r>
        <w:rPr>
          <w:rFonts w:ascii="Arial" w:cs="Arial" w:eastAsia="Arial" w:hAnsi="Arial"/>
          <w:sz w:val="21"/>
          <w:szCs w:val="21"/>
          <w:color w:val="auto"/>
        </w:rPr>
        <w:t>–  Communicate support for the transaction to fellow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4</w:t>
      </w:r>
    </w:p>
    <w:p>
      <w:pPr>
        <w:sectPr>
          <w:pgSz w:w="11900" w:h="16838" w:orient="portrait"/>
          <w:cols w:equalWidth="0" w:num="1">
            <w:col w:w="9460"/>
          </w:cols>
          <w:pgMar w:left="1340" w:top="456" w:right="1099" w:bottom="1440" w:gutter="0" w:footer="0" w:header="0"/>
        </w:sectPr>
      </w:pPr>
    </w:p>
    <w:bookmarkStart w:id="5" w:name="page6"/>
    <w:bookmarkEnd w:id="5"/>
    <w:p>
      <w:pPr>
        <w:ind w:left="140" w:right="380"/>
        <w:spacing w:after="0" w:line="274" w:lineRule="auto"/>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Martin Marietta’s Proposal is a 100% Stock-for-Stock Combination, With Vulcan Shareholders Retaining ~58% Ownership</w:t>
      </w:r>
    </w:p>
    <w:p>
      <w:pPr>
        <w:spacing w:after="0" w:line="257" w:lineRule="exact"/>
        <w:rPr>
          <w:sz w:val="20"/>
          <w:szCs w:val="20"/>
          <w:color w:val="auto"/>
        </w:rPr>
      </w:pPr>
    </w:p>
    <w:p>
      <w:pPr>
        <w:ind w:left="300" w:right="900"/>
        <w:spacing w:after="0" w:line="254" w:lineRule="auto"/>
        <w:rPr>
          <w:sz w:val="20"/>
          <w:szCs w:val="20"/>
          <w:color w:val="auto"/>
        </w:rPr>
      </w:pPr>
      <w:r>
        <w:rPr>
          <w:rFonts w:ascii="Arial" w:cs="Arial" w:eastAsia="Arial" w:hAnsi="Arial"/>
          <w:sz w:val="19"/>
          <w:szCs w:val="19"/>
          <w:b w:val="1"/>
          <w:bCs w:val="1"/>
          <w:color w:val="auto"/>
        </w:rPr>
        <w:t>Vulcan’s statements about value for its shareholders fundamentally mischaracterize Martin Marietta’s proposal, ignoring the shared upside of a stock-for-stock combination</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The offer:</w:t>
      </w:r>
    </w:p>
    <w:p>
      <w:pPr>
        <w:spacing w:after="0" w:line="72" w:lineRule="exact"/>
        <w:rPr>
          <w:sz w:val="20"/>
          <w:szCs w:val="20"/>
          <w:color w:val="auto"/>
        </w:rPr>
      </w:pPr>
    </w:p>
    <w:p>
      <w:pPr>
        <w:ind w:left="640" w:right="860" w:hanging="198"/>
        <w:spacing w:after="0" w:line="200" w:lineRule="auto"/>
        <w:rPr>
          <w:sz w:val="20"/>
          <w:szCs w:val="20"/>
          <w:color w:val="auto"/>
        </w:rPr>
      </w:pPr>
      <w:r>
        <w:rPr>
          <w:rFonts w:ascii="Arial" w:cs="Arial" w:eastAsia="Arial" w:hAnsi="Arial"/>
          <w:sz w:val="19"/>
          <w:szCs w:val="19"/>
          <w:color w:val="auto"/>
        </w:rPr>
        <w:t xml:space="preserve">– Doesnot undervalue Vulcan; it provides an immediate premium to the unaffected price and values Vulcan at a 2012 EBITDAmultiple of 16.7x while Martin Marietta is trading at 12.7x </w:t>
      </w:r>
      <w:r>
        <w:rPr>
          <w:rFonts w:ascii="Arial" w:cs="Arial" w:eastAsia="Arial" w:hAnsi="Arial"/>
          <w:sz w:val="26"/>
          <w:szCs w:val="26"/>
          <w:color w:val="auto"/>
          <w:vertAlign w:val="superscript"/>
        </w:rPr>
        <w:t>1</w:t>
      </w:r>
    </w:p>
    <w:p>
      <w:pPr>
        <w:spacing w:after="0" w:line="1" w:lineRule="exact"/>
        <w:rPr>
          <w:sz w:val="20"/>
          <w:szCs w:val="20"/>
          <w:color w:val="auto"/>
        </w:rPr>
      </w:pPr>
    </w:p>
    <w:p>
      <w:pPr>
        <w:ind w:left="640" w:right="1060" w:hanging="198"/>
        <w:spacing w:after="0" w:line="237" w:lineRule="auto"/>
        <w:rPr>
          <w:sz w:val="20"/>
          <w:szCs w:val="20"/>
          <w:color w:val="auto"/>
        </w:rPr>
      </w:pPr>
      <w:r>
        <w:rPr>
          <w:rFonts w:ascii="Arial" w:cs="Arial" w:eastAsia="Arial" w:hAnsi="Arial"/>
          <w:sz w:val="19"/>
          <w:szCs w:val="19"/>
          <w:color w:val="auto"/>
        </w:rPr>
        <w:t>– Does not exploit cyclical lows; Vulcan’s share price already reflects expected recovery given current trading multiple and offer at a fixed exchange ratio</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EnhancesVulcan shareholder value through synergies and shared upside in a tax-free combination</w:t>
      </w:r>
    </w:p>
    <w:p>
      <w:pPr>
        <w:spacing w:after="0" w:line="190" w:lineRule="exact"/>
        <w:rPr>
          <w:sz w:val="20"/>
          <w:szCs w:val="20"/>
          <w:color w:val="auto"/>
        </w:rPr>
      </w:pPr>
    </w:p>
    <w:p>
      <w:pPr>
        <w:ind w:left="6500"/>
        <w:spacing w:after="0"/>
        <w:rPr>
          <w:sz w:val="20"/>
          <w:szCs w:val="20"/>
          <w:color w:val="auto"/>
        </w:rPr>
      </w:pPr>
      <w:r>
        <w:rPr>
          <w:rFonts w:ascii="Arial" w:cs="Arial" w:eastAsia="Arial" w:hAnsi="Arial"/>
          <w:sz w:val="23"/>
          <w:szCs w:val="23"/>
          <w:b w:val="1"/>
          <w:bCs w:val="1"/>
          <w:color w:val="FFFFFF"/>
        </w:rPr>
        <w:t>Martin Marietta’s</w:t>
      </w:r>
    </w:p>
    <w:p>
      <w:pPr>
        <w:spacing w:after="0" w:line="44" w:lineRule="exact"/>
        <w:rPr>
          <w:sz w:val="20"/>
          <w:szCs w:val="20"/>
          <w:color w:val="auto"/>
        </w:rPr>
      </w:pPr>
    </w:p>
    <w:p>
      <w:pPr>
        <w:ind w:left="2760"/>
        <w:spacing w:after="0"/>
        <w:tabs>
          <w:tab w:leader="none" w:pos="6080" w:val="left"/>
        </w:tabs>
        <w:rPr>
          <w:sz w:val="20"/>
          <w:szCs w:val="20"/>
          <w:color w:val="auto"/>
        </w:rPr>
      </w:pPr>
      <w:r>
        <w:rPr>
          <w:rFonts w:ascii="Arial" w:cs="Arial" w:eastAsia="Arial" w:hAnsi="Arial"/>
          <w:sz w:val="23"/>
          <w:szCs w:val="23"/>
          <w:b w:val="1"/>
          <w:bCs w:val="1"/>
          <w:color w:val="FFFFFF"/>
        </w:rPr>
        <w:t>Cash Acquisition</w:t>
      </w:r>
      <w:r>
        <w:rPr>
          <w:sz w:val="20"/>
          <w:szCs w:val="20"/>
          <w:color w:val="auto"/>
        </w:rPr>
        <w:tab/>
      </w:r>
      <w:r>
        <w:rPr>
          <w:rFonts w:ascii="Arial" w:cs="Arial" w:eastAsia="Arial" w:hAnsi="Arial"/>
          <w:sz w:val="23"/>
          <w:szCs w:val="23"/>
          <w:b w:val="1"/>
          <w:bCs w:val="1"/>
          <w:color w:val="FFFFFF"/>
        </w:rPr>
        <w:t>Proposed Stock-for-Stock</w:t>
      </w:r>
    </w:p>
    <w:p>
      <w:pPr>
        <w:spacing w:after="0" w:line="24" w:lineRule="exact"/>
        <w:rPr>
          <w:sz w:val="20"/>
          <w:szCs w:val="20"/>
          <w:color w:val="auto"/>
        </w:rPr>
      </w:pPr>
    </w:p>
    <w:p>
      <w:pPr>
        <w:ind w:left="6760"/>
        <w:spacing w:after="0"/>
        <w:rPr>
          <w:sz w:val="20"/>
          <w:szCs w:val="20"/>
          <w:color w:val="auto"/>
        </w:rPr>
      </w:pPr>
      <w:r>
        <w:rPr>
          <w:rFonts w:ascii="Arial" w:cs="Arial" w:eastAsia="Arial" w:hAnsi="Arial"/>
          <w:sz w:val="23"/>
          <w:szCs w:val="23"/>
          <w:b w:val="1"/>
          <w:bCs w:val="1"/>
          <w:color w:val="FFFFFF"/>
        </w:rPr>
        <w:t>Combination</w:t>
      </w:r>
    </w:p>
    <w:p>
      <w:pPr>
        <w:sectPr>
          <w:pgSz w:w="11900" w:h="16838" w:orient="portrait"/>
          <w:cols w:equalWidth="0" w:num="1">
            <w:col w:w="9360"/>
          </w:cols>
          <w:pgMar w:left="1440" w:top="456" w:right="1099" w:bottom="1440" w:gutter="0" w:footer="0" w:header="0"/>
        </w:sect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FFFFFF"/>
        </w:rPr>
        <w:t>Consideration</w:t>
      </w:r>
    </w:p>
    <w:p>
      <w:pPr>
        <w:spacing w:after="0" w:line="36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FFFFFF"/>
        </w:rPr>
        <w:t>Leverage</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21"/>
          <w:szCs w:val="21"/>
          <w:b w:val="1"/>
          <w:bCs w:val="1"/>
          <w:color w:val="FFFFFF"/>
        </w:rPr>
        <w:t>Synergies</w:t>
      </w:r>
    </w:p>
    <w:p>
      <w:pPr>
        <w:spacing w:after="0" w:line="246"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FFFFFF"/>
        </w:rPr>
        <w:t>Timing</w:t>
      </w:r>
    </w:p>
    <w:p>
      <w:pPr>
        <w:spacing w:after="0" w:line="346" w:lineRule="exact"/>
        <w:rPr>
          <w:sz w:val="20"/>
          <w:szCs w:val="20"/>
          <w:color w:val="auto"/>
        </w:rPr>
      </w:pPr>
    </w:p>
    <w:p>
      <w:pPr>
        <w:jc w:val="center"/>
        <w:ind w:left="260"/>
        <w:spacing w:after="0"/>
        <w:rPr>
          <w:sz w:val="20"/>
          <w:szCs w:val="20"/>
          <w:color w:val="auto"/>
        </w:rPr>
      </w:pPr>
      <w:r>
        <w:rPr>
          <w:rFonts w:ascii="Arial" w:cs="Arial" w:eastAsia="Arial" w:hAnsi="Arial"/>
          <w:sz w:val="21"/>
          <w:szCs w:val="21"/>
          <w:b w:val="1"/>
          <w:bCs w:val="1"/>
          <w:color w:val="FFFFFF"/>
        </w:rPr>
        <w:t>Premium</w:t>
      </w:r>
    </w:p>
    <w:p>
      <w:pPr>
        <w:spacing w:after="0" w:line="313"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FFFFFF"/>
        </w:rPr>
        <w:t>Future Upside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Cash</w:t>
      </w:r>
    </w:p>
    <w:p>
      <w:pPr>
        <w:spacing w:after="0" w:line="200" w:lineRule="exact"/>
        <w:rPr>
          <w:sz w:val="20"/>
          <w:szCs w:val="20"/>
          <w:color w:val="auto"/>
        </w:rPr>
      </w:pPr>
    </w:p>
    <w:p>
      <w:pPr>
        <w:spacing w:after="0" w:line="203" w:lineRule="exact"/>
        <w:rPr>
          <w:sz w:val="20"/>
          <w:szCs w:val="20"/>
          <w:color w:val="auto"/>
        </w:rPr>
      </w:pPr>
    </w:p>
    <w:p>
      <w:pPr>
        <w:jc w:val="center"/>
        <w:ind w:left="-119"/>
        <w:spacing w:after="0"/>
        <w:rPr>
          <w:sz w:val="20"/>
          <w:szCs w:val="20"/>
          <w:color w:val="auto"/>
        </w:rPr>
      </w:pPr>
      <w:r>
        <w:rPr>
          <w:rFonts w:ascii="Arial" w:cs="Arial" w:eastAsia="Arial" w:hAnsi="Arial"/>
          <w:sz w:val="18"/>
          <w:szCs w:val="18"/>
          <w:color w:val="auto"/>
        </w:rPr>
        <w:t>Burden increases for buyer</w:t>
      </w:r>
    </w:p>
    <w:p>
      <w:pPr>
        <w:spacing w:after="0" w:line="303" w:lineRule="exact"/>
        <w:rPr>
          <w:sz w:val="20"/>
          <w:szCs w:val="20"/>
          <w:color w:val="auto"/>
        </w:rPr>
      </w:pPr>
    </w:p>
    <w:p>
      <w:pPr>
        <w:jc w:val="center"/>
        <w:ind w:left="-99"/>
        <w:spacing w:after="0"/>
        <w:rPr>
          <w:sz w:val="20"/>
          <w:szCs w:val="20"/>
          <w:color w:val="auto"/>
        </w:rPr>
      </w:pPr>
      <w:r>
        <w:rPr>
          <w:rFonts w:ascii="Arial" w:cs="Arial" w:eastAsia="Arial" w:hAnsi="Arial"/>
          <w:sz w:val="18"/>
          <w:szCs w:val="18"/>
          <w:color w:val="auto"/>
        </w:rPr>
        <w:t>Accrue to buyer only</w:t>
      </w:r>
    </w:p>
    <w:p>
      <w:pPr>
        <w:spacing w:after="0" w:line="3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Opportunistic timing is critical</w:t>
      </w:r>
    </w:p>
    <w:p>
      <w:pPr>
        <w:spacing w:after="0" w:line="281"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color w:val="auto"/>
        </w:rPr>
        <w:t>Typically higher than transactions with stock or mixed consideration</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Seller does not participate in future upside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Stock</w:t>
      </w:r>
    </w:p>
    <w:p>
      <w:pPr>
        <w:spacing w:after="0" w:line="303" w:lineRule="exact"/>
        <w:rPr>
          <w:sz w:val="20"/>
          <w:szCs w:val="20"/>
          <w:color w:val="auto"/>
        </w:rPr>
      </w:pPr>
    </w:p>
    <w:p>
      <w:pPr>
        <w:jc w:val="center"/>
        <w:ind w:right="260"/>
        <w:spacing w:after="0" w:line="250" w:lineRule="auto"/>
        <w:rPr>
          <w:sz w:val="20"/>
          <w:szCs w:val="20"/>
          <w:color w:val="auto"/>
        </w:rPr>
      </w:pPr>
      <w:r>
        <w:rPr>
          <w:rFonts w:ascii="Arial" w:cs="Arial" w:eastAsia="Arial" w:hAnsi="Arial"/>
          <w:sz w:val="18"/>
          <w:szCs w:val="18"/>
          <w:color w:val="auto"/>
        </w:rPr>
        <w:t>No incremental leverage related to financing of transaction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Realized and shared</w:t>
      </w:r>
    </w:p>
    <w:p>
      <w:pPr>
        <w:spacing w:after="0" w:line="192" w:lineRule="exact"/>
        <w:rPr>
          <w:sz w:val="20"/>
          <w:szCs w:val="20"/>
          <w:color w:val="auto"/>
        </w:rPr>
      </w:pPr>
    </w:p>
    <w:p>
      <w:pPr>
        <w:ind w:left="1280" w:right="400" w:hanging="1085"/>
        <w:spacing w:after="0" w:line="250" w:lineRule="auto"/>
        <w:rPr>
          <w:sz w:val="20"/>
          <w:szCs w:val="20"/>
          <w:color w:val="auto"/>
        </w:rPr>
      </w:pPr>
      <w:r>
        <w:rPr>
          <w:rFonts w:ascii="Arial" w:cs="Arial" w:eastAsia="Arial" w:hAnsi="Arial"/>
          <w:sz w:val="18"/>
          <w:szCs w:val="18"/>
          <w:color w:val="auto"/>
        </w:rPr>
        <w:t>Less important as parties ride economic cycle together</w:t>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Meaningful premium to the unaffected price</w:t>
      </w:r>
    </w:p>
    <w:p>
      <w:pPr>
        <w:spacing w:after="0" w:line="31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Shared by both parties</w:t>
      </w:r>
    </w:p>
    <w:p>
      <w:pPr>
        <w:spacing w:after="0" w:line="206" w:lineRule="exact"/>
        <w:rPr>
          <w:sz w:val="20"/>
          <w:szCs w:val="20"/>
          <w:color w:val="auto"/>
        </w:rPr>
      </w:pPr>
    </w:p>
    <w:p>
      <w:pPr>
        <w:sectPr>
          <w:pgSz w:w="11900" w:h="16838" w:orient="portrait"/>
          <w:cols w:equalWidth="0" w:num="3">
            <w:col w:w="1720" w:space="120"/>
            <w:col w:w="3460" w:space="320"/>
            <w:col w:w="3740"/>
          </w:cols>
          <w:pgMar w:left="1440" w:top="456" w:right="1099" w:bottom="1440" w:gutter="0" w:footer="0" w:header="0"/>
          <w:type w:val="continuous"/>
        </w:sectPr>
      </w:pPr>
    </w:p>
    <w:p>
      <w:pPr>
        <w:ind w:left="640" w:right="600" w:hanging="420"/>
        <w:spacing w:after="0" w:line="265" w:lineRule="auto"/>
        <w:tabs>
          <w:tab w:leader="none" w:pos="620" w:val="left"/>
        </w:tabs>
        <w:rPr>
          <w:sz w:val="20"/>
          <w:szCs w:val="20"/>
          <w:color w:val="auto"/>
        </w:rPr>
      </w:pPr>
      <w:r>
        <w:rPr>
          <w:rFonts w:ascii="Arial" w:cs="Arial" w:eastAsia="Arial" w:hAnsi="Arial"/>
          <w:sz w:val="10"/>
          <w:szCs w:val="10"/>
          <w:color w:val="auto"/>
        </w:rPr>
        <w:t>Note 1:</w:t>
        <w:tab/>
        <w:t>Vulcan implied TEV/2012E EBITDA based on 0.50 of a Martin Marietta share of common stock for each Vulcan share of common stock (as of 4/27/2012). EBITDA projections based on Thomson median consensus estimates as of 4/27/2012.</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5</w:t>
      </w:r>
    </w:p>
    <w:p>
      <w:pPr>
        <w:sectPr>
          <w:pgSz w:w="11900" w:h="16838" w:orient="portrait"/>
          <w:cols w:equalWidth="0" w:num="1">
            <w:col w:w="9360"/>
          </w:cols>
          <w:pgMar w:left="1440" w:top="456" w:right="10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 xml:space="preserve">We Agree With Vulcan’s Assertion that “It All Comes Down to Value”  </w:t>
      </w:r>
      <w:r>
        <w:rPr>
          <w:rFonts w:ascii="Arial" w:cs="Arial" w:eastAsia="Arial" w:hAnsi="Arial"/>
          <w:sz w:val="41"/>
          <w:szCs w:val="41"/>
          <w:color w:val="auto"/>
          <w:vertAlign w:val="superscript"/>
        </w:rPr>
        <w:t>1</w:t>
      </w:r>
      <w:r>
        <w:rPr>
          <w:rFonts w:ascii="Arial" w:cs="Arial" w:eastAsia="Arial" w:hAnsi="Arial"/>
          <w:sz w:val="29"/>
          <w:szCs w:val="29"/>
          <w:color w:val="auto"/>
        </w:rPr>
        <w:t>…</w:t>
      </w:r>
    </w:p>
    <w:p>
      <w:pPr>
        <w:sectPr>
          <w:pgSz w:w="11900" w:h="16838" w:orient="portrait"/>
          <w:cols w:equalWidth="0" w:num="1">
            <w:col w:w="9620"/>
          </w:cols>
          <w:pgMar w:left="1340" w:top="614"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300"/>
        <w:spacing w:after="0"/>
        <w:tabs>
          <w:tab w:leader="none" w:pos="2600" w:val="left"/>
        </w:tabs>
        <w:rPr>
          <w:sz w:val="20"/>
          <w:szCs w:val="20"/>
          <w:color w:val="auto"/>
        </w:rPr>
      </w:pPr>
      <w:r>
        <w:rPr>
          <w:rFonts w:ascii="Arial" w:cs="Arial" w:eastAsia="Arial" w:hAnsi="Arial"/>
          <w:sz w:val="21"/>
          <w:szCs w:val="21"/>
          <w:color w:val="auto"/>
        </w:rPr>
        <w:t>•</w:t>
        <w:tab/>
        <w:t>Combination creates a “world-class” U.S.-based aggregates leader</w:t>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2180" w:type="dxa"/>
            <w:vAlign w:val="bottom"/>
            <w:vMerge w:val="restart"/>
          </w:tcPr>
          <w:p>
            <w:pPr>
              <w:spacing w:after="0"/>
              <w:rPr>
                <w:sz w:val="20"/>
                <w:szCs w:val="20"/>
                <w:color w:val="auto"/>
              </w:rPr>
            </w:pPr>
            <w:r>
              <w:rPr>
                <w:rFonts w:ascii="Arial" w:cs="Arial" w:eastAsia="Arial" w:hAnsi="Arial"/>
                <w:sz w:val="21"/>
                <w:szCs w:val="21"/>
                <w:b w:val="1"/>
                <w:bCs w:val="1"/>
                <w:color w:val="FFFFFF"/>
              </w:rPr>
              <w:t>Aggregates Leader</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80" w:type="dxa"/>
            <w:vAlign w:val="bottom"/>
          </w:tcPr>
          <w:p>
            <w:pPr>
              <w:ind w:left="100"/>
              <w:spacing w:after="0"/>
              <w:rPr>
                <w:sz w:val="20"/>
                <w:szCs w:val="20"/>
                <w:color w:val="auto"/>
              </w:rPr>
            </w:pPr>
            <w:r>
              <w:rPr>
                <w:rFonts w:ascii="Arial" w:cs="Arial" w:eastAsia="Arial" w:hAnsi="Arial"/>
                <w:sz w:val="18"/>
                <w:szCs w:val="18"/>
                <w:color w:val="auto"/>
              </w:rPr>
              <w:t>Significantly increased scale</w:t>
            </w: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4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6280" w:type="dxa"/>
            <w:vAlign w:val="bottom"/>
            <w:vMerge w:val="restart"/>
          </w:tcPr>
          <w:p>
            <w:pPr>
              <w:ind w:left="100"/>
              <w:spacing w:after="0"/>
              <w:rPr>
                <w:sz w:val="20"/>
                <w:szCs w:val="20"/>
                <w:color w:val="auto"/>
              </w:rPr>
            </w:pPr>
            <w:r>
              <w:rPr>
                <w:rFonts w:ascii="Arial" w:cs="Arial" w:eastAsia="Arial" w:hAnsi="Arial"/>
                <w:sz w:val="18"/>
                <w:szCs w:val="18"/>
                <w:color w:val="auto"/>
              </w:rPr>
              <w:t>Complementary geographic footprint</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180" w:type="dxa"/>
            <w:vAlign w:val="bottom"/>
          </w:tcPr>
          <w:p>
            <w:pPr>
              <w:spacing w:after="0"/>
              <w:rPr>
                <w:sz w:val="22"/>
                <w:szCs w:val="22"/>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6280" w:type="dxa"/>
            <w:vAlign w:val="bottom"/>
          </w:tcPr>
          <w:p>
            <w:pPr>
              <w:ind w:left="100"/>
              <w:spacing w:after="0"/>
              <w:rPr>
                <w:sz w:val="20"/>
                <w:szCs w:val="20"/>
                <w:color w:val="auto"/>
              </w:rPr>
            </w:pPr>
            <w:r>
              <w:rPr>
                <w:rFonts w:ascii="Arial" w:cs="Arial" w:eastAsia="Arial" w:hAnsi="Arial"/>
                <w:sz w:val="18"/>
                <w:szCs w:val="18"/>
                <w:color w:val="auto"/>
                <w:w w:val="98"/>
              </w:rPr>
              <w:t>Outstanding combined asset base, including 28 billion tons of mineral reserves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20"/>
          </w:cols>
          <w:pgMar w:left="1340" w:top="614" w:right="939" w:bottom="1440" w:gutter="0" w:footer="0" w:header="0"/>
          <w:type w:val="continuous"/>
        </w:sectPr>
      </w:pPr>
    </w:p>
    <w:p>
      <w:pPr>
        <w:spacing w:after="0" w:line="75"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FFFFFF"/>
        </w:rPr>
        <w:t>Participation in</w:t>
      </w:r>
    </w:p>
    <w:p>
      <w:pPr>
        <w:spacing w:after="0" w:line="37" w:lineRule="exact"/>
        <w:rPr>
          <w:sz w:val="20"/>
          <w:szCs w:val="20"/>
          <w:color w:val="auto"/>
        </w:rPr>
      </w:pPr>
    </w:p>
    <w:p>
      <w:pPr>
        <w:jc w:val="center"/>
        <w:ind w:left="320"/>
        <w:spacing w:after="0"/>
        <w:rPr>
          <w:sz w:val="20"/>
          <w:szCs w:val="20"/>
          <w:color w:val="auto"/>
        </w:rPr>
      </w:pPr>
      <w:r>
        <w:rPr>
          <w:rFonts w:ascii="Arial" w:cs="Arial" w:eastAsia="Arial" w:hAnsi="Arial"/>
          <w:sz w:val="21"/>
          <w:szCs w:val="21"/>
          <w:b w:val="1"/>
          <w:bCs w:val="1"/>
          <w:color w:val="FFFFFF"/>
        </w:rPr>
        <w:t>the Recovery</w:t>
      </w:r>
    </w:p>
    <w:p>
      <w:pPr>
        <w:spacing w:after="0" w:line="322"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FFFFFF"/>
        </w:rPr>
        <w:t>Synergies</w:t>
      </w:r>
    </w:p>
    <w:p>
      <w:pPr>
        <w:spacing w:after="0" w:line="335"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FFFFFF"/>
        </w:rPr>
        <w:t>Meaningful</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FFFFFF"/>
        </w:rPr>
        <w:t>Dividend</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FFFFFF"/>
        </w:rPr>
        <w:t>Strong Balance</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FFFFFF"/>
        </w:rPr>
        <w:t>Sheet</w:t>
      </w:r>
    </w:p>
    <w:p>
      <w:pPr>
        <w:spacing w:after="0" w:line="200" w:lineRule="exact"/>
        <w:rPr>
          <w:sz w:val="20"/>
          <w:szCs w:val="20"/>
          <w:color w:val="auto"/>
        </w:rPr>
      </w:pPr>
    </w:p>
    <w:p>
      <w:pPr>
        <w:ind w:left="460" w:right="120"/>
        <w:spacing w:after="0" w:line="305" w:lineRule="auto"/>
        <w:rPr>
          <w:sz w:val="20"/>
          <w:szCs w:val="20"/>
          <w:color w:val="auto"/>
        </w:rPr>
      </w:pPr>
      <w:r>
        <w:rPr>
          <w:rFonts w:ascii="Arial" w:cs="Arial" w:eastAsia="Arial" w:hAnsi="Arial"/>
          <w:sz w:val="20"/>
          <w:szCs w:val="20"/>
          <w:b w:val="1"/>
          <w:bCs w:val="1"/>
          <w:color w:val="FFFFFF"/>
        </w:rPr>
        <w:t>Best-in-Class Management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337" w:right="1420" w:hanging="326"/>
        <w:spacing w:after="0" w:line="253" w:lineRule="auto"/>
        <w:tabs>
          <w:tab w:leader="none" w:pos="337" w:val="left"/>
        </w:tabs>
        <w:numPr>
          <w:ilvl w:val="1"/>
          <w:numId w:val="7"/>
        </w:numPr>
        <w:rPr>
          <w:rFonts w:ascii="Arial" w:cs="Arial" w:eastAsia="Arial" w:hAnsi="Arial"/>
          <w:sz w:val="21"/>
          <w:szCs w:val="21"/>
          <w:color w:val="auto"/>
        </w:rPr>
      </w:pPr>
      <w:r>
        <w:rPr>
          <w:rFonts w:ascii="Arial" w:cs="Arial" w:eastAsia="Arial" w:hAnsi="Arial"/>
          <w:sz w:val="21"/>
          <w:szCs w:val="21"/>
          <w:color w:val="auto"/>
        </w:rPr>
        <w:t>Participation in the eventual cyclical recovery through ~58% continuing ownership in the combined company</w:t>
      </w:r>
    </w:p>
    <w:p>
      <w:pPr>
        <w:spacing w:after="0" w:line="270" w:lineRule="exact"/>
        <w:rPr>
          <w:rFonts w:ascii="Arial" w:cs="Arial" w:eastAsia="Arial" w:hAnsi="Arial"/>
          <w:sz w:val="21"/>
          <w:szCs w:val="21"/>
          <w:color w:val="auto"/>
        </w:rPr>
      </w:pPr>
    </w:p>
    <w:p>
      <w:pPr>
        <w:ind w:left="317" w:hanging="317"/>
        <w:spacing w:after="0"/>
        <w:tabs>
          <w:tab w:leader="none" w:pos="317" w:val="left"/>
        </w:tabs>
        <w:numPr>
          <w:ilvl w:val="0"/>
          <w:numId w:val="7"/>
        </w:numPr>
        <w:rPr>
          <w:rFonts w:ascii="Arial" w:cs="Arial" w:eastAsia="Arial" w:hAnsi="Arial"/>
          <w:sz w:val="21"/>
          <w:szCs w:val="21"/>
          <w:color w:val="auto"/>
        </w:rPr>
      </w:pPr>
      <w:r>
        <w:rPr>
          <w:rFonts w:ascii="Arial" w:cs="Arial" w:eastAsia="Arial" w:hAnsi="Arial"/>
          <w:sz w:val="21"/>
          <w:szCs w:val="21"/>
          <w:color w:val="auto"/>
        </w:rPr>
        <w:t>$200 –250 million expected annual cost synergies</w:t>
      </w:r>
      <w:r>
        <w:rPr>
          <w:rFonts w:ascii="Arial" w:cs="Arial" w:eastAsia="Arial" w:hAnsi="Arial"/>
          <w:sz w:val="26"/>
          <w:szCs w:val="26"/>
          <w:color w:val="auto"/>
          <w:vertAlign w:val="superscript"/>
        </w:rPr>
        <w:t>2</w:t>
      </w:r>
    </w:p>
    <w:p>
      <w:pPr>
        <w:spacing w:after="0" w:line="340" w:lineRule="exact"/>
        <w:rPr>
          <w:rFonts w:ascii="Arial" w:cs="Arial" w:eastAsia="Arial" w:hAnsi="Arial"/>
          <w:sz w:val="21"/>
          <w:szCs w:val="21"/>
          <w:color w:val="auto"/>
        </w:rPr>
      </w:pPr>
    </w:p>
    <w:p>
      <w:pPr>
        <w:ind w:left="317" w:right="820" w:hanging="317"/>
        <w:spacing w:after="0" w:line="264" w:lineRule="auto"/>
        <w:tabs>
          <w:tab w:leader="none" w:pos="317" w:val="left"/>
        </w:tabs>
        <w:numPr>
          <w:ilvl w:val="0"/>
          <w:numId w:val="7"/>
        </w:numPr>
        <w:rPr>
          <w:rFonts w:ascii="Arial" w:cs="Arial" w:eastAsia="Arial" w:hAnsi="Arial"/>
          <w:sz w:val="21"/>
          <w:szCs w:val="21"/>
          <w:color w:val="auto"/>
        </w:rPr>
      </w:pPr>
      <w:r>
        <w:rPr>
          <w:rFonts w:ascii="Arial" w:cs="Arial" w:eastAsia="Arial" w:hAnsi="Arial"/>
          <w:sz w:val="21"/>
          <w:szCs w:val="21"/>
          <w:color w:val="auto"/>
        </w:rPr>
        <w:t>Immediate meaningful dividend restoration (20x improvement over the current Vulcan dividend)</w:t>
      </w:r>
    </w:p>
    <w:p>
      <w:pPr>
        <w:spacing w:after="0" w:line="189" w:lineRule="exact"/>
        <w:rPr>
          <w:rFonts w:ascii="Arial" w:cs="Arial" w:eastAsia="Arial" w:hAnsi="Arial"/>
          <w:sz w:val="21"/>
          <w:szCs w:val="21"/>
          <w:color w:val="auto"/>
        </w:rPr>
      </w:pPr>
    </w:p>
    <w:p>
      <w:pPr>
        <w:ind w:left="317" w:right="640" w:hanging="317"/>
        <w:spacing w:after="0" w:line="253" w:lineRule="auto"/>
        <w:tabs>
          <w:tab w:leader="none" w:pos="317" w:val="left"/>
        </w:tabs>
        <w:numPr>
          <w:ilvl w:val="0"/>
          <w:numId w:val="7"/>
        </w:numPr>
        <w:rPr>
          <w:rFonts w:ascii="Arial" w:cs="Arial" w:eastAsia="Arial" w:hAnsi="Arial"/>
          <w:sz w:val="21"/>
          <w:szCs w:val="21"/>
          <w:color w:val="auto"/>
        </w:rPr>
      </w:pPr>
      <w:r>
        <w:rPr>
          <w:rFonts w:ascii="Arial" w:cs="Arial" w:eastAsia="Arial" w:hAnsi="Arial"/>
          <w:sz w:val="21"/>
          <w:szCs w:val="21"/>
          <w:color w:val="auto"/>
        </w:rPr>
        <w:t>Immediately “de-risked” balance sheet and improved access to and credibility with capital markets</w:t>
      </w:r>
    </w:p>
    <w:p>
      <w:pPr>
        <w:spacing w:after="0" w:line="322" w:lineRule="exact"/>
        <w:rPr>
          <w:rFonts w:ascii="Arial" w:cs="Arial" w:eastAsia="Arial" w:hAnsi="Arial"/>
          <w:sz w:val="21"/>
          <w:szCs w:val="21"/>
          <w:color w:val="auto"/>
        </w:rPr>
      </w:pPr>
    </w:p>
    <w:p>
      <w:pPr>
        <w:ind w:left="317" w:hanging="317"/>
        <w:spacing w:after="0"/>
        <w:tabs>
          <w:tab w:leader="none" w:pos="317" w:val="left"/>
        </w:tabs>
        <w:numPr>
          <w:ilvl w:val="0"/>
          <w:numId w:val="7"/>
        </w:numPr>
        <w:rPr>
          <w:rFonts w:ascii="Arial" w:cs="Arial" w:eastAsia="Arial" w:hAnsi="Arial"/>
          <w:sz w:val="21"/>
          <w:szCs w:val="21"/>
          <w:color w:val="auto"/>
        </w:rPr>
      </w:pPr>
      <w:r>
        <w:rPr>
          <w:rFonts w:ascii="Arial" w:cs="Arial" w:eastAsia="Arial" w:hAnsi="Arial"/>
          <w:sz w:val="21"/>
          <w:szCs w:val="21"/>
          <w:color w:val="auto"/>
        </w:rPr>
        <w:t>Continued focus on operational excellence</w:t>
      </w:r>
    </w:p>
    <w:p>
      <w:pPr>
        <w:spacing w:after="0" w:line="406" w:lineRule="exact"/>
        <w:rPr>
          <w:sz w:val="20"/>
          <w:szCs w:val="20"/>
          <w:color w:val="auto"/>
        </w:rPr>
      </w:pPr>
    </w:p>
    <w:p>
      <w:pPr>
        <w:sectPr>
          <w:pgSz w:w="11900" w:h="16838" w:orient="portrait"/>
          <w:cols w:equalWidth="0" w:num="2">
            <w:col w:w="1920" w:space="383"/>
            <w:col w:w="7317"/>
          </w:cols>
          <w:pgMar w:left="1340" w:top="614" w:right="939" w:bottom="1440" w:gutter="0" w:footer="0" w:header="0"/>
          <w:type w:val="continuous"/>
        </w:sectPr>
      </w:pPr>
    </w:p>
    <w:p>
      <w:pPr>
        <w:spacing w:after="0" w:line="80" w:lineRule="exact"/>
        <w:rPr>
          <w:sz w:val="20"/>
          <w:szCs w:val="20"/>
          <w:color w:val="auto"/>
        </w:rPr>
      </w:pPr>
    </w:p>
    <w:p>
      <w:pPr>
        <w:ind w:left="560"/>
        <w:spacing w:after="0"/>
        <w:rPr>
          <w:sz w:val="20"/>
          <w:szCs w:val="20"/>
          <w:color w:val="auto"/>
        </w:rPr>
      </w:pPr>
      <w:r>
        <w:rPr>
          <w:rFonts w:ascii="Arial" w:cs="Arial" w:eastAsia="Arial" w:hAnsi="Arial"/>
          <w:sz w:val="23"/>
          <w:szCs w:val="23"/>
          <w:b w:val="1"/>
          <w:bCs w:val="1"/>
          <w:color w:val="FFFFFF"/>
        </w:rPr>
        <w:t>Shareholders stand to benefit immediately from the powerful combination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0"/>
          <w:szCs w:val="10"/>
          <w:color w:val="auto"/>
        </w:rPr>
        <w:t>Note 1:  Source: Vulcan’s “The Vulcan Value Proposition”, March 2012.</w:t>
      </w:r>
    </w:p>
    <w:p>
      <w:pPr>
        <w:spacing w:after="0" w:line="7" w:lineRule="exact"/>
        <w:rPr>
          <w:sz w:val="20"/>
          <w:szCs w:val="20"/>
          <w:color w:val="auto"/>
        </w:rPr>
      </w:pPr>
    </w:p>
    <w:p>
      <w:pPr>
        <w:ind w:left="460" w:right="560" w:hanging="398"/>
        <w:spacing w:after="0" w:line="254" w:lineRule="auto"/>
        <w:rPr>
          <w:sz w:val="20"/>
          <w:szCs w:val="20"/>
          <w:color w:val="auto"/>
        </w:rPr>
      </w:pPr>
      <w:r>
        <w:rPr>
          <w:rFonts w:ascii="Arial" w:cs="Arial" w:eastAsia="Arial" w:hAnsi="Arial"/>
          <w:sz w:val="10"/>
          <w:szCs w:val="10"/>
          <w:color w:val="auto"/>
        </w:rPr>
        <w:t>Note 2: Martin Marietta continues to believe that it can achieve $200 to $250 million of annual cost synergies as a result of the combination. With respect to the purported savings programs announced by Vulcan since December 12, 2011, Martin Marietta believes that Vulcan’s programs will be far from fully effective, at best, for several years, and not necessarily sustainable, although they may</w:t>
      </w:r>
    </w:p>
    <w:p>
      <w:pPr>
        <w:ind w:left="460" w:right="720"/>
        <w:spacing w:after="0" w:line="242" w:lineRule="auto"/>
        <w:rPr>
          <w:sz w:val="20"/>
          <w:szCs w:val="20"/>
          <w:color w:val="auto"/>
        </w:rPr>
      </w:pPr>
      <w:r>
        <w:rPr>
          <w:rFonts w:ascii="Arial" w:cs="Arial" w:eastAsia="Arial" w:hAnsi="Arial"/>
          <w:sz w:val="10"/>
          <w:szCs w:val="10"/>
          <w:color w:val="auto"/>
        </w:rPr>
        <w:t>result in some level of cost reductions during this period. Martin Marietta’s belief is based on Martin Marietta’s understanding of the design and attempted implementation to date of Vulcan’s programs and Martin Marietta’s experience in implementing its own fully operational management reporting system. Moreover, Martin Marietta believes that Vulcan’s senior management lacks</w:t>
      </w:r>
    </w:p>
    <w:p>
      <w:pPr>
        <w:spacing w:after="0" w:line="1" w:lineRule="exact"/>
        <w:rPr>
          <w:sz w:val="20"/>
          <w:szCs w:val="20"/>
          <w:color w:val="auto"/>
        </w:rPr>
      </w:pPr>
    </w:p>
    <w:p>
      <w:pPr>
        <w:ind w:left="460" w:right="540"/>
        <w:spacing w:after="0" w:line="265" w:lineRule="auto"/>
        <w:rPr>
          <w:sz w:val="20"/>
          <w:szCs w:val="20"/>
          <w:color w:val="auto"/>
        </w:rPr>
      </w:pPr>
      <w:r>
        <w:rPr>
          <w:rFonts w:ascii="Arial" w:cs="Arial" w:eastAsia="Arial" w:hAnsi="Arial"/>
          <w:sz w:val="10"/>
          <w:szCs w:val="10"/>
          <w:color w:val="auto"/>
        </w:rPr>
        <w:t>demonstrated capability and discipline to be credible to deliver Vulcan’s “hope plan” on a standalone basis, leaving Vulcan shareholders exposed to substantial execution risk. Actual synergies will be based on future performance, as to which there can be no assurance.</w:t>
      </w:r>
    </w:p>
    <w:p>
      <w:pPr>
        <w:spacing w:after="0" w:line="116"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B4996E"/>
        </w:rPr>
        <w:t>6</w:t>
      </w:r>
    </w:p>
    <w:p>
      <w:pPr>
        <w:sectPr>
          <w:pgSz w:w="11900" w:h="16838" w:orient="portrait"/>
          <w:cols w:equalWidth="0" w:num="1">
            <w:col w:w="9620"/>
          </w:cols>
          <w:pgMar w:left="1340" w:top="614" w:right="9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…But Management Credibility is Essential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0"/>
        <w:spacing w:after="0"/>
        <w:rPr>
          <w:sz w:val="20"/>
          <w:szCs w:val="20"/>
          <w:color w:val="auto"/>
        </w:rPr>
      </w:pPr>
      <w:r>
        <w:rPr>
          <w:rFonts w:ascii="Arial" w:cs="Arial" w:eastAsia="Arial" w:hAnsi="Arial"/>
          <w:sz w:val="23"/>
          <w:szCs w:val="23"/>
          <w:color w:val="auto"/>
        </w:rPr>
        <w:t>Martin Marietta believes that:</w:t>
      </w:r>
    </w:p>
    <w:p>
      <w:pPr>
        <w:spacing w:after="0" w:line="200" w:lineRule="exact"/>
        <w:rPr>
          <w:sz w:val="20"/>
          <w:szCs w:val="20"/>
          <w:color w:val="auto"/>
        </w:rPr>
      </w:pPr>
    </w:p>
    <w:p>
      <w:pPr>
        <w:spacing w:after="0" w:line="328" w:lineRule="exact"/>
        <w:rPr>
          <w:sz w:val="20"/>
          <w:szCs w:val="20"/>
          <w:color w:val="auto"/>
        </w:rPr>
      </w:pPr>
    </w:p>
    <w:p>
      <w:pPr>
        <w:ind w:left="300"/>
        <w:spacing w:after="0"/>
        <w:rPr>
          <w:sz w:val="20"/>
          <w:szCs w:val="20"/>
          <w:color w:val="auto"/>
        </w:rPr>
      </w:pPr>
      <w:r>
        <w:rPr>
          <w:rFonts w:ascii="Arial" w:cs="Arial" w:eastAsia="Arial" w:hAnsi="Arial"/>
          <w:sz w:val="23"/>
          <w:szCs w:val="23"/>
          <w:b w:val="1"/>
          <w:bCs w:val="1"/>
          <w:color w:val="auto"/>
        </w:rPr>
        <w:t>Vulcan has masked underperformance and value destruction:</w:t>
      </w:r>
    </w:p>
    <w:p>
      <w:pPr>
        <w:spacing w:after="0" w:line="218" w:lineRule="exact"/>
        <w:rPr>
          <w:sz w:val="20"/>
          <w:szCs w:val="20"/>
          <w:color w:val="auto"/>
        </w:rPr>
      </w:pPr>
    </w:p>
    <w:p>
      <w:pPr>
        <w:ind w:left="620" w:hanging="324"/>
        <w:spacing w:after="0"/>
        <w:tabs>
          <w:tab w:leader="none" w:pos="620" w:val="left"/>
        </w:tabs>
        <w:numPr>
          <w:ilvl w:val="0"/>
          <w:numId w:val="8"/>
        </w:numPr>
        <w:rPr>
          <w:rFonts w:ascii="Arial" w:cs="Arial" w:eastAsia="Arial" w:hAnsi="Arial"/>
          <w:sz w:val="23"/>
          <w:szCs w:val="23"/>
          <w:color w:val="auto"/>
        </w:rPr>
      </w:pPr>
      <w:r>
        <w:rPr>
          <w:rFonts w:ascii="Arial" w:cs="Arial" w:eastAsia="Arial" w:hAnsi="Arial"/>
          <w:sz w:val="23"/>
          <w:szCs w:val="23"/>
          <w:color w:val="auto"/>
        </w:rPr>
        <w:t>Relied on flawed operating comparisons</w:t>
      </w:r>
    </w:p>
    <w:p>
      <w:pPr>
        <w:spacing w:after="0" w:line="201" w:lineRule="exact"/>
        <w:rPr>
          <w:rFonts w:ascii="Arial" w:cs="Arial" w:eastAsia="Arial" w:hAnsi="Arial"/>
          <w:sz w:val="23"/>
          <w:szCs w:val="23"/>
          <w:color w:val="auto"/>
        </w:rPr>
      </w:pPr>
    </w:p>
    <w:p>
      <w:pPr>
        <w:ind w:left="620" w:hanging="324"/>
        <w:spacing w:after="0"/>
        <w:tabs>
          <w:tab w:leader="none" w:pos="620" w:val="left"/>
        </w:tabs>
        <w:numPr>
          <w:ilvl w:val="0"/>
          <w:numId w:val="8"/>
        </w:numPr>
        <w:rPr>
          <w:rFonts w:ascii="Arial" w:cs="Arial" w:eastAsia="Arial" w:hAnsi="Arial"/>
          <w:sz w:val="23"/>
          <w:szCs w:val="23"/>
          <w:color w:val="auto"/>
        </w:rPr>
      </w:pPr>
      <w:r>
        <w:rPr>
          <w:rFonts w:ascii="Arial" w:cs="Arial" w:eastAsia="Arial" w:hAnsi="Arial"/>
          <w:sz w:val="23"/>
          <w:szCs w:val="23"/>
          <w:color w:val="auto"/>
        </w:rPr>
        <w:t>Mischaracterized the historical performance of its businesses</w:t>
      </w:r>
    </w:p>
    <w:p>
      <w:pPr>
        <w:spacing w:after="0" w:line="200" w:lineRule="exact"/>
        <w:rPr>
          <w:sz w:val="20"/>
          <w:szCs w:val="20"/>
          <w:color w:val="auto"/>
        </w:rPr>
      </w:pPr>
    </w:p>
    <w:p>
      <w:pPr>
        <w:spacing w:after="0" w:line="328" w:lineRule="exact"/>
        <w:rPr>
          <w:sz w:val="20"/>
          <w:szCs w:val="20"/>
          <w:color w:val="auto"/>
        </w:rPr>
      </w:pPr>
    </w:p>
    <w:p>
      <w:pPr>
        <w:ind w:left="300"/>
        <w:spacing w:after="0"/>
        <w:rPr>
          <w:sz w:val="20"/>
          <w:szCs w:val="20"/>
          <w:color w:val="auto"/>
        </w:rPr>
      </w:pPr>
      <w:r>
        <w:rPr>
          <w:rFonts w:ascii="Arial" w:cs="Arial" w:eastAsia="Arial" w:hAnsi="Arial"/>
          <w:sz w:val="23"/>
          <w:szCs w:val="23"/>
          <w:b w:val="1"/>
          <w:bCs w:val="1"/>
          <w:color w:val="auto"/>
        </w:rPr>
        <w:t>Vulcan continues to use “smokescreen” tactics to impede a transaction:</w:t>
      </w:r>
    </w:p>
    <w:p>
      <w:pPr>
        <w:spacing w:after="0" w:line="218" w:lineRule="exact"/>
        <w:rPr>
          <w:sz w:val="20"/>
          <w:szCs w:val="20"/>
          <w:color w:val="auto"/>
        </w:rPr>
      </w:pPr>
    </w:p>
    <w:p>
      <w:pPr>
        <w:ind w:left="620" w:right="1020" w:hanging="324"/>
        <w:spacing w:after="0" w:line="276" w:lineRule="auto"/>
        <w:tabs>
          <w:tab w:leader="none" w:pos="620" w:val="left"/>
        </w:tabs>
        <w:numPr>
          <w:ilvl w:val="0"/>
          <w:numId w:val="9"/>
        </w:numPr>
        <w:rPr>
          <w:rFonts w:ascii="Arial" w:cs="Arial" w:eastAsia="Arial" w:hAnsi="Arial"/>
          <w:sz w:val="23"/>
          <w:szCs w:val="23"/>
          <w:color w:val="auto"/>
        </w:rPr>
      </w:pPr>
      <w:r>
        <w:rPr>
          <w:rFonts w:ascii="Arial" w:cs="Arial" w:eastAsia="Arial" w:hAnsi="Arial"/>
          <w:sz w:val="23"/>
          <w:szCs w:val="23"/>
          <w:color w:val="auto"/>
        </w:rPr>
        <w:t>Ignored its own elevated trading multiple, which Martin Marietta believes already reflects the potential benefits of an eventual economic recovery</w:t>
      </w:r>
    </w:p>
    <w:p>
      <w:pPr>
        <w:spacing w:after="0" w:line="145" w:lineRule="exact"/>
        <w:rPr>
          <w:rFonts w:ascii="Arial" w:cs="Arial" w:eastAsia="Arial" w:hAnsi="Arial"/>
          <w:sz w:val="23"/>
          <w:szCs w:val="23"/>
          <w:color w:val="auto"/>
        </w:rPr>
      </w:pPr>
    </w:p>
    <w:p>
      <w:pPr>
        <w:ind w:left="620" w:right="1440" w:hanging="324"/>
        <w:spacing w:after="0" w:line="266" w:lineRule="auto"/>
        <w:tabs>
          <w:tab w:leader="none" w:pos="620" w:val="left"/>
        </w:tabs>
        <w:numPr>
          <w:ilvl w:val="0"/>
          <w:numId w:val="9"/>
        </w:numPr>
        <w:rPr>
          <w:rFonts w:ascii="Arial" w:cs="Arial" w:eastAsia="Arial" w:hAnsi="Arial"/>
          <w:sz w:val="23"/>
          <w:szCs w:val="23"/>
          <w:color w:val="auto"/>
        </w:rPr>
      </w:pPr>
      <w:r>
        <w:rPr>
          <w:rFonts w:ascii="Arial" w:cs="Arial" w:eastAsia="Arial" w:hAnsi="Arial"/>
          <w:sz w:val="23"/>
          <w:szCs w:val="23"/>
          <w:color w:val="auto"/>
        </w:rPr>
        <w:t>Set unrealistic expectations for the relative timing and extent of Vulcan's recovery</w:t>
      </w:r>
    </w:p>
    <w:p>
      <w:pPr>
        <w:spacing w:after="0" w:line="156" w:lineRule="exact"/>
        <w:rPr>
          <w:rFonts w:ascii="Arial" w:cs="Arial" w:eastAsia="Arial" w:hAnsi="Arial"/>
          <w:sz w:val="23"/>
          <w:szCs w:val="23"/>
          <w:color w:val="auto"/>
        </w:rPr>
      </w:pPr>
    </w:p>
    <w:p>
      <w:pPr>
        <w:ind w:left="620" w:hanging="324"/>
        <w:spacing w:after="0"/>
        <w:tabs>
          <w:tab w:leader="none" w:pos="620" w:val="left"/>
        </w:tabs>
        <w:numPr>
          <w:ilvl w:val="0"/>
          <w:numId w:val="9"/>
        </w:numPr>
        <w:rPr>
          <w:rFonts w:ascii="Arial" w:cs="Arial" w:eastAsia="Arial" w:hAnsi="Arial"/>
          <w:sz w:val="23"/>
          <w:szCs w:val="23"/>
          <w:color w:val="auto"/>
        </w:rPr>
      </w:pPr>
      <w:r>
        <w:rPr>
          <w:rFonts w:ascii="Arial" w:cs="Arial" w:eastAsia="Arial" w:hAnsi="Arial"/>
          <w:sz w:val="23"/>
          <w:szCs w:val="23"/>
          <w:color w:val="auto"/>
        </w:rPr>
        <w:t>Created vague “hope plans”  as a response to Martin Marietta’s proposal</w:t>
      </w:r>
    </w:p>
    <w:p>
      <w:pPr>
        <w:spacing w:after="0" w:line="201" w:lineRule="exact"/>
        <w:rPr>
          <w:rFonts w:ascii="Arial" w:cs="Arial" w:eastAsia="Arial" w:hAnsi="Arial"/>
          <w:sz w:val="23"/>
          <w:szCs w:val="23"/>
          <w:color w:val="auto"/>
        </w:rPr>
      </w:pPr>
    </w:p>
    <w:p>
      <w:pPr>
        <w:ind w:left="620" w:right="760" w:hanging="324"/>
        <w:spacing w:after="0" w:line="243" w:lineRule="auto"/>
        <w:tabs>
          <w:tab w:leader="none" w:pos="620" w:val="left"/>
        </w:tabs>
        <w:numPr>
          <w:ilvl w:val="0"/>
          <w:numId w:val="9"/>
        </w:numPr>
        <w:rPr>
          <w:rFonts w:ascii="Arial" w:cs="Arial" w:eastAsia="Arial" w:hAnsi="Arial"/>
          <w:sz w:val="23"/>
          <w:szCs w:val="23"/>
          <w:color w:val="auto"/>
        </w:rPr>
      </w:pPr>
      <w:r>
        <w:rPr>
          <w:rFonts w:ascii="Arial" w:cs="Arial" w:eastAsia="Arial" w:hAnsi="Arial"/>
          <w:sz w:val="23"/>
          <w:szCs w:val="23"/>
          <w:color w:val="auto"/>
        </w:rPr>
        <w:t xml:space="preserve">Disregarded Vulcan’s 26% stock price increase (approximately $1.1 billion in equity value) since 12/9/2011, which appears to have been driven by Martin Marietta’s proposal </w:t>
      </w:r>
      <w:r>
        <w:rPr>
          <w:rFonts w:ascii="Arial" w:cs="Arial" w:eastAsia="Arial" w:hAnsi="Arial"/>
          <w:sz w:val="33"/>
          <w:szCs w:val="33"/>
          <w:color w:val="auto"/>
          <w:vertAlign w:val="superscript"/>
        </w:rPr>
        <w:t>1</w:t>
      </w:r>
    </w:p>
    <w:p>
      <w:pPr>
        <w:spacing w:after="0" w:line="110"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Equity value reflects change from 12/9/2011 to 4/27/2012.</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0"/>
          <w:szCs w:val="10"/>
          <w:color w:val="auto"/>
        </w:rPr>
        <w:t>Source:  Company filings, Capital IQ</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7</w:t>
      </w:r>
    </w:p>
    <w:p>
      <w:pPr>
        <w:sectPr>
          <w:pgSz w:w="11900" w:h="16838" w:orient="portrait"/>
          <w:cols w:equalWidth="0" w:num="1">
            <w:col w:w="9460"/>
          </w:cols>
          <w:pgMar w:left="1340" w:top="633" w:right="1099" w:bottom="1440" w:gutter="0" w:footer="0" w:header="0"/>
        </w:sectPr>
      </w:pPr>
    </w:p>
    <w:bookmarkStart w:id="8" w:name="page9"/>
    <w:bookmarkEnd w:id="8"/>
    <w:p>
      <w:pPr>
        <w:ind w:left="100"/>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Can You Trust Today’s Vulcan to Make the Right Transaction Decision?</w:t>
      </w:r>
    </w:p>
    <w:p>
      <w:pPr>
        <w:sectPr>
          <w:pgSz w:w="11900" w:h="16838" w:orient="portrait"/>
          <w:cols w:equalWidth="0" w:num="1">
            <w:col w:w="9560"/>
          </w:cols>
          <w:pgMar w:left="1240" w:top="633"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540"/>
        <w:spacing w:after="0"/>
        <w:rPr>
          <w:sz w:val="20"/>
          <w:szCs w:val="20"/>
          <w:color w:val="auto"/>
        </w:rPr>
      </w:pPr>
      <w:r>
        <w:rPr>
          <w:rFonts w:ascii="Arial" w:cs="Arial" w:eastAsia="Arial" w:hAnsi="Arial"/>
          <w:sz w:val="20"/>
          <w:szCs w:val="20"/>
          <w:b w:val="1"/>
          <w:bCs w:val="1"/>
          <w:color w:val="FFFFFF"/>
        </w:rPr>
        <w:t>Vulcan’s 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FFFFFF"/>
        </w:rPr>
        <w:t>Value Impact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21"/>
          <w:szCs w:val="21"/>
          <w:b w:val="1"/>
          <w:bCs w:val="1"/>
          <w:color w:val="FFFFFF"/>
        </w:rPr>
        <w:t>Transaction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FFFFFF"/>
        </w:rPr>
        <w:t>Structure</w:t>
      </w:r>
    </w:p>
    <w:p>
      <w:pPr>
        <w:spacing w:after="0" w:line="200" w:lineRule="exact"/>
        <w:rPr>
          <w:sz w:val="20"/>
          <w:szCs w:val="20"/>
          <w:color w:val="auto"/>
        </w:rPr>
      </w:pPr>
    </w:p>
    <w:p>
      <w:pPr>
        <w:spacing w:after="0" w:line="364" w:lineRule="exact"/>
        <w:rPr>
          <w:sz w:val="20"/>
          <w:szCs w:val="20"/>
          <w:color w:val="auto"/>
        </w:rPr>
      </w:pPr>
    </w:p>
    <w:p>
      <w:pPr>
        <w:jc w:val="center"/>
        <w:ind w:left="480"/>
        <w:spacing w:after="0"/>
        <w:rPr>
          <w:sz w:val="20"/>
          <w:szCs w:val="20"/>
          <w:color w:val="auto"/>
        </w:rPr>
      </w:pPr>
      <w:r>
        <w:rPr>
          <w:rFonts w:ascii="Arial" w:cs="Arial" w:eastAsia="Arial" w:hAnsi="Arial"/>
          <w:sz w:val="21"/>
          <w:szCs w:val="21"/>
          <w:b w:val="1"/>
          <w:bCs w:val="1"/>
          <w:color w:val="FFFFFF"/>
        </w:rPr>
        <w:t>Leverage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320" w:hanging="1174"/>
        <w:spacing w:after="0" w:line="279" w:lineRule="auto"/>
        <w:rPr>
          <w:sz w:val="20"/>
          <w:szCs w:val="20"/>
          <w:color w:val="auto"/>
        </w:rPr>
      </w:pPr>
      <w:r>
        <w:rPr>
          <w:rFonts w:ascii="Arial" w:cs="Arial" w:eastAsia="Arial" w:hAnsi="Arial"/>
          <w:sz w:val="21"/>
          <w:szCs w:val="21"/>
          <w:b w:val="1"/>
          <w:bCs w:val="1"/>
          <w:color w:val="FFFFFF"/>
        </w:rPr>
        <w:t>Acquisition of Florida Rock in 2007</w:t>
      </w:r>
    </w:p>
    <w:p>
      <w:pPr>
        <w:spacing w:after="0" w:line="164" w:lineRule="exact"/>
        <w:rPr>
          <w:sz w:val="20"/>
          <w:szCs w:val="20"/>
          <w:color w:val="auto"/>
        </w:rPr>
      </w:pPr>
    </w:p>
    <w:p>
      <w:pPr>
        <w:jc w:val="center"/>
        <w:spacing w:after="0" w:line="251" w:lineRule="auto"/>
        <w:rPr>
          <w:sz w:val="20"/>
          <w:szCs w:val="20"/>
          <w:color w:val="auto"/>
        </w:rPr>
      </w:pPr>
      <w:r>
        <w:rPr>
          <w:rFonts w:ascii="Arial" w:cs="Arial" w:eastAsia="Arial" w:hAnsi="Arial"/>
          <w:sz w:val="18"/>
          <w:szCs w:val="18"/>
          <w:i w:val="1"/>
          <w:iCs w:val="1"/>
          <w:color w:val="auto"/>
        </w:rPr>
        <w:t>“The combined company will have enhanced earnings growth and a strong cash flow profile to reduce debt while maintaining Vulcan Materials' historical dividend practices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(Vulcan Press Release, 2/19/2007)</w:t>
      </w:r>
    </w:p>
    <w:p>
      <w:pPr>
        <w:spacing w:after="0" w:line="377" w:lineRule="exact"/>
        <w:rPr>
          <w:sz w:val="20"/>
          <w:szCs w:val="20"/>
          <w:color w:val="auto"/>
        </w:rPr>
      </w:pPr>
    </w:p>
    <w:p>
      <w:pPr>
        <w:ind w:left="140" w:right="360"/>
        <w:spacing w:after="0" w:line="256" w:lineRule="auto"/>
        <w:rPr>
          <w:sz w:val="20"/>
          <w:szCs w:val="20"/>
          <w:color w:val="auto"/>
        </w:rPr>
      </w:pPr>
      <w:r>
        <w:rPr>
          <w:rFonts w:ascii="Arial" w:cs="Arial" w:eastAsia="Arial" w:hAnsi="Arial"/>
          <w:sz w:val="17"/>
          <w:szCs w:val="17"/>
          <w:color w:val="auto"/>
        </w:rPr>
        <w:t xml:space="preserve">Destroyed $4.3B of the combined company’s shareholder value </w:t>
      </w:r>
      <w:r>
        <w:rPr>
          <w:rFonts w:ascii="Arial" w:cs="Arial" w:eastAsia="Arial" w:hAnsi="Arial"/>
          <w:sz w:val="25"/>
          <w:szCs w:val="25"/>
          <w:color w:val="auto"/>
          <w:vertAlign w:val="superscript"/>
        </w:rPr>
        <w:t>1</w:t>
      </w:r>
    </w:p>
    <w:p>
      <w:pPr>
        <w:spacing w:after="0" w:line="338" w:lineRule="exact"/>
        <w:rPr>
          <w:sz w:val="20"/>
          <w:szCs w:val="20"/>
          <w:color w:val="auto"/>
        </w:rPr>
      </w:pPr>
    </w:p>
    <w:p>
      <w:pPr>
        <w:ind w:left="140" w:right="160"/>
        <w:spacing w:after="0" w:line="253" w:lineRule="auto"/>
        <w:rPr>
          <w:sz w:val="20"/>
          <w:szCs w:val="20"/>
          <w:color w:val="auto"/>
        </w:rPr>
      </w:pPr>
      <w:r>
        <w:rPr>
          <w:rFonts w:ascii="Arial" w:cs="Arial" w:eastAsia="Arial" w:hAnsi="Arial"/>
          <w:sz w:val="18"/>
          <w:szCs w:val="18"/>
          <w:color w:val="auto"/>
        </w:rPr>
        <w:t>Essentially a cash out transaction (~70% cash) with minimal interest in ongoing entity</w:t>
      </w:r>
    </w:p>
    <w:p>
      <w:pPr>
        <w:spacing w:after="0" w:line="299" w:lineRule="exact"/>
        <w:rPr>
          <w:sz w:val="20"/>
          <w:szCs w:val="20"/>
          <w:color w:val="auto"/>
        </w:rPr>
      </w:pPr>
    </w:p>
    <w:p>
      <w:pPr>
        <w:ind w:left="140" w:right="260"/>
        <w:spacing w:after="0" w:line="247" w:lineRule="auto"/>
        <w:rPr>
          <w:sz w:val="20"/>
          <w:szCs w:val="20"/>
          <w:color w:val="auto"/>
        </w:rPr>
      </w:pPr>
      <w:r>
        <w:rPr>
          <w:rFonts w:ascii="Arial" w:cs="Arial" w:eastAsia="Arial" w:hAnsi="Arial"/>
          <w:sz w:val="18"/>
          <w:szCs w:val="18"/>
          <w:color w:val="auto"/>
        </w:rPr>
        <w:t>$3.2B of additional debt that ultimately led to near elimination of the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Martin Marietta’s Proposal</w:t>
      </w:r>
    </w:p>
    <w:p>
      <w:pPr>
        <w:spacing w:after="0" w:line="200" w:lineRule="exact"/>
        <w:rPr>
          <w:sz w:val="20"/>
          <w:szCs w:val="20"/>
          <w:color w:val="auto"/>
        </w:rPr>
      </w:pPr>
    </w:p>
    <w:p>
      <w:pPr>
        <w:spacing w:after="0" w:line="251" w:lineRule="exact"/>
        <w:rPr>
          <w:sz w:val="20"/>
          <w:szCs w:val="20"/>
          <w:color w:val="auto"/>
        </w:rPr>
      </w:pPr>
    </w:p>
    <w:p>
      <w:pPr>
        <w:jc w:val="center"/>
        <w:ind w:right="420"/>
        <w:spacing w:after="0" w:line="253" w:lineRule="auto"/>
        <w:rPr>
          <w:sz w:val="20"/>
          <w:szCs w:val="20"/>
          <w:color w:val="auto"/>
        </w:rPr>
      </w:pPr>
      <w:r>
        <w:rPr>
          <w:rFonts w:ascii="Arial" w:cs="Arial" w:eastAsia="Arial" w:hAnsi="Arial"/>
          <w:sz w:val="18"/>
          <w:szCs w:val="18"/>
          <w:i w:val="1"/>
          <w:iCs w:val="1"/>
          <w:color w:val="auto"/>
        </w:rPr>
        <w:t>“We do not believe that Martin Marietta’s offer reflects the intrinsic value of Vulcan’s assets or would create value for our shareholders”</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4"/>
          <w:szCs w:val="14"/>
          <w:i w:val="1"/>
          <w:iCs w:val="1"/>
          <w:color w:val="auto"/>
        </w:rPr>
        <w:t>(Vulcan Q1 2012 Earnings Conference Call)</w:t>
      </w:r>
    </w:p>
    <w:p>
      <w:pPr>
        <w:spacing w:after="0" w:line="277" w:lineRule="exact"/>
        <w:rPr>
          <w:sz w:val="20"/>
          <w:szCs w:val="20"/>
          <w:color w:val="auto"/>
        </w:rPr>
      </w:pPr>
    </w:p>
    <w:p>
      <w:pPr>
        <w:jc w:val="both"/>
        <w:ind w:left="180" w:right="580"/>
        <w:spacing w:after="0"/>
        <w:rPr>
          <w:sz w:val="20"/>
          <w:szCs w:val="20"/>
          <w:color w:val="auto"/>
        </w:rPr>
      </w:pPr>
      <w:r>
        <w:rPr>
          <w:rFonts w:ascii="Arial" w:cs="Arial" w:eastAsia="Arial" w:hAnsi="Arial"/>
          <w:sz w:val="18"/>
          <w:szCs w:val="18"/>
          <w:color w:val="auto"/>
        </w:rPr>
        <w:t xml:space="preserve">Expected to create ~$1.8B-$2.2B of incremental value for the combined company </w:t>
      </w:r>
      <w:r>
        <w:rPr>
          <w:rFonts w:ascii="Arial" w:cs="Arial" w:eastAsia="Arial" w:hAnsi="Arial"/>
          <w:sz w:val="26"/>
          <w:szCs w:val="26"/>
          <w:color w:val="auto"/>
          <w:vertAlign w:val="superscript"/>
        </w:rPr>
        <w:t>2</w:t>
      </w:r>
    </w:p>
    <w:p>
      <w:pPr>
        <w:spacing w:after="0" w:line="240" w:lineRule="exact"/>
        <w:rPr>
          <w:sz w:val="20"/>
          <w:szCs w:val="20"/>
          <w:color w:val="auto"/>
        </w:rPr>
      </w:pPr>
    </w:p>
    <w:p>
      <w:pPr>
        <w:ind w:left="180" w:right="580"/>
        <w:spacing w:after="0" w:line="253" w:lineRule="auto"/>
        <w:rPr>
          <w:sz w:val="20"/>
          <w:szCs w:val="20"/>
          <w:color w:val="auto"/>
        </w:rPr>
      </w:pPr>
      <w:r>
        <w:rPr>
          <w:rFonts w:ascii="Arial" w:cs="Arial" w:eastAsia="Arial" w:hAnsi="Arial"/>
          <w:sz w:val="18"/>
          <w:szCs w:val="18"/>
          <w:color w:val="auto"/>
        </w:rPr>
        <w:t>Continuing participation in market recovery (~58% ownership) through all-stock merger</w:t>
      </w:r>
    </w:p>
    <w:p>
      <w:pPr>
        <w:spacing w:after="0" w:line="210" w:lineRule="exact"/>
        <w:rPr>
          <w:sz w:val="20"/>
          <w:szCs w:val="20"/>
          <w:color w:val="auto"/>
        </w:rPr>
      </w:pPr>
    </w:p>
    <w:p>
      <w:pPr>
        <w:ind w:left="180" w:right="580"/>
        <w:spacing w:after="0" w:line="241" w:lineRule="auto"/>
        <w:rPr>
          <w:sz w:val="20"/>
          <w:szCs w:val="20"/>
          <w:color w:val="auto"/>
        </w:rPr>
      </w:pPr>
      <w:r>
        <w:rPr>
          <w:rFonts w:ascii="Arial" w:cs="Arial" w:eastAsia="Arial" w:hAnsi="Arial"/>
          <w:sz w:val="18"/>
          <w:szCs w:val="18"/>
          <w:color w:val="auto"/>
        </w:rPr>
        <w:t xml:space="preserve">Immediate deleveraging for Vulcan from 7.4x to 4.0x-4.3x with immediate restoration of meaningful dividend </w:t>
      </w:r>
      <w:r>
        <w:rPr>
          <w:rFonts w:ascii="Arial" w:cs="Arial" w:eastAsia="Arial" w:hAnsi="Arial"/>
          <w:sz w:val="26"/>
          <w:szCs w:val="26"/>
          <w:color w:val="auto"/>
          <w:vertAlign w:val="superscript"/>
        </w:rPr>
        <w:t>3</w:t>
      </w:r>
    </w:p>
    <w:p>
      <w:pPr>
        <w:spacing w:after="0" w:line="73" w:lineRule="exact"/>
        <w:rPr>
          <w:sz w:val="20"/>
          <w:szCs w:val="20"/>
          <w:color w:val="auto"/>
        </w:rPr>
      </w:pPr>
    </w:p>
    <w:p>
      <w:pPr>
        <w:sectPr>
          <w:pgSz w:w="11900" w:h="16838" w:orient="portrait"/>
          <w:cols w:equalWidth="0" w:num="3">
            <w:col w:w="1920" w:space="540"/>
            <w:col w:w="3140" w:space="380"/>
            <w:col w:w="3580"/>
          </w:cols>
          <w:pgMar w:left="1240" w:top="633" w:right="1099" w:bottom="1440" w:gutter="0" w:footer="0" w:header="0"/>
          <w:type w:val="continuous"/>
        </w:sectPr>
      </w:pPr>
    </w:p>
    <w:p>
      <w:pPr>
        <w:jc w:val="center"/>
        <w:ind w:right="260"/>
        <w:spacing w:after="0" w:line="298" w:lineRule="auto"/>
        <w:rPr>
          <w:sz w:val="20"/>
          <w:szCs w:val="20"/>
          <w:color w:val="auto"/>
        </w:rPr>
      </w:pPr>
      <w:r>
        <w:rPr>
          <w:rFonts w:ascii="Arial" w:cs="Arial" w:eastAsia="Arial" w:hAnsi="Arial"/>
          <w:sz w:val="23"/>
          <w:szCs w:val="23"/>
          <w:b w:val="1"/>
          <w:bCs w:val="1"/>
          <w:color w:val="FFFFFF"/>
        </w:rPr>
        <w:t>Vulcan shareholders deserve the opportunity to participate in Martin Marietta’s value-enhancing proposal</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Reflects change in market capitalization of Vulcan between 12/31/2007 and 12/9/2011.</w:t>
      </w:r>
    </w:p>
    <w:p>
      <w:pPr>
        <w:spacing w:after="0" w:line="7" w:lineRule="exact"/>
        <w:rPr>
          <w:sz w:val="20"/>
          <w:szCs w:val="20"/>
          <w:color w:val="auto"/>
        </w:rPr>
      </w:pPr>
    </w:p>
    <w:p>
      <w:pPr>
        <w:ind w:left="420" w:right="460" w:hanging="409"/>
        <w:spacing w:after="0" w:line="254" w:lineRule="auto"/>
        <w:tabs>
          <w:tab w:leader="none" w:pos="400" w:val="left"/>
        </w:tabs>
        <w:rPr>
          <w:sz w:val="20"/>
          <w:szCs w:val="20"/>
          <w:color w:val="auto"/>
        </w:rPr>
      </w:pPr>
      <w:r>
        <w:rPr>
          <w:rFonts w:ascii="Arial" w:cs="Arial" w:eastAsia="Arial" w:hAnsi="Arial"/>
          <w:sz w:val="10"/>
          <w:szCs w:val="10"/>
          <w:color w:val="auto"/>
        </w:rPr>
        <w:t>Note 2:</w:t>
        <w:tab/>
        <w:t>Assumes $200 - $250M annual synergies at estimated cycle-average EBITDA multiple of 10x, less one-time costs to achieve synergies equal to one times fully achieved annual synergies. Excludes divestitures.</w:t>
      </w:r>
    </w:p>
    <w:p>
      <w:pPr>
        <w:ind w:left="420" w:right="500" w:hanging="409"/>
        <w:spacing w:after="0" w:line="242" w:lineRule="auto"/>
        <w:tabs>
          <w:tab w:leader="none" w:pos="400" w:val="left"/>
        </w:tabs>
        <w:rPr>
          <w:sz w:val="20"/>
          <w:szCs w:val="20"/>
          <w:color w:val="auto"/>
        </w:rPr>
      </w:pPr>
      <w:r>
        <w:rPr>
          <w:rFonts w:ascii="Arial" w:cs="Arial" w:eastAsia="Arial" w:hAnsi="Arial"/>
          <w:sz w:val="10"/>
          <w:szCs w:val="10"/>
          <w:color w:val="auto"/>
        </w:rPr>
        <w:t>Note 3:</w:t>
        <w:tab/>
        <w:t>Assumes annual synergies of $200 - $250M, attributable to cost savings related to SG&amp;A, duplicative operating functions, and purchasing economies of scale. Excludes divestitures. Please refer to note 2 on page 6.</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w:t>
      </w:r>
    </w:p>
    <w:p>
      <w:pPr>
        <w:jc w:val="right"/>
        <w:spacing w:after="0"/>
        <w:rPr>
          <w:sz w:val="20"/>
          <w:szCs w:val="20"/>
          <w:color w:val="auto"/>
        </w:rPr>
      </w:pPr>
      <w:r>
        <w:rPr>
          <w:rFonts w:ascii="Arial" w:cs="Arial" w:eastAsia="Arial" w:hAnsi="Arial"/>
          <w:sz w:val="14"/>
          <w:szCs w:val="14"/>
          <w:color w:val="B4996E"/>
        </w:rPr>
        <w:t>8</w:t>
      </w:r>
    </w:p>
    <w:p>
      <w:pPr>
        <w:sectPr>
          <w:pgSz w:w="11900" w:h="16838" w:orient="portrait"/>
          <w:cols w:equalWidth="0" w:num="1">
            <w:col w:w="9560"/>
          </w:cols>
          <w:pgMar w:left="1240" w:top="633" w:right="1099" w:bottom="1440" w:gutter="0" w:footer="0" w:header="0"/>
          <w:type w:val="continuous"/>
        </w:sectPr>
      </w:pPr>
    </w:p>
    <w:bookmarkStart w:id="9" w:name="page10"/>
    <w:bookmarkEnd w:id="9"/>
    <w:p>
      <w:pPr>
        <w:ind w:right="96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Vulcan’s Underperformance Provides Little Evidence that Vulcan Management Can Deliver on its “Hope Plans”</w:t>
      </w: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160" w:type="dxa"/>
            <w:vAlign w:val="bottom"/>
            <w:gridSpan w:val="2"/>
            <w:vMerge w:val="restart"/>
          </w:tcPr>
          <w:p>
            <w:pPr>
              <w:jc w:val="right"/>
              <w:ind w:right="848"/>
              <w:spacing w:after="0"/>
              <w:rPr>
                <w:sz w:val="20"/>
                <w:szCs w:val="20"/>
                <w:color w:val="auto"/>
              </w:rPr>
            </w:pPr>
            <w:r>
              <w:rPr>
                <w:rFonts w:ascii="Arial" w:cs="Arial" w:eastAsia="Arial" w:hAnsi="Arial"/>
                <w:sz w:val="19"/>
                <w:szCs w:val="19"/>
                <w:b w:val="1"/>
                <w:bCs w:val="1"/>
                <w:color w:val="004E7A"/>
                <w:w w:val="98"/>
              </w:rPr>
              <w:t>Vulcan Gross Profit (% of Net Sales)</w:t>
            </w:r>
          </w:p>
        </w:tc>
        <w:tc>
          <w:tcPr>
            <w:tcW w:w="1800" w:type="dxa"/>
            <w:vAlign w:val="bottom"/>
          </w:tcPr>
          <w:p>
            <w:pPr>
              <w:spacing w:after="0"/>
              <w:rPr>
                <w:sz w:val="13"/>
                <w:szCs w:val="13"/>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004E7A"/>
              </w:rPr>
              <w:t>1</w:t>
            </w:r>
          </w:p>
        </w:tc>
        <w:tc>
          <w:tcPr>
            <w:tcW w:w="0" w:type="dxa"/>
            <w:vAlign w:val="bottom"/>
          </w:tcPr>
          <w:p>
            <w:pPr>
              <w:spacing w:after="0"/>
              <w:rPr>
                <w:sz w:val="1"/>
                <w:szCs w:val="1"/>
                <w:color w:val="auto"/>
              </w:rPr>
            </w:pPr>
          </w:p>
        </w:tc>
      </w:tr>
      <w:tr>
        <w:trPr>
          <w:trHeight w:val="251"/>
        </w:trPr>
        <w:tc>
          <w:tcPr>
            <w:tcW w:w="4160" w:type="dxa"/>
            <w:vAlign w:val="bottom"/>
            <w:gridSpan w:val="2"/>
            <w:vMerge w:val="continue"/>
          </w:tcPr>
          <w:p>
            <w:pPr>
              <w:spacing w:after="0"/>
              <w:rPr>
                <w:sz w:val="21"/>
                <w:szCs w:val="21"/>
                <w:color w:val="auto"/>
              </w:rPr>
            </w:pPr>
          </w:p>
        </w:tc>
        <w:tc>
          <w:tcPr>
            <w:tcW w:w="4020" w:type="dxa"/>
            <w:vAlign w:val="bottom"/>
            <w:gridSpan w:val="2"/>
          </w:tcPr>
          <w:p>
            <w:pPr>
              <w:ind w:left="920"/>
              <w:spacing w:after="0"/>
              <w:rPr>
                <w:sz w:val="20"/>
                <w:szCs w:val="20"/>
                <w:color w:val="auto"/>
              </w:rPr>
            </w:pPr>
            <w:r>
              <w:rPr>
                <w:rFonts w:ascii="Arial" w:cs="Arial" w:eastAsia="Arial" w:hAnsi="Arial"/>
                <w:sz w:val="19"/>
                <w:szCs w:val="19"/>
                <w:b w:val="1"/>
                <w:bCs w:val="1"/>
                <w:color w:val="004E7A"/>
                <w:w w:val="98"/>
              </w:rPr>
              <w:t>Vulcan Adj. SG&amp;A (% of Net Sales)</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19"/>
                <w:szCs w:val="19"/>
                <w:color w:val="auto"/>
              </w:rPr>
            </w:pPr>
          </w:p>
        </w:tc>
        <w:tc>
          <w:tcPr>
            <w:tcW w:w="2880" w:type="dxa"/>
            <w:vAlign w:val="bottom"/>
          </w:tcPr>
          <w:p>
            <w:pPr>
              <w:jc w:val="right"/>
              <w:ind w:right="1748"/>
              <w:spacing w:after="0"/>
              <w:rPr>
                <w:sz w:val="20"/>
                <w:szCs w:val="20"/>
                <w:color w:val="auto"/>
              </w:rPr>
            </w:pPr>
            <w:r>
              <w:rPr>
                <w:rFonts w:ascii="Arial" w:cs="Arial" w:eastAsia="Arial" w:hAnsi="Arial"/>
                <w:sz w:val="14"/>
                <w:szCs w:val="14"/>
                <w:b w:val="1"/>
                <w:bCs w:val="1"/>
                <w:color w:val="auto"/>
              </w:rPr>
              <w:t>(1,900 bps)</w:t>
            </w:r>
          </w:p>
        </w:tc>
        <w:tc>
          <w:tcPr>
            <w:tcW w:w="1800" w:type="dxa"/>
            <w:vAlign w:val="bottom"/>
          </w:tcPr>
          <w:p>
            <w:pPr>
              <w:spacing w:after="0"/>
              <w:rPr>
                <w:sz w:val="19"/>
                <w:szCs w:val="19"/>
                <w:color w:val="auto"/>
              </w:rPr>
            </w:pPr>
          </w:p>
        </w:tc>
        <w:tc>
          <w:tcPr>
            <w:tcW w:w="2220" w:type="dxa"/>
            <w:vAlign w:val="bottom"/>
            <w:vMerge w:val="restart"/>
          </w:tcPr>
          <w:p>
            <w:pPr>
              <w:jc w:val="right"/>
              <w:ind w:right="1389"/>
              <w:spacing w:after="0"/>
              <w:rPr>
                <w:sz w:val="20"/>
                <w:szCs w:val="20"/>
                <w:color w:val="auto"/>
              </w:rPr>
            </w:pPr>
            <w:r>
              <w:rPr>
                <w:rFonts w:ascii="Arial" w:cs="Arial" w:eastAsia="Arial" w:hAnsi="Arial"/>
                <w:sz w:val="14"/>
                <w:szCs w:val="14"/>
                <w:b w:val="1"/>
                <w:bCs w:val="1"/>
                <w:color w:val="auto"/>
              </w:rPr>
              <w:t>+270 bps</w:t>
            </w:r>
          </w:p>
        </w:tc>
        <w:tc>
          <w:tcPr>
            <w:tcW w:w="0" w:type="dxa"/>
            <w:vAlign w:val="bottom"/>
          </w:tcPr>
          <w:p>
            <w:pPr>
              <w:spacing w:after="0"/>
              <w:rPr>
                <w:sz w:val="1"/>
                <w:szCs w:val="1"/>
                <w:color w:val="auto"/>
              </w:rPr>
            </w:pPr>
          </w:p>
        </w:tc>
      </w:tr>
      <w:tr>
        <w:trPr>
          <w:trHeight w:val="188"/>
        </w:trPr>
        <w:tc>
          <w:tcPr>
            <w:tcW w:w="1280" w:type="dxa"/>
            <w:vAlign w:val="bottom"/>
          </w:tcPr>
          <w:p>
            <w:pPr>
              <w:ind w:left="580"/>
              <w:spacing w:after="0"/>
              <w:rPr>
                <w:sz w:val="20"/>
                <w:szCs w:val="20"/>
                <w:color w:val="auto"/>
              </w:rPr>
            </w:pPr>
            <w:r>
              <w:rPr>
                <w:rFonts w:ascii="Arial" w:cs="Arial" w:eastAsia="Arial" w:hAnsi="Arial"/>
                <w:sz w:val="14"/>
                <w:szCs w:val="14"/>
                <w:color w:val="auto"/>
              </w:rPr>
              <w:t>30.8%</w:t>
            </w:r>
          </w:p>
        </w:tc>
        <w:tc>
          <w:tcPr>
            <w:tcW w:w="28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20" w:type="dxa"/>
            <w:vAlign w:val="bottom"/>
          </w:tcPr>
          <w:p>
            <w:pPr>
              <w:jc w:val="right"/>
              <w:ind w:right="34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454"/>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0" w:type="dxa"/>
            <w:vAlign w:val="bottom"/>
          </w:tcPr>
          <w:p>
            <w:pPr>
              <w:ind w:left="1320"/>
              <w:spacing w:after="0"/>
              <w:rPr>
                <w:sz w:val="20"/>
                <w:szCs w:val="20"/>
                <w:color w:val="auto"/>
              </w:rPr>
            </w:pPr>
            <w:r>
              <w:rPr>
                <w:rFonts w:ascii="Arial" w:cs="Arial" w:eastAsia="Arial" w:hAnsi="Arial"/>
                <w:sz w:val="14"/>
                <w:szCs w:val="14"/>
                <w:color w:val="auto"/>
              </w:rPr>
              <w:t>9.3%</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880" w:type="dxa"/>
            <w:vAlign w:val="bottom"/>
          </w:tcPr>
          <w:p>
            <w:pPr>
              <w:jc w:val="right"/>
              <w:ind w:right="1108"/>
              <w:spacing w:after="0"/>
              <w:rPr>
                <w:sz w:val="20"/>
                <w:szCs w:val="20"/>
                <w:color w:val="auto"/>
              </w:rPr>
            </w:pPr>
            <w:r>
              <w:rPr>
                <w:rFonts w:ascii="Arial" w:cs="Arial" w:eastAsia="Arial" w:hAnsi="Arial"/>
                <w:sz w:val="14"/>
                <w:szCs w:val="14"/>
                <w:color w:val="auto"/>
              </w:rPr>
              <w:t>11.8%</w:t>
            </w:r>
          </w:p>
        </w:tc>
        <w:tc>
          <w:tcPr>
            <w:tcW w:w="18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7"/>
        </w:trPr>
        <w:tc>
          <w:tcPr>
            <w:tcW w:w="1280" w:type="dxa"/>
            <w:vAlign w:val="bottom"/>
          </w:tcPr>
          <w:p>
            <w:pPr>
              <w:ind w:left="560"/>
              <w:spacing w:after="0"/>
              <w:rPr>
                <w:sz w:val="20"/>
                <w:szCs w:val="20"/>
                <w:color w:val="auto"/>
              </w:rPr>
            </w:pPr>
            <w:r>
              <w:rPr>
                <w:rFonts w:ascii="Arial" w:cs="Arial" w:eastAsia="Arial" w:hAnsi="Arial"/>
                <w:sz w:val="14"/>
                <w:szCs w:val="14"/>
                <w:color w:val="auto"/>
              </w:rPr>
              <w:t>2007</w:t>
            </w:r>
          </w:p>
        </w:tc>
        <w:tc>
          <w:tcPr>
            <w:tcW w:w="2880" w:type="dxa"/>
            <w:vAlign w:val="bottom"/>
          </w:tcPr>
          <w:p>
            <w:pPr>
              <w:jc w:val="right"/>
              <w:ind w:right="1228"/>
              <w:spacing w:after="0"/>
              <w:rPr>
                <w:sz w:val="20"/>
                <w:szCs w:val="20"/>
                <w:color w:val="auto"/>
              </w:rPr>
            </w:pPr>
            <w:r>
              <w:rPr>
                <w:rFonts w:ascii="Arial" w:cs="Arial" w:eastAsia="Arial" w:hAnsi="Arial"/>
                <w:sz w:val="14"/>
                <w:szCs w:val="14"/>
                <w:color w:val="auto"/>
              </w:rPr>
              <w:t>2011</w:t>
            </w:r>
          </w:p>
        </w:tc>
        <w:tc>
          <w:tcPr>
            <w:tcW w:w="1800" w:type="dxa"/>
            <w:vAlign w:val="bottom"/>
          </w:tcPr>
          <w:p>
            <w:pPr>
              <w:ind w:left="1320"/>
              <w:spacing w:after="0"/>
              <w:rPr>
                <w:sz w:val="20"/>
                <w:szCs w:val="20"/>
                <w:color w:val="auto"/>
              </w:rPr>
            </w:pPr>
            <w:r>
              <w:rPr>
                <w:rFonts w:ascii="Arial" w:cs="Arial" w:eastAsia="Arial" w:hAnsi="Arial"/>
                <w:sz w:val="14"/>
                <w:szCs w:val="14"/>
                <w:color w:val="auto"/>
              </w:rPr>
              <w:t>2007</w:t>
            </w:r>
          </w:p>
        </w:tc>
        <w:tc>
          <w:tcPr>
            <w:tcW w:w="2220" w:type="dxa"/>
            <w:vAlign w:val="bottom"/>
          </w:tcPr>
          <w:p>
            <w:pPr>
              <w:jc w:val="right"/>
              <w:ind w:right="38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00"/>
          </w:cols>
          <w:pgMar w:left="1300" w:top="478" w:right="1099" w:bottom="1440" w:gutter="0" w:footer="0" w:header="0"/>
        </w:sectPr>
      </w:pPr>
    </w:p>
    <w:p>
      <w:pPr>
        <w:spacing w:after="0" w:line="342"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004E7A"/>
        </w:rPr>
        <w:t>Vulcan Adj. EBIT (% of Net Sales)</w:t>
      </w:r>
      <w:r>
        <w:rPr>
          <w:rFonts w:ascii="Arial" w:cs="Arial" w:eastAsia="Arial" w:hAnsi="Arial"/>
          <w:sz w:val="26"/>
          <w:szCs w:val="26"/>
          <w:b w:val="1"/>
          <w:bCs w:val="1"/>
          <w:color w:val="004E7A"/>
          <w:vertAlign w:val="superscript"/>
        </w:rPr>
        <w:t>2</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(2,200 bps)</w:t>
      </w:r>
    </w:p>
    <w:p>
      <w:pPr>
        <w:spacing w:after="0" w:line="4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00"/>
        <w:spacing w:after="0"/>
        <w:rPr>
          <w:sz w:val="20"/>
          <w:szCs w:val="20"/>
          <w:color w:val="auto"/>
        </w:rPr>
      </w:pPr>
      <w:r>
        <w:rPr>
          <w:rFonts w:ascii="Arial" w:cs="Arial" w:eastAsia="Arial" w:hAnsi="Arial"/>
          <w:sz w:val="14"/>
          <w:szCs w:val="14"/>
          <w:color w:val="auto"/>
        </w:rPr>
        <w:t>(1.0%)</w:t>
      </w:r>
    </w:p>
    <w:p>
      <w:pPr>
        <w:spacing w:after="0" w:line="94" w:lineRule="exact"/>
        <w:rPr>
          <w:sz w:val="20"/>
          <w:szCs w:val="20"/>
          <w:color w:val="auto"/>
        </w:rPr>
      </w:pPr>
    </w:p>
    <w:p>
      <w:pPr>
        <w:ind w:left="1340"/>
        <w:spacing w:after="0"/>
        <w:tabs>
          <w:tab w:leader="none" w:pos="3280" w:val="left"/>
        </w:tabs>
        <w:rPr>
          <w:sz w:val="20"/>
          <w:szCs w:val="20"/>
          <w:color w:val="auto"/>
        </w:rPr>
      </w:pPr>
      <w:r>
        <w:rPr>
          <w:rFonts w:ascii="Arial" w:cs="Arial" w:eastAsia="Arial" w:hAnsi="Arial"/>
          <w:sz w:val="14"/>
          <w:szCs w:val="14"/>
          <w:color w:val="auto"/>
        </w:rPr>
        <w:t>2007</w:t>
      </w:r>
      <w:r>
        <w:rPr>
          <w:sz w:val="20"/>
          <w:szCs w:val="20"/>
          <w:color w:val="auto"/>
        </w:rPr>
        <w:tab/>
      </w:r>
      <w:r>
        <w:rPr>
          <w:rFonts w:ascii="Arial" w:cs="Arial" w:eastAsia="Arial" w:hAnsi="Arial"/>
          <w:sz w:val="14"/>
          <w:szCs w:val="14"/>
          <w:color w:val="auto"/>
        </w:rPr>
        <w:t>2011</w:t>
      </w:r>
    </w:p>
    <w:p>
      <w:pPr>
        <w:spacing w:after="0" w:line="245"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Vulcan’s SG&amp;A excludes R&amp;D for comparative purposes. Please see SG&amp;A reconciliation in the appendix.</w:t>
      </w:r>
    </w:p>
    <w:p>
      <w:pPr>
        <w:spacing w:after="0" w:line="18"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Please see EBIT reconciliation in the appendix.</w:t>
      </w:r>
    </w:p>
    <w:p>
      <w:pPr>
        <w:spacing w:after="0" w:line="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0"/>
          <w:szCs w:val="10"/>
          <w:color w:val="auto"/>
        </w:rPr>
        <w:t>Note 3:</w:t>
      </w:r>
      <w:r>
        <w:rPr>
          <w:sz w:val="20"/>
          <w:szCs w:val="20"/>
          <w:color w:val="auto"/>
        </w:rPr>
        <w:tab/>
      </w:r>
      <w:r>
        <w:rPr>
          <w:rFonts w:ascii="Arial" w:cs="Arial" w:eastAsia="Arial" w:hAnsi="Arial"/>
          <w:sz w:val="9"/>
          <w:szCs w:val="9"/>
          <w:color w:val="auto"/>
        </w:rPr>
        <w:t>Reflects net income from continuing operations.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0"/>
          <w:szCs w:val="10"/>
          <w:color w:val="auto"/>
        </w:rPr>
        <w:t>Source:  Company filings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004E7A"/>
        </w:rPr>
        <w:t>Vulcan Net Income (% of Net Sales)</w:t>
      </w:r>
      <w:r>
        <w:rPr>
          <w:rFonts w:ascii="Arial" w:cs="Arial" w:eastAsia="Arial" w:hAnsi="Arial"/>
          <w:sz w:val="25"/>
          <w:szCs w:val="25"/>
          <w:b w:val="1"/>
          <w:bCs w:val="1"/>
          <w:color w:val="004E7A"/>
          <w:vertAlign w:val="superscript"/>
        </w:rPr>
        <w:t>3</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(1,810 bps)</w:t>
      </w:r>
    </w:p>
    <w:p>
      <w:pPr>
        <w:spacing w:after="0" w:line="6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(3.1%)</w:t>
      </w:r>
    </w:p>
    <w:p>
      <w:pPr>
        <w:spacing w:after="0" w:line="72" w:lineRule="exact"/>
        <w:rPr>
          <w:sz w:val="20"/>
          <w:szCs w:val="20"/>
          <w:color w:val="auto"/>
        </w:rPr>
      </w:pPr>
    </w:p>
    <w:p>
      <w:pPr>
        <w:ind w:left="580"/>
        <w:spacing w:after="0"/>
        <w:tabs>
          <w:tab w:leader="none" w:pos="2480" w:val="left"/>
        </w:tabs>
        <w:rPr>
          <w:sz w:val="20"/>
          <w:szCs w:val="20"/>
          <w:color w:val="auto"/>
        </w:rPr>
      </w:pPr>
      <w:r>
        <w:rPr>
          <w:rFonts w:ascii="Arial" w:cs="Arial" w:eastAsia="Arial" w:hAnsi="Arial"/>
          <w:sz w:val="14"/>
          <w:szCs w:val="14"/>
          <w:color w:val="auto"/>
        </w:rPr>
        <w:t>2007</w:t>
      </w:r>
      <w:r>
        <w:rPr>
          <w:sz w:val="20"/>
          <w:szCs w:val="20"/>
          <w:color w:val="auto"/>
        </w:rPr>
        <w:tab/>
      </w:r>
      <w:r>
        <w:rPr>
          <w:rFonts w:ascii="Arial" w:cs="Arial" w:eastAsia="Arial" w:hAnsi="Arial"/>
          <w:sz w:val="14"/>
          <w:szCs w:val="14"/>
          <w:color w:val="auto"/>
        </w:rPr>
        <w:t>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9</w:t>
      </w:r>
    </w:p>
    <w:p>
      <w:pPr>
        <w:sectPr>
          <w:pgSz w:w="11900" w:h="16838" w:orient="portrait"/>
          <w:cols w:equalWidth="0" w:num="2">
            <w:col w:w="5140" w:space="560"/>
            <w:col w:w="3800"/>
          </w:cols>
          <w:pgMar w:left="1300" w:top="478" w:right="1099" w:bottom="1440" w:gutter="0" w:footer="0" w:header="0"/>
          <w:type w:val="continuous"/>
        </w:sectPr>
      </w:pPr>
    </w:p>
    <w:bookmarkStart w:id="10" w:name="page11"/>
    <w:bookmarkEnd w:id="10"/>
    <w:p>
      <w:pPr>
        <w:ind w:left="20" w:right="60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Vulcan’s Underperformance Has Destroyed Significant Shareholder Value</w:t>
      </w:r>
    </w:p>
    <w:p>
      <w:pPr>
        <w:sectPr>
          <w:pgSz w:w="11900" w:h="16838" w:orient="portrait"/>
          <w:cols w:equalWidth="0" w:num="1">
            <w:col w:w="9560"/>
          </w:cols>
          <w:pgMar w:left="1280" w:top="456" w:right="105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right"/>
        <w:ind w:right="800"/>
        <w:spacing w:after="0"/>
        <w:rPr>
          <w:sz w:val="20"/>
          <w:szCs w:val="20"/>
          <w:color w:val="auto"/>
        </w:rPr>
      </w:pPr>
      <w:r>
        <w:rPr>
          <w:rFonts w:ascii="Arial" w:cs="Arial" w:eastAsia="Arial" w:hAnsi="Arial"/>
          <w:sz w:val="21"/>
          <w:szCs w:val="21"/>
          <w:b w:val="1"/>
          <w:bCs w:val="1"/>
          <w:color w:val="004E7A"/>
        </w:rPr>
        <w:t>Vulcan Share Price Performance</w:t>
      </w:r>
      <w:r>
        <w:rPr>
          <w:rFonts w:ascii="Arial" w:cs="Arial" w:eastAsia="Arial" w:hAnsi="Arial"/>
          <w:sz w:val="28"/>
          <w:szCs w:val="28"/>
          <w:b w:val="1"/>
          <w:bCs w:val="1"/>
          <w:color w:val="004E7A"/>
          <w:vertAlign w:val="superscript"/>
        </w:rPr>
        <w:t>1</w:t>
      </w:r>
    </w:p>
    <w:p>
      <w:pPr>
        <w:spacing w:after="0" w:line="394"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$90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54"/>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$80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54"/>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$70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3"/>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$60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54"/>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$50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54"/>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$40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54"/>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$30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3"/>
        </w:trPr>
        <w:tc>
          <w:tcPr>
            <w:tcW w:w="820" w:type="dxa"/>
            <w:vAlign w:val="bottom"/>
          </w:tcPr>
          <w:p>
            <w:pPr>
              <w:jc w:val="right"/>
              <w:ind w:right="508"/>
              <w:spacing w:after="0"/>
              <w:rPr>
                <w:sz w:val="20"/>
                <w:szCs w:val="20"/>
                <w:color w:val="auto"/>
              </w:rPr>
            </w:pPr>
            <w:r>
              <w:rPr>
                <w:rFonts w:ascii="Arial" w:cs="Arial" w:eastAsia="Arial" w:hAnsi="Arial"/>
                <w:sz w:val="14"/>
                <w:szCs w:val="14"/>
                <w:color w:val="auto"/>
                <w:w w:val="94"/>
              </w:rPr>
              <w:t>$20</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8"/>
        </w:trPr>
        <w:tc>
          <w:tcPr>
            <w:tcW w:w="820" w:type="dxa"/>
            <w:vAlign w:val="bottom"/>
          </w:tcPr>
          <w:p>
            <w:pPr>
              <w:jc w:val="right"/>
              <w:ind w:right="228"/>
              <w:spacing w:after="0"/>
              <w:rPr>
                <w:sz w:val="20"/>
                <w:szCs w:val="20"/>
                <w:color w:val="auto"/>
              </w:rPr>
            </w:pPr>
            <w:r>
              <w:rPr>
                <w:rFonts w:ascii="Arial" w:cs="Arial" w:eastAsia="Arial" w:hAnsi="Arial"/>
                <w:sz w:val="14"/>
                <w:szCs w:val="14"/>
                <w:color w:val="auto"/>
              </w:rPr>
              <w:t>2008</w:t>
            </w: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2009</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2010</w:t>
            </w:r>
          </w:p>
        </w:tc>
        <w:tc>
          <w:tcPr>
            <w:tcW w:w="620" w:type="dxa"/>
            <w:vAlign w:val="bottom"/>
          </w:tcPr>
          <w:p>
            <w:pPr>
              <w:jc w:val="right"/>
              <w:spacing w:after="0"/>
              <w:rPr>
                <w:sz w:val="20"/>
                <w:szCs w:val="20"/>
                <w:color w:val="auto"/>
              </w:rPr>
            </w:pPr>
            <w:r>
              <w:rPr>
                <w:rFonts w:ascii="Arial" w:cs="Arial" w:eastAsia="Arial" w:hAnsi="Arial"/>
                <w:sz w:val="14"/>
                <w:szCs w:val="14"/>
                <w:color w:val="auto"/>
              </w:rPr>
              <w:t>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1:</w:t>
        <w:tab/>
        <w:t>Vulcan’s share price performance  for the period 12/31/2007 – 12/9/2011.</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 Capital IQ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1"/>
          <w:szCs w:val="21"/>
          <w:b w:val="1"/>
          <w:bCs w:val="1"/>
          <w:color w:val="004E7A"/>
        </w:rPr>
        <w:t>Vulcan Dividend Level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$1.84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$0.04</w:t>
      </w:r>
    </w:p>
    <w:p>
      <w:pPr>
        <w:spacing w:after="0" w:line="300" w:lineRule="exact"/>
        <w:rPr>
          <w:sz w:val="20"/>
          <w:szCs w:val="20"/>
          <w:color w:val="auto"/>
        </w:rPr>
      </w:pPr>
    </w:p>
    <w:p>
      <w:pPr>
        <w:ind w:left="440"/>
        <w:spacing w:after="0"/>
        <w:tabs>
          <w:tab w:leader="none" w:pos="1880" w:val="left"/>
        </w:tabs>
        <w:rPr>
          <w:sz w:val="20"/>
          <w:szCs w:val="20"/>
          <w:color w:val="auto"/>
        </w:rPr>
      </w:pPr>
      <w:r>
        <w:rPr>
          <w:rFonts w:ascii="Arial" w:cs="Arial" w:eastAsia="Arial" w:hAnsi="Arial"/>
          <w:sz w:val="14"/>
          <w:szCs w:val="14"/>
          <w:color w:val="auto"/>
        </w:rPr>
        <w:t>2007</w:t>
      </w:r>
      <w:r>
        <w:rPr>
          <w:sz w:val="20"/>
          <w:szCs w:val="20"/>
          <w:color w:val="auto"/>
        </w:rPr>
        <w:tab/>
      </w:r>
      <w:r>
        <w:rPr>
          <w:rFonts w:ascii="Arial" w:cs="Arial" w:eastAsia="Arial" w:hAnsi="Arial"/>
          <w:sz w:val="14"/>
          <w:szCs w:val="14"/>
          <w:color w:val="auto"/>
        </w:rPr>
        <w:t>Q1 2012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10</w:t>
      </w:r>
    </w:p>
    <w:p>
      <w:pPr>
        <w:sectPr>
          <w:pgSz w:w="11900" w:h="16838" w:orient="portrait"/>
          <w:cols w:equalWidth="0" w:num="2">
            <w:col w:w="4940" w:space="720"/>
            <w:col w:w="3900"/>
          </w:cols>
          <w:pgMar w:left="1280" w:top="456" w:right="1059" w:bottom="1440" w:gutter="0" w:footer="0" w:header="0"/>
          <w:type w:val="continuous"/>
        </w:sectPr>
      </w:pPr>
    </w:p>
    <w:bookmarkStart w:id="11" w:name="page12"/>
    <w:bookmarkEnd w:id="11"/>
    <w:p>
      <w:pPr>
        <w:ind w:left="2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Vulcan’s Valuation Analysis Appears to be Based on Flawed Assumptions Regarding its Recovery</w:t>
      </w:r>
    </w:p>
    <w:p>
      <w:pPr>
        <w:spacing w:after="0" w:line="200" w:lineRule="exact"/>
        <w:rPr>
          <w:sz w:val="20"/>
          <w:szCs w:val="20"/>
          <w:color w:val="auto"/>
        </w:rPr>
      </w:pP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2020" w:type="dxa"/>
            <w:vAlign w:val="bottom"/>
          </w:tcPr>
          <w:p>
            <w:pPr>
              <w:jc w:val="right"/>
              <w:ind w:right="1424"/>
              <w:spacing w:after="0"/>
              <w:rPr>
                <w:sz w:val="20"/>
                <w:szCs w:val="20"/>
                <w:color w:val="auto"/>
              </w:rPr>
            </w:pPr>
            <w:r>
              <w:rPr>
                <w:rFonts w:ascii="Arial" w:cs="Arial" w:eastAsia="Arial" w:hAnsi="Arial"/>
                <w:sz w:val="17"/>
                <w:szCs w:val="17"/>
                <w:i w:val="1"/>
                <w:iCs w:val="1"/>
                <w:color w:val="auto"/>
              </w:rPr>
              <w:t>($M)</w:t>
            </w:r>
          </w:p>
        </w:tc>
        <w:tc>
          <w:tcPr>
            <w:tcW w:w="1240" w:type="dxa"/>
            <w:vAlign w:val="bottom"/>
          </w:tcPr>
          <w:p>
            <w:pPr>
              <w:spacing w:after="0"/>
              <w:rPr>
                <w:sz w:val="18"/>
                <w:szCs w:val="18"/>
                <w:color w:val="auto"/>
              </w:rPr>
            </w:pPr>
          </w:p>
        </w:tc>
        <w:tc>
          <w:tcPr>
            <w:tcW w:w="3900" w:type="dxa"/>
            <w:vAlign w:val="bottom"/>
            <w:vMerge w:val="restart"/>
          </w:tcPr>
          <w:p>
            <w:pPr>
              <w:jc w:val="center"/>
              <w:ind w:left="1201"/>
              <w:spacing w:after="0"/>
              <w:rPr>
                <w:sz w:val="20"/>
                <w:szCs w:val="20"/>
                <w:color w:val="auto"/>
              </w:rPr>
            </w:pPr>
            <w:r>
              <w:rPr>
                <w:rFonts w:ascii="Arial" w:cs="Arial" w:eastAsia="Arial" w:hAnsi="Arial"/>
                <w:sz w:val="17"/>
                <w:szCs w:val="17"/>
                <w:b w:val="1"/>
                <w:bCs w:val="1"/>
                <w:color w:val="auto"/>
                <w:w w:val="98"/>
              </w:rPr>
              <w:t>Vulcan Claimed“Profit-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90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20" w:type="dxa"/>
            <w:vAlign w:val="bottom"/>
          </w:tcPr>
          <w:p>
            <w:pPr>
              <w:jc w:val="right"/>
              <w:ind w:right="324"/>
              <w:spacing w:after="0"/>
              <w:rPr>
                <w:sz w:val="20"/>
                <w:szCs w:val="20"/>
                <w:color w:val="auto"/>
              </w:rPr>
            </w:pPr>
            <w:r>
              <w:rPr>
                <w:rFonts w:ascii="Arial" w:cs="Arial" w:eastAsia="Arial" w:hAnsi="Arial"/>
                <w:sz w:val="14"/>
                <w:szCs w:val="14"/>
                <w:b w:val="1"/>
                <w:bCs w:val="1"/>
                <w:color w:val="auto"/>
              </w:rPr>
              <w:t>$1,306</w:t>
            </w:r>
          </w:p>
        </w:tc>
        <w:tc>
          <w:tcPr>
            <w:tcW w:w="1240" w:type="dxa"/>
            <w:vAlign w:val="bottom"/>
          </w:tcPr>
          <w:p>
            <w:pPr>
              <w:spacing w:after="0"/>
              <w:rPr>
                <w:sz w:val="20"/>
                <w:szCs w:val="20"/>
                <w:color w:val="auto"/>
              </w:rPr>
            </w:pPr>
          </w:p>
        </w:tc>
        <w:tc>
          <w:tcPr>
            <w:tcW w:w="3900" w:type="dxa"/>
            <w:vAlign w:val="bottom"/>
          </w:tcPr>
          <w:p>
            <w:pPr>
              <w:jc w:val="center"/>
              <w:ind w:left="1201"/>
              <w:spacing w:after="0"/>
              <w:rPr>
                <w:sz w:val="20"/>
                <w:szCs w:val="20"/>
                <w:color w:val="auto"/>
              </w:rPr>
            </w:pPr>
            <w:r>
              <w:rPr>
                <w:rFonts w:ascii="Arial" w:cs="Arial" w:eastAsia="Arial" w:hAnsi="Arial"/>
                <w:sz w:val="17"/>
                <w:szCs w:val="17"/>
                <w:b w:val="1"/>
                <w:bCs w:val="1"/>
                <w:color w:val="auto"/>
                <w:w w:val="95"/>
              </w:rPr>
              <w:t>Enhanced”Mid-CycleEBITDA:</w:t>
            </w:r>
            <w:r>
              <w:rPr>
                <w:rFonts w:ascii="Arial" w:cs="Arial" w:eastAsia="Arial" w:hAnsi="Arial"/>
                <w:sz w:val="18"/>
                <w:szCs w:val="18"/>
                <w:b w:val="1"/>
                <w:bCs w:val="1"/>
                <w:color w:val="auto"/>
                <w:w w:val="95"/>
              </w:rPr>
              <w:t>¹</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20" w:type="dxa"/>
            <w:vAlign w:val="bottom"/>
          </w:tcPr>
          <w:p>
            <w:pPr>
              <w:spacing w:after="0"/>
              <w:rPr>
                <w:sz w:val="19"/>
                <w:szCs w:val="19"/>
                <w:color w:val="auto"/>
              </w:rPr>
            </w:pPr>
          </w:p>
        </w:tc>
        <w:tc>
          <w:tcPr>
            <w:tcW w:w="12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$1,143</w:t>
            </w:r>
          </w:p>
        </w:tc>
        <w:tc>
          <w:tcPr>
            <w:tcW w:w="3900" w:type="dxa"/>
            <w:vAlign w:val="bottom"/>
          </w:tcPr>
          <w:p>
            <w:pPr>
              <w:jc w:val="center"/>
              <w:ind w:left="1161"/>
              <w:spacing w:after="0"/>
              <w:rPr>
                <w:sz w:val="20"/>
                <w:szCs w:val="20"/>
                <w:color w:val="auto"/>
              </w:rPr>
            </w:pPr>
            <w:r>
              <w:rPr>
                <w:rFonts w:ascii="Arial" w:cs="Arial" w:eastAsia="Arial" w:hAnsi="Arial"/>
                <w:sz w:val="17"/>
                <w:szCs w:val="17"/>
                <w:b w:val="1"/>
                <w:bCs w:val="1"/>
                <w:color w:val="auto"/>
                <w:w w:val="96"/>
              </w:rPr>
              <w:t>$1,179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3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0"/>
        </w:trPr>
        <w:tc>
          <w:tcPr>
            <w:tcW w:w="2020" w:type="dxa"/>
            <w:vAlign w:val="bottom"/>
          </w:tcPr>
          <w:p>
            <w:pPr>
              <w:jc w:val="right"/>
              <w:ind w:right="1504"/>
              <w:spacing w:after="0"/>
              <w:rPr>
                <w:sz w:val="20"/>
                <w:szCs w:val="20"/>
                <w:color w:val="auto"/>
              </w:rPr>
            </w:pPr>
            <w:r>
              <w:rPr>
                <w:rFonts w:ascii="Arial" w:cs="Arial" w:eastAsia="Arial" w:hAnsi="Arial"/>
                <w:sz w:val="14"/>
                <w:szCs w:val="14"/>
                <w:b w:val="1"/>
                <w:bCs w:val="1"/>
                <w:color w:val="auto"/>
                <w:w w:val="97"/>
              </w:rPr>
              <w:t>$1,006</w:t>
            </w:r>
          </w:p>
        </w:tc>
        <w:tc>
          <w:tcPr>
            <w:tcW w:w="12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900" w:type="dxa"/>
            <w:vAlign w:val="bottom"/>
          </w:tcPr>
          <w:p>
            <w:pPr>
              <w:jc w:val="right"/>
              <w:ind w:right="301"/>
              <w:spacing w:after="0"/>
              <w:rPr>
                <w:sz w:val="20"/>
                <w:szCs w:val="20"/>
                <w:color w:val="auto"/>
              </w:rPr>
            </w:pPr>
            <w:r>
              <w:rPr>
                <w:rFonts w:ascii="Arial" w:cs="Arial" w:eastAsia="Arial" w:hAnsi="Arial"/>
                <w:sz w:val="17"/>
                <w:szCs w:val="17"/>
                <w:b w:val="1"/>
                <w:bCs w:val="1"/>
                <w:color w:val="auto"/>
              </w:rPr>
              <w:t>Actual Vulcan Average</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900" w:type="dxa"/>
            <w:vAlign w:val="bottom"/>
          </w:tcPr>
          <w:p>
            <w:pPr>
              <w:jc w:val="center"/>
              <w:ind w:left="1221"/>
              <w:spacing w:after="0" w:line="189" w:lineRule="exact"/>
              <w:rPr>
                <w:sz w:val="20"/>
                <w:szCs w:val="20"/>
                <w:color w:val="auto"/>
              </w:rPr>
            </w:pPr>
            <w:r>
              <w:rPr>
                <w:rFonts w:ascii="Arial" w:cs="Arial" w:eastAsia="Arial" w:hAnsi="Arial"/>
                <w:sz w:val="17"/>
                <w:szCs w:val="17"/>
                <w:b w:val="1"/>
                <w:bCs w:val="1"/>
                <w:color w:val="auto"/>
                <w:w w:val="97"/>
              </w:rPr>
              <w:t>EBITDA (’05-’11): $780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900" w:type="dxa"/>
            <w:vAlign w:val="bottom"/>
          </w:tcPr>
          <w:p>
            <w:pPr>
              <w:jc w:val="right"/>
              <w:ind w:right="3081"/>
              <w:spacing w:after="0"/>
              <w:rPr>
                <w:sz w:val="20"/>
                <w:szCs w:val="20"/>
                <w:color w:val="auto"/>
              </w:rPr>
            </w:pPr>
            <w:r>
              <w:rPr>
                <w:rFonts w:ascii="Arial" w:cs="Arial" w:eastAsia="Arial" w:hAnsi="Arial"/>
                <w:sz w:val="14"/>
                <w:szCs w:val="14"/>
                <w:b w:val="1"/>
                <w:bCs w:val="1"/>
                <w:color w:val="auto"/>
              </w:rPr>
              <w:t>$800</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2"/>
        </w:trPr>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00" w:type="dxa"/>
            <w:vAlign w:val="bottom"/>
          </w:tcPr>
          <w:p>
            <w:pPr>
              <w:jc w:val="right"/>
              <w:ind w:right="1881"/>
              <w:spacing w:after="0"/>
              <w:rPr>
                <w:sz w:val="20"/>
                <w:szCs w:val="20"/>
                <w:color w:val="auto"/>
              </w:rPr>
            </w:pPr>
            <w:r>
              <w:rPr>
                <w:rFonts w:ascii="Arial" w:cs="Arial" w:eastAsia="Arial" w:hAnsi="Arial"/>
                <w:sz w:val="14"/>
                <w:szCs w:val="14"/>
                <w:b w:val="1"/>
                <w:bCs w:val="1"/>
                <w:color w:val="auto"/>
              </w:rPr>
              <w:t>$516</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00" w:type="dxa"/>
            <w:vAlign w:val="bottom"/>
          </w:tcPr>
          <w:p>
            <w:pPr>
              <w:jc w:val="right"/>
              <w:ind w:right="661"/>
              <w:spacing w:after="0"/>
              <w:rPr>
                <w:sz w:val="20"/>
                <w:szCs w:val="20"/>
                <w:color w:val="auto"/>
              </w:rPr>
            </w:pPr>
            <w:r>
              <w:rPr>
                <w:rFonts w:ascii="Arial" w:cs="Arial" w:eastAsia="Arial" w:hAnsi="Arial"/>
                <w:sz w:val="14"/>
                <w:szCs w:val="14"/>
                <w:b w:val="1"/>
                <w:bCs w:val="1"/>
                <w:color w:val="auto"/>
              </w:rPr>
              <w:t>$352</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540" w:type="dxa"/>
            <w:vAlign w:val="bottom"/>
          </w:tcPr>
          <w:p>
            <w:pPr>
              <w:spacing w:after="0"/>
              <w:rPr>
                <w:sz w:val="20"/>
                <w:szCs w:val="20"/>
                <w:color w:val="auto"/>
              </w:rPr>
            </w:pPr>
            <w:r>
              <w:rPr>
                <w:rFonts w:ascii="Arial" w:cs="Arial" w:eastAsia="Arial" w:hAnsi="Arial"/>
                <w:sz w:val="14"/>
                <w:szCs w:val="14"/>
                <w:color w:val="auto"/>
              </w:rPr>
              <w:t>PF2005</w:t>
            </w:r>
          </w:p>
        </w:tc>
        <w:tc>
          <w:tcPr>
            <w:tcW w:w="1420" w:type="dxa"/>
            <w:vAlign w:val="bottom"/>
          </w:tcPr>
          <w:p>
            <w:pPr>
              <w:ind w:left="680"/>
              <w:spacing w:after="0"/>
              <w:rPr>
                <w:sz w:val="20"/>
                <w:szCs w:val="20"/>
                <w:color w:val="auto"/>
              </w:rPr>
            </w:pPr>
            <w:r>
              <w:rPr>
                <w:rFonts w:ascii="Arial" w:cs="Arial" w:eastAsia="Arial" w:hAnsi="Arial"/>
                <w:sz w:val="14"/>
                <w:szCs w:val="14"/>
                <w:color w:val="auto"/>
              </w:rPr>
              <w:t>PF2006</w:t>
            </w:r>
          </w:p>
        </w:tc>
        <w:tc>
          <w:tcPr>
            <w:tcW w:w="1360" w:type="dxa"/>
            <w:vAlign w:val="bottom"/>
          </w:tcPr>
          <w:p>
            <w:pPr>
              <w:ind w:left="460"/>
              <w:spacing w:after="0"/>
              <w:rPr>
                <w:sz w:val="20"/>
                <w:szCs w:val="20"/>
                <w:color w:val="auto"/>
              </w:rPr>
            </w:pPr>
            <w:r>
              <w:rPr>
                <w:rFonts w:ascii="Arial" w:cs="Arial" w:eastAsia="Arial" w:hAnsi="Arial"/>
                <w:sz w:val="14"/>
                <w:szCs w:val="14"/>
                <w:color w:val="auto"/>
              </w:rPr>
              <w:t>PF2007</w:t>
            </w:r>
          </w:p>
        </w:tc>
        <w:tc>
          <w:tcPr>
            <w:tcW w:w="1300" w:type="dxa"/>
            <w:vAlign w:val="bottom"/>
          </w:tcPr>
          <w:p>
            <w:pPr>
              <w:jc w:val="right"/>
              <w:ind w:right="528"/>
              <w:spacing w:after="0"/>
              <w:rPr>
                <w:sz w:val="20"/>
                <w:szCs w:val="20"/>
                <w:color w:val="auto"/>
              </w:rPr>
            </w:pPr>
            <w:r>
              <w:rPr>
                <w:rFonts w:ascii="Arial" w:cs="Arial" w:eastAsia="Arial" w:hAnsi="Arial"/>
                <w:sz w:val="14"/>
                <w:szCs w:val="14"/>
                <w:color w:val="auto"/>
              </w:rPr>
              <w:t>2008</w:t>
            </w:r>
          </w:p>
        </w:tc>
        <w:tc>
          <w:tcPr>
            <w:tcW w:w="1060" w:type="dxa"/>
            <w:vAlign w:val="bottom"/>
          </w:tcPr>
          <w:p>
            <w:pPr>
              <w:ind w:left="300"/>
              <w:spacing w:after="0"/>
              <w:rPr>
                <w:sz w:val="20"/>
                <w:szCs w:val="20"/>
                <w:color w:val="auto"/>
              </w:rPr>
            </w:pPr>
            <w:r>
              <w:rPr>
                <w:rFonts w:ascii="Arial" w:cs="Arial" w:eastAsia="Arial" w:hAnsi="Arial"/>
                <w:sz w:val="14"/>
                <w:szCs w:val="14"/>
                <w:color w:val="auto"/>
              </w:rPr>
              <w:t>2009</w:t>
            </w:r>
          </w:p>
        </w:tc>
        <w:tc>
          <w:tcPr>
            <w:tcW w:w="1220" w:type="dxa"/>
            <w:vAlign w:val="bottom"/>
          </w:tcPr>
          <w:p>
            <w:pPr>
              <w:jc w:val="right"/>
              <w:ind w:right="368"/>
              <w:spacing w:after="0"/>
              <w:rPr>
                <w:sz w:val="20"/>
                <w:szCs w:val="20"/>
                <w:color w:val="auto"/>
              </w:rPr>
            </w:pPr>
            <w:r>
              <w:rPr>
                <w:rFonts w:ascii="Arial" w:cs="Arial" w:eastAsia="Arial" w:hAnsi="Arial"/>
                <w:sz w:val="14"/>
                <w:szCs w:val="14"/>
                <w:color w:val="auto"/>
              </w:rPr>
              <w:t>2010</w:t>
            </w:r>
          </w:p>
        </w:tc>
        <w:tc>
          <w:tcPr>
            <w:tcW w:w="78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299"/>
        </w:trPr>
        <w:tc>
          <w:tcPr>
            <w:tcW w:w="540" w:type="dxa"/>
            <w:vAlign w:val="bottom"/>
          </w:tcPr>
          <w:p>
            <w:pPr>
              <w:spacing w:after="0"/>
              <w:rPr>
                <w:sz w:val="24"/>
                <w:szCs w:val="24"/>
                <w:color w:val="auto"/>
              </w:rPr>
            </w:pPr>
          </w:p>
        </w:tc>
        <w:tc>
          <w:tcPr>
            <w:tcW w:w="1420" w:type="dxa"/>
            <w:vAlign w:val="bottom"/>
          </w:tcPr>
          <w:p>
            <w:pPr>
              <w:ind w:left="40"/>
              <w:spacing w:after="0"/>
              <w:rPr>
                <w:sz w:val="20"/>
                <w:szCs w:val="20"/>
                <w:color w:val="auto"/>
              </w:rPr>
            </w:pPr>
            <w:r>
              <w:rPr>
                <w:rFonts w:ascii="Arial" w:cs="Arial" w:eastAsia="Arial" w:hAnsi="Arial"/>
                <w:sz w:val="14"/>
                <w:szCs w:val="14"/>
                <w:color w:val="auto"/>
              </w:rPr>
              <w:t>Vulcan EBITDA</w:t>
            </w:r>
          </w:p>
        </w:tc>
        <w:tc>
          <w:tcPr>
            <w:tcW w:w="2660" w:type="dxa"/>
            <w:vAlign w:val="bottom"/>
            <w:gridSpan w:val="2"/>
          </w:tcPr>
          <w:p>
            <w:pPr>
              <w:jc w:val="right"/>
              <w:ind w:right="228"/>
              <w:spacing w:after="0"/>
              <w:rPr>
                <w:sz w:val="20"/>
                <w:szCs w:val="20"/>
                <w:color w:val="auto"/>
              </w:rPr>
            </w:pPr>
            <w:r>
              <w:rPr>
                <w:rFonts w:ascii="Arial" w:cs="Arial" w:eastAsia="Arial" w:hAnsi="Arial"/>
                <w:sz w:val="14"/>
                <w:szCs w:val="14"/>
                <w:color w:val="auto"/>
              </w:rPr>
              <w:t>Average Vulcan EBITDA ('05-'11)</w:t>
            </w: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Vulcan Profit-Enhanced Mid-Cycle EBITDA</w:t>
            </w:r>
          </w:p>
        </w:tc>
      </w:tr>
    </w:tbl>
    <w:p>
      <w:pPr>
        <w:spacing w:after="0" w:line="373" w:lineRule="exact"/>
        <w:rPr>
          <w:sz w:val="20"/>
          <w:szCs w:val="20"/>
          <w:color w:val="auto"/>
        </w:rPr>
      </w:pPr>
    </w:p>
    <w:p>
      <w:pPr>
        <w:ind w:left="440"/>
        <w:spacing w:after="0"/>
        <w:rPr>
          <w:sz w:val="20"/>
          <w:szCs w:val="20"/>
          <w:color w:val="auto"/>
        </w:rPr>
      </w:pPr>
      <w:r>
        <w:rPr>
          <w:rFonts w:ascii="Arial" w:cs="Arial" w:eastAsia="Arial" w:hAnsi="Arial"/>
          <w:sz w:val="23"/>
          <w:szCs w:val="23"/>
          <w:b w:val="1"/>
          <w:bCs w:val="1"/>
          <w:color w:val="FFFFFF"/>
        </w:rPr>
        <w:t>Vulcan cited a mid-cycle EBITDA 50% higher than Vulcan’s historical average</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 w:leader="none" w:pos="1960" w:val="left"/>
        </w:tabs>
        <w:rPr>
          <w:sz w:val="20"/>
          <w:szCs w:val="20"/>
          <w:color w:val="auto"/>
        </w:rPr>
      </w:pPr>
      <w:r>
        <w:rPr>
          <w:rFonts w:ascii="Arial" w:cs="Arial" w:eastAsia="Arial" w:hAnsi="Arial"/>
          <w:sz w:val="10"/>
          <w:szCs w:val="10"/>
          <w:color w:val="auto"/>
        </w:rPr>
        <w:t>Note:</w:t>
      </w:r>
      <w:r>
        <w:rPr>
          <w:sz w:val="20"/>
          <w:szCs w:val="20"/>
          <w:color w:val="auto"/>
        </w:rPr>
        <w:tab/>
      </w:r>
      <w:r>
        <w:rPr>
          <w:rFonts w:ascii="Arial" w:cs="Arial" w:eastAsia="Arial" w:hAnsi="Arial"/>
          <w:sz w:val="10"/>
          <w:szCs w:val="10"/>
          <w:color w:val="auto"/>
        </w:rPr>
        <w:t>Please see EBITDAreconciliation</w:t>
        <w:tab/>
        <w:t>in appendix. 2005 – 2007 pro forma for the acquisition  of Florida Rock.</w:t>
      </w:r>
    </w:p>
    <w:p>
      <w:pPr>
        <w:spacing w:after="0" w:line="7"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Source: Vulcan’s “The Vulcan Value Proposition”, March 2012.</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w:t>
      </w:r>
    </w:p>
    <w:p>
      <w:pPr>
        <w:spacing w:after="0" w:line="89" w:lineRule="exact"/>
        <w:rPr>
          <w:sz w:val="20"/>
          <w:szCs w:val="20"/>
          <w:color w:val="auto"/>
        </w:rPr>
      </w:pPr>
    </w:p>
    <w:p>
      <w:pPr>
        <w:ind w:left="9360"/>
        <w:spacing w:after="0"/>
        <w:rPr>
          <w:sz w:val="20"/>
          <w:szCs w:val="20"/>
          <w:color w:val="auto"/>
        </w:rPr>
      </w:pPr>
      <w:r>
        <w:rPr>
          <w:rFonts w:ascii="Arial" w:cs="Arial" w:eastAsia="Arial" w:hAnsi="Arial"/>
          <w:sz w:val="14"/>
          <w:szCs w:val="14"/>
          <w:color w:val="B4996E"/>
        </w:rPr>
        <w:t>11</w:t>
      </w:r>
    </w:p>
    <w:p>
      <w:pPr>
        <w:sectPr>
          <w:pgSz w:w="11900" w:h="16838" w:orient="portrait"/>
          <w:cols w:equalWidth="0" w:num="1">
            <w:col w:w="9780"/>
          </w:cols>
          <w:pgMar w:left="1340" w:top="478" w:right="779" w:bottom="1440" w:gutter="0" w:footer="0" w:header="0"/>
        </w:sectPr>
      </w:pPr>
    </w:p>
    <w:bookmarkStart w:id="12" w:name="page13"/>
    <w:bookmarkEnd w:id="12"/>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Timing of Vulcan’s Recovery Remains Highly Uncertain</w:t>
      </w:r>
    </w:p>
    <w:p>
      <w:pPr>
        <w:sectPr>
          <w:pgSz w:w="11900" w:h="16838" w:orient="portrait"/>
          <w:cols w:equalWidth="0" w:num="1">
            <w:col w:w="9460"/>
          </w:cols>
          <w:pgMar w:left="1380" w:top="68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0"/>
        <w:spacing w:after="0"/>
        <w:rPr>
          <w:sz w:val="20"/>
          <w:szCs w:val="20"/>
          <w:color w:val="auto"/>
        </w:rPr>
      </w:pPr>
      <w:r>
        <w:rPr>
          <w:rFonts w:ascii="Arial" w:cs="Arial" w:eastAsia="Arial" w:hAnsi="Arial"/>
          <w:sz w:val="20"/>
          <w:szCs w:val="20"/>
          <w:b w:val="1"/>
          <w:bCs w:val="1"/>
          <w:color w:val="004E7A"/>
        </w:rPr>
        <w:t>Vulcan EBITDA</w:t>
      </w:r>
      <w:r>
        <w:rPr>
          <w:rFonts w:ascii="Arial" w:cs="Arial" w:eastAsia="Arial" w:hAnsi="Arial"/>
          <w:sz w:val="21"/>
          <w:szCs w:val="21"/>
          <w:b w:val="1"/>
          <w:bCs w:val="1"/>
          <w:color w:val="004E7A"/>
        </w:rPr>
        <w:t>¹</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60"/>
        <w:spacing w:after="0"/>
        <w:rPr>
          <w:sz w:val="20"/>
          <w:szCs w:val="20"/>
          <w:color w:val="auto"/>
        </w:rPr>
      </w:pPr>
      <w:r>
        <w:rPr>
          <w:rFonts w:ascii="Arial" w:cs="Arial" w:eastAsia="Arial" w:hAnsi="Arial"/>
          <w:sz w:val="14"/>
          <w:szCs w:val="14"/>
          <w:b w:val="1"/>
          <w:bCs w:val="1"/>
          <w:color w:val="auto"/>
        </w:rPr>
        <w:t>To calculate its “Profit-Enhanced</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Mid-Cycle” EBITDA, Vulcan added</w:t>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$100 million to an estimate that</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already appeared aggressive</w:t>
      </w:r>
    </w:p>
    <w:p>
      <w:pPr>
        <w:spacing w:after="0" w:line="293" w:lineRule="exact"/>
        <w:rPr>
          <w:sz w:val="20"/>
          <w:szCs w:val="20"/>
          <w:color w:val="auto"/>
        </w:rPr>
      </w:pPr>
    </w:p>
    <w:p>
      <w:pPr>
        <w:sectPr>
          <w:pgSz w:w="11900" w:h="16838" w:orient="portrait"/>
          <w:cols w:equalWidth="0" w:num="2">
            <w:col w:w="5200" w:space="720"/>
            <w:col w:w="3540"/>
          </w:cols>
          <w:pgMar w:left="1380" w:top="689" w:right="1059" w:bottom="1440" w:gutter="0" w:footer="0" w:header="0"/>
          <w:type w:val="continuous"/>
        </w:sectPr>
      </w:pPr>
    </w:p>
    <w:p>
      <w:pPr>
        <w:ind w:left="100"/>
        <w:spacing w:after="0"/>
        <w:rPr>
          <w:sz w:val="20"/>
          <w:szCs w:val="20"/>
          <w:color w:val="auto"/>
        </w:rPr>
      </w:pPr>
      <w:r>
        <w:rPr>
          <w:rFonts w:ascii="Arial" w:cs="Arial" w:eastAsia="Arial" w:hAnsi="Arial"/>
          <w:sz w:val="17"/>
          <w:szCs w:val="17"/>
          <w:i w:val="1"/>
          <w:iCs w:val="1"/>
          <w:color w:val="auto"/>
        </w:rPr>
        <w: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color w:val="FFFFFF"/>
        </w:rPr>
        <w:t>How long to</w:t>
      </w:r>
    </w:p>
    <w:p>
      <w:pPr>
        <w:spacing w:after="0" w:line="29"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FFFFFF"/>
        </w:rPr>
        <w:t>achieve</w:t>
      </w:r>
    </w:p>
    <w:p>
      <w:pPr>
        <w:jc w:val="right"/>
        <w:ind w:right="4920"/>
        <w:spacing w:after="0" w:line="197" w:lineRule="auto"/>
        <w:tabs>
          <w:tab w:leader="none" w:pos="5960" w:val="left"/>
        </w:tabs>
        <w:rPr>
          <w:sz w:val="20"/>
          <w:szCs w:val="20"/>
          <w:color w:val="auto"/>
        </w:rPr>
      </w:pPr>
      <w:r>
        <w:rPr>
          <w:rFonts w:ascii="Arial" w:cs="Arial" w:eastAsia="Arial" w:hAnsi="Arial"/>
          <w:sz w:val="14"/>
          <w:szCs w:val="14"/>
          <w:b w:val="1"/>
          <w:bCs w:val="1"/>
          <w:color w:val="FFFFFF"/>
        </w:rPr>
        <w:t>Analyst consensus estimates</w:t>
      </w:r>
      <w:r>
        <w:rPr>
          <w:sz w:val="20"/>
          <w:szCs w:val="20"/>
          <w:color w:val="auto"/>
        </w:rPr>
        <w:tab/>
      </w:r>
      <w:r>
        <w:rPr>
          <w:rFonts w:ascii="Arial" w:cs="Arial" w:eastAsia="Arial" w:hAnsi="Arial"/>
          <w:sz w:val="21"/>
          <w:szCs w:val="21"/>
          <w:b w:val="1"/>
          <w:bCs w:val="1"/>
          <w:color w:val="FFFFFF"/>
          <w:vertAlign w:val="superscript"/>
        </w:rPr>
        <w:t>Vulcan’s “Profit</w:t>
      </w:r>
    </w:p>
    <w:p>
      <w:pPr>
        <w:jc w:val="right"/>
        <w:ind w:right="4880"/>
        <w:spacing w:after="0" w:line="202" w:lineRule="auto"/>
        <w:rPr>
          <w:sz w:val="20"/>
          <w:szCs w:val="20"/>
          <w:color w:val="auto"/>
        </w:rPr>
      </w:pPr>
      <w:r>
        <w:rPr>
          <w:rFonts w:ascii="Arial" w:cs="Arial" w:eastAsia="Arial" w:hAnsi="Arial"/>
          <w:sz w:val="14"/>
          <w:szCs w:val="14"/>
          <w:b w:val="1"/>
          <w:bCs w:val="1"/>
          <w:color w:val="FFFFFF"/>
        </w:rPr>
        <w:t>Enhanced” mid-</w:t>
      </w:r>
    </w:p>
    <w:p>
      <w:pPr>
        <w:ind w:left="3500"/>
        <w:spacing w:after="0"/>
        <w:rPr>
          <w:sz w:val="20"/>
          <w:szCs w:val="20"/>
          <w:color w:val="auto"/>
        </w:rPr>
      </w:pPr>
      <w:r>
        <w:rPr>
          <w:rFonts w:ascii="Arial" w:cs="Arial" w:eastAsia="Arial" w:hAnsi="Arial"/>
          <w:sz w:val="14"/>
          <w:szCs w:val="14"/>
          <w:b w:val="1"/>
          <w:bCs w:val="1"/>
          <w:color w:val="FFFFFF"/>
        </w:rPr>
        <w:t>cycle EBITDA?</w:t>
      </w:r>
      <w:r>
        <w:rPr>
          <w:rFonts w:ascii="Arial" w:cs="Arial" w:eastAsia="Arial" w:hAnsi="Arial"/>
          <w:sz w:val="33"/>
          <w:szCs w:val="33"/>
          <w:b w:val="1"/>
          <w:bCs w:val="1"/>
          <w:color w:val="FFFFFF"/>
          <w:vertAlign w:val="superscript"/>
        </w:rPr>
        <w:t>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40"/>
        <w:spacing w:after="0"/>
        <w:rPr>
          <w:sz w:val="20"/>
          <w:szCs w:val="20"/>
          <w:color w:val="auto"/>
        </w:rPr>
      </w:pPr>
      <w:r>
        <w:rPr>
          <w:rFonts w:ascii="Arial" w:cs="Arial" w:eastAsia="Arial" w:hAnsi="Arial"/>
          <w:sz w:val="10"/>
          <w:szCs w:val="10"/>
          <w:color w:val="auto"/>
        </w:rPr>
        <w:t>Note 1:  2012-2014 based on Thomson median consensus estimates as of 4/27/2012.</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0"/>
          <w:szCs w:val="10"/>
          <w:color w:val="auto"/>
        </w:rPr>
        <w:t>Note 2:  Based on Vulcan’s “The Vulcan Value Proposition”, March 2012.</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0"/>
          <w:szCs w:val="10"/>
          <w:color w:val="auto"/>
        </w:rPr>
        <w:t>Source: Company filings, Vulcan’s “The Vulcan Value Proposition”, March 2012</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12</w:t>
      </w:r>
    </w:p>
    <w:p>
      <w:pPr>
        <w:sectPr>
          <w:pgSz w:w="11900" w:h="16838" w:orient="portrait"/>
          <w:cols w:equalWidth="0" w:num="1">
            <w:col w:w="9460"/>
          </w:cols>
          <w:pgMar w:left="1380" w:top="689" w:right="1059" w:bottom="1440" w:gutter="0" w:footer="0" w:header="0"/>
          <w:type w:val="continuous"/>
        </w:sectPr>
      </w:pPr>
    </w:p>
    <w:bookmarkStart w:id="13" w:name="page14"/>
    <w:bookmarkEnd w:id="13"/>
    <w:p>
      <w:pPr>
        <w:ind w:left="140" w:right="920"/>
        <w:spacing w:after="0" w:line="263" w:lineRule="auto"/>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Martin Marietta's Proposal, as Reflected in Vulcan's TEV/EBITDA Multiple, Already Incorporates Analysts' Views of the Eventual Cyclical Recovery And Future Performance</w:t>
      </w:r>
    </w:p>
    <w:p>
      <w:pPr>
        <w:spacing w:after="0" w:line="188" w:lineRule="exact"/>
        <w:rPr>
          <w:sz w:val="20"/>
          <w:szCs w:val="20"/>
          <w:color w:val="auto"/>
        </w:rPr>
      </w:pPr>
    </w:p>
    <w:p>
      <w:pPr>
        <w:ind w:left="2380"/>
        <w:spacing w:after="0"/>
        <w:rPr>
          <w:sz w:val="20"/>
          <w:szCs w:val="20"/>
          <w:color w:val="auto"/>
        </w:rPr>
      </w:pPr>
      <w:r>
        <w:rPr>
          <w:rFonts w:ascii="Arial" w:cs="Arial" w:eastAsia="Arial" w:hAnsi="Arial"/>
          <w:sz w:val="21"/>
          <w:szCs w:val="21"/>
          <w:b w:val="1"/>
          <w:bCs w:val="1"/>
          <w:color w:val="004E7A"/>
        </w:rPr>
        <w:t xml:space="preserve">Total EnterpriseValue / EBITDAMultiple </w:t>
      </w:r>
      <w:r>
        <w:rPr>
          <w:rFonts w:ascii="Arial" w:cs="Arial" w:eastAsia="Arial" w:hAnsi="Arial"/>
          <w:sz w:val="22"/>
          <w:szCs w:val="22"/>
          <w:b w:val="1"/>
          <w:bCs w:val="1"/>
          <w:color w:val="004E7A"/>
        </w:rPr>
        <w:t>¹</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18.0x</w:t>
      </w:r>
    </w:p>
    <w:p>
      <w:pPr>
        <w:spacing w:after="0" w:line="87" w:lineRule="exact"/>
        <w:rPr>
          <w:sz w:val="20"/>
          <w:szCs w:val="20"/>
          <w:color w:val="auto"/>
        </w:rPr>
      </w:pPr>
    </w:p>
    <w:p>
      <w:pPr>
        <w:ind w:left="1700"/>
        <w:spacing w:after="0"/>
        <w:rPr>
          <w:sz w:val="20"/>
          <w:szCs w:val="20"/>
          <w:color w:val="auto"/>
        </w:rPr>
      </w:pPr>
      <w:r>
        <w:rPr>
          <w:rFonts w:ascii="Arial" w:cs="Arial" w:eastAsia="Arial" w:hAnsi="Arial"/>
          <w:sz w:val="17"/>
          <w:szCs w:val="17"/>
          <w:b w:val="1"/>
          <w:bCs w:val="1"/>
          <w:color w:val="auto"/>
        </w:rPr>
        <w:t>16.7x</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00" w:type="dxa"/>
            <w:vAlign w:val="bottom"/>
            <w:vMerge w:val="restart"/>
          </w:tcPr>
          <w:p>
            <w:pPr>
              <w:jc w:val="right"/>
              <w:ind w:right="568"/>
              <w:spacing w:after="0"/>
              <w:rPr>
                <w:sz w:val="20"/>
                <w:szCs w:val="20"/>
                <w:color w:val="auto"/>
              </w:rPr>
            </w:pPr>
            <w:r>
              <w:rPr>
                <w:rFonts w:ascii="Arial" w:cs="Arial" w:eastAsia="Arial" w:hAnsi="Arial"/>
                <w:sz w:val="14"/>
                <w:szCs w:val="14"/>
                <w:color w:val="auto"/>
                <w:w w:val="99"/>
              </w:rPr>
              <w:t>16.0x</w:t>
            </w:r>
          </w:p>
        </w:tc>
        <w:tc>
          <w:tcPr>
            <w:tcW w:w="2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40" w:type="dxa"/>
            <w:vAlign w:val="bottom"/>
          </w:tcPr>
          <w:p>
            <w:pPr>
              <w:jc w:val="center"/>
              <w:ind w:left="597"/>
              <w:spacing w:after="0"/>
              <w:rPr>
                <w:sz w:val="20"/>
                <w:szCs w:val="20"/>
                <w:color w:val="auto"/>
              </w:rPr>
            </w:pPr>
            <w:r>
              <w:rPr>
                <w:rFonts w:ascii="Arial" w:cs="Arial" w:eastAsia="Arial" w:hAnsi="Arial"/>
                <w:sz w:val="17"/>
                <w:szCs w:val="17"/>
                <w:b w:val="1"/>
                <w:bCs w:val="1"/>
                <w:color w:val="auto"/>
                <w:w w:val="97"/>
              </w:rPr>
              <w:t>At the proposed exchange</w:t>
            </w:r>
          </w:p>
        </w:tc>
        <w:tc>
          <w:tcPr>
            <w:tcW w:w="0" w:type="dxa"/>
            <w:vAlign w:val="bottom"/>
          </w:tcPr>
          <w:p>
            <w:pPr>
              <w:spacing w:after="0"/>
              <w:rPr>
                <w:sz w:val="1"/>
                <w:szCs w:val="1"/>
                <w:color w:val="auto"/>
              </w:rPr>
            </w:pPr>
          </w:p>
        </w:tc>
      </w:tr>
      <w:tr>
        <w:trPr>
          <w:trHeight w:val="102"/>
        </w:trPr>
        <w:tc>
          <w:tcPr>
            <w:tcW w:w="100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40" w:type="dxa"/>
            <w:vAlign w:val="bottom"/>
            <w:vMerge w:val="restart"/>
          </w:tcPr>
          <w:p>
            <w:pPr>
              <w:jc w:val="center"/>
              <w:ind w:left="557"/>
              <w:spacing w:after="0"/>
              <w:rPr>
                <w:sz w:val="20"/>
                <w:szCs w:val="20"/>
                <w:color w:val="auto"/>
              </w:rPr>
            </w:pPr>
            <w:r>
              <w:rPr>
                <w:rFonts w:ascii="Arial" w:cs="Arial" w:eastAsia="Arial" w:hAnsi="Arial"/>
                <w:sz w:val="17"/>
                <w:szCs w:val="17"/>
                <w:b w:val="1"/>
                <w:bCs w:val="1"/>
                <w:color w:val="auto"/>
                <w:w w:val="97"/>
              </w:rPr>
              <w:t>ratio, Vulcan is valued at a</w:t>
            </w:r>
          </w:p>
        </w:tc>
        <w:tc>
          <w:tcPr>
            <w:tcW w:w="0" w:type="dxa"/>
            <w:vAlign w:val="bottom"/>
          </w:tcPr>
          <w:p>
            <w:pPr>
              <w:spacing w:after="0"/>
              <w:rPr>
                <w:sz w:val="1"/>
                <w:szCs w:val="1"/>
                <w:color w:val="auto"/>
              </w:rPr>
            </w:pPr>
          </w:p>
        </w:tc>
      </w:tr>
      <w:tr>
        <w:trPr>
          <w:trHeight w:val="98"/>
        </w:trPr>
        <w:tc>
          <w:tcPr>
            <w:tcW w:w="10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40" w:type="dxa"/>
            <w:vAlign w:val="bottom"/>
          </w:tcPr>
          <w:p>
            <w:pPr>
              <w:jc w:val="center"/>
              <w:ind w:left="537"/>
              <w:spacing w:after="0"/>
              <w:rPr>
                <w:sz w:val="20"/>
                <w:szCs w:val="20"/>
                <w:color w:val="auto"/>
              </w:rPr>
            </w:pPr>
            <w:r>
              <w:rPr>
                <w:rFonts w:ascii="Arial" w:cs="Arial" w:eastAsia="Arial" w:hAnsi="Arial"/>
                <w:sz w:val="17"/>
                <w:szCs w:val="17"/>
                <w:b w:val="1"/>
                <w:bCs w:val="1"/>
                <w:color w:val="auto"/>
                <w:w w:val="97"/>
              </w:rPr>
              <w:t>premium to Martin Marietta,</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40" w:type="dxa"/>
            <w:vAlign w:val="bottom"/>
          </w:tcPr>
          <w:p>
            <w:pPr>
              <w:jc w:val="center"/>
              <w:ind w:left="597"/>
              <w:spacing w:after="0" w:line="189" w:lineRule="exact"/>
              <w:rPr>
                <w:sz w:val="20"/>
                <w:szCs w:val="20"/>
                <w:color w:val="auto"/>
              </w:rPr>
            </w:pPr>
            <w:r>
              <w:rPr>
                <w:rFonts w:ascii="Arial" w:cs="Arial" w:eastAsia="Arial" w:hAnsi="Arial"/>
                <w:sz w:val="17"/>
                <w:szCs w:val="17"/>
                <w:b w:val="1"/>
                <w:bCs w:val="1"/>
                <w:color w:val="auto"/>
                <w:w w:val="97"/>
              </w:rPr>
              <w:t>even using current 2014 analyst</w:t>
            </w:r>
          </w:p>
        </w:tc>
        <w:tc>
          <w:tcPr>
            <w:tcW w:w="0" w:type="dxa"/>
            <w:vAlign w:val="bottom"/>
          </w:tcPr>
          <w:p>
            <w:pPr>
              <w:spacing w:after="0"/>
              <w:rPr>
                <w:sz w:val="1"/>
                <w:szCs w:val="1"/>
                <w:color w:val="auto"/>
              </w:rPr>
            </w:pPr>
          </w:p>
        </w:tc>
      </w:tr>
      <w:tr>
        <w:trPr>
          <w:trHeight w:val="220"/>
        </w:trPr>
        <w:tc>
          <w:tcPr>
            <w:tcW w:w="1000" w:type="dxa"/>
            <w:vAlign w:val="bottom"/>
          </w:tcPr>
          <w:p>
            <w:pPr>
              <w:jc w:val="right"/>
              <w:ind w:right="568"/>
              <w:spacing w:after="0"/>
              <w:rPr>
                <w:sz w:val="20"/>
                <w:szCs w:val="20"/>
                <w:color w:val="auto"/>
              </w:rPr>
            </w:pPr>
            <w:r>
              <w:rPr>
                <w:rFonts w:ascii="Arial" w:cs="Arial" w:eastAsia="Arial" w:hAnsi="Arial"/>
                <w:sz w:val="14"/>
                <w:szCs w:val="14"/>
                <w:color w:val="auto"/>
                <w:w w:val="99"/>
              </w:rPr>
              <w:t>14.0x</w:t>
            </w:r>
          </w:p>
        </w:tc>
        <w:tc>
          <w:tcPr>
            <w:tcW w:w="2980" w:type="dxa"/>
            <w:vAlign w:val="bottom"/>
          </w:tcPr>
          <w:p>
            <w:pPr>
              <w:spacing w:after="0"/>
              <w:rPr>
                <w:sz w:val="19"/>
                <w:szCs w:val="19"/>
                <w:color w:val="auto"/>
              </w:rPr>
            </w:pPr>
          </w:p>
        </w:tc>
        <w:tc>
          <w:tcPr>
            <w:tcW w:w="1480" w:type="dxa"/>
            <w:vAlign w:val="bottom"/>
          </w:tcPr>
          <w:p>
            <w:pPr>
              <w:jc w:val="right"/>
              <w:ind w:right="637"/>
              <w:spacing w:after="0"/>
              <w:rPr>
                <w:sz w:val="20"/>
                <w:szCs w:val="20"/>
                <w:color w:val="auto"/>
              </w:rPr>
            </w:pPr>
            <w:r>
              <w:rPr>
                <w:rFonts w:ascii="Arial" w:cs="Arial" w:eastAsia="Arial" w:hAnsi="Arial"/>
                <w:sz w:val="17"/>
                <w:szCs w:val="17"/>
                <w:b w:val="1"/>
                <w:bCs w:val="1"/>
                <w:color w:val="auto"/>
              </w:rPr>
              <w:t>13.6x</w:t>
            </w:r>
          </w:p>
        </w:tc>
        <w:tc>
          <w:tcPr>
            <w:tcW w:w="3240" w:type="dxa"/>
            <w:vAlign w:val="bottom"/>
          </w:tcPr>
          <w:p>
            <w:pPr>
              <w:jc w:val="center"/>
              <w:ind w:left="617"/>
              <w:spacing w:after="0"/>
              <w:rPr>
                <w:sz w:val="20"/>
                <w:szCs w:val="20"/>
                <w:color w:val="auto"/>
              </w:rPr>
            </w:pPr>
            <w:r>
              <w:rPr>
                <w:rFonts w:ascii="Arial" w:cs="Arial" w:eastAsia="Arial" w:hAnsi="Arial"/>
                <w:sz w:val="17"/>
                <w:szCs w:val="17"/>
                <w:b w:val="1"/>
                <w:bCs w:val="1"/>
                <w:color w:val="auto"/>
                <w:w w:val="97"/>
              </w:rPr>
              <w:t>EBITDA estimates that</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40" w:type="dxa"/>
            <w:vAlign w:val="bottom"/>
          </w:tcPr>
          <w:p>
            <w:pPr>
              <w:jc w:val="center"/>
              <w:ind w:left="617"/>
              <w:spacing w:after="0" w:line="180" w:lineRule="exact"/>
              <w:rPr>
                <w:sz w:val="20"/>
                <w:szCs w:val="20"/>
                <w:color w:val="auto"/>
              </w:rPr>
            </w:pPr>
            <w:r>
              <w:rPr>
                <w:rFonts w:ascii="Arial" w:cs="Arial" w:eastAsia="Arial" w:hAnsi="Arial"/>
                <w:sz w:val="17"/>
                <w:szCs w:val="17"/>
                <w:b w:val="1"/>
                <w:bCs w:val="1"/>
                <w:color w:val="auto"/>
                <w:w w:val="98"/>
              </w:rPr>
              <w:t>incorporate significant recovery</w:t>
            </w: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40" w:type="dxa"/>
            <w:vAlign w:val="bottom"/>
          </w:tcPr>
          <w:p>
            <w:pPr>
              <w:jc w:val="center"/>
              <w:ind w:left="617"/>
              <w:spacing w:after="0"/>
              <w:rPr>
                <w:sz w:val="20"/>
                <w:szCs w:val="20"/>
                <w:color w:val="auto"/>
              </w:rPr>
            </w:pPr>
            <w:r>
              <w:rPr>
                <w:rFonts w:ascii="Arial" w:cs="Arial" w:eastAsia="Arial" w:hAnsi="Arial"/>
                <w:sz w:val="17"/>
                <w:szCs w:val="17"/>
                <w:b w:val="1"/>
                <w:bCs w:val="1"/>
                <w:color w:val="auto"/>
                <w:w w:val="97"/>
              </w:rPr>
              <w:t>assumptions</w:t>
            </w:r>
          </w:p>
        </w:tc>
        <w:tc>
          <w:tcPr>
            <w:tcW w:w="0" w:type="dxa"/>
            <w:vAlign w:val="bottom"/>
          </w:tcPr>
          <w:p>
            <w:pPr>
              <w:spacing w:after="0"/>
              <w:rPr>
                <w:sz w:val="1"/>
                <w:szCs w:val="1"/>
                <w:color w:val="auto"/>
              </w:rPr>
            </w:pPr>
          </w:p>
        </w:tc>
      </w:tr>
      <w:tr>
        <w:trPr>
          <w:trHeight w:val="454"/>
        </w:trPr>
        <w:tc>
          <w:tcPr>
            <w:tcW w:w="1000" w:type="dxa"/>
            <w:vAlign w:val="bottom"/>
          </w:tcPr>
          <w:p>
            <w:pPr>
              <w:jc w:val="right"/>
              <w:ind w:right="568"/>
              <w:spacing w:after="0"/>
              <w:rPr>
                <w:sz w:val="20"/>
                <w:szCs w:val="20"/>
                <w:color w:val="auto"/>
              </w:rPr>
            </w:pPr>
            <w:r>
              <w:rPr>
                <w:rFonts w:ascii="Arial" w:cs="Arial" w:eastAsia="Arial" w:hAnsi="Arial"/>
                <w:sz w:val="14"/>
                <w:szCs w:val="14"/>
                <w:color w:val="auto"/>
                <w:w w:val="99"/>
              </w:rPr>
              <w:t>12.0x</w:t>
            </w:r>
          </w:p>
        </w:tc>
        <w:tc>
          <w:tcPr>
            <w:tcW w:w="2980" w:type="dxa"/>
            <w:vAlign w:val="bottom"/>
          </w:tcPr>
          <w:p>
            <w:pPr>
              <w:jc w:val="right"/>
              <w:ind w:right="1817"/>
              <w:spacing w:after="0"/>
              <w:rPr>
                <w:sz w:val="20"/>
                <w:szCs w:val="20"/>
                <w:color w:val="auto"/>
              </w:rPr>
            </w:pPr>
            <w:r>
              <w:rPr>
                <w:rFonts w:ascii="Arial" w:cs="Arial" w:eastAsia="Arial" w:hAnsi="Arial"/>
                <w:sz w:val="17"/>
                <w:szCs w:val="17"/>
                <w:b w:val="1"/>
                <w:bCs w:val="1"/>
                <w:color w:val="auto"/>
              </w:rPr>
              <w:t>12.7x</w:t>
            </w:r>
          </w:p>
        </w:tc>
        <w:tc>
          <w:tcPr>
            <w:tcW w:w="1480" w:type="dxa"/>
            <w:vAlign w:val="bottom"/>
          </w:tcPr>
          <w:p>
            <w:pPr>
              <w:spacing w:after="0"/>
              <w:rPr>
                <w:sz w:val="24"/>
                <w:szCs w:val="24"/>
                <w:color w:val="auto"/>
              </w:rPr>
            </w:pPr>
          </w:p>
        </w:tc>
        <w:tc>
          <w:tcPr>
            <w:tcW w:w="3240" w:type="dxa"/>
            <w:vAlign w:val="bottom"/>
            <w:vMerge w:val="restart"/>
          </w:tcPr>
          <w:p>
            <w:pPr>
              <w:ind w:left="1560"/>
              <w:spacing w:after="0"/>
              <w:rPr>
                <w:sz w:val="20"/>
                <w:szCs w:val="20"/>
                <w:color w:val="auto"/>
              </w:rPr>
            </w:pPr>
            <w:r>
              <w:rPr>
                <w:rFonts w:ascii="Arial" w:cs="Arial" w:eastAsia="Arial" w:hAnsi="Arial"/>
                <w:sz w:val="17"/>
                <w:szCs w:val="17"/>
                <w:b w:val="1"/>
                <w:bCs w:val="1"/>
                <w:color w:val="auto"/>
              </w:rPr>
              <w:t>11.1x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10"/>
        </w:trPr>
        <w:tc>
          <w:tcPr>
            <w:tcW w:w="1000" w:type="dxa"/>
            <w:vAlign w:val="bottom"/>
            <w:vMerge w:val="restart"/>
          </w:tcPr>
          <w:p>
            <w:pPr>
              <w:jc w:val="right"/>
              <w:ind w:right="568"/>
              <w:spacing w:after="0"/>
              <w:rPr>
                <w:sz w:val="20"/>
                <w:szCs w:val="20"/>
                <w:color w:val="auto"/>
              </w:rPr>
            </w:pPr>
            <w:r>
              <w:rPr>
                <w:rFonts w:ascii="Arial" w:cs="Arial" w:eastAsia="Arial" w:hAnsi="Arial"/>
                <w:sz w:val="14"/>
                <w:szCs w:val="14"/>
                <w:color w:val="auto"/>
                <w:w w:val="99"/>
              </w:rPr>
              <w:t>10.0x</w:t>
            </w:r>
          </w:p>
        </w:tc>
        <w:tc>
          <w:tcPr>
            <w:tcW w:w="2980" w:type="dxa"/>
            <w:vAlign w:val="bottom"/>
          </w:tcPr>
          <w:p>
            <w:pPr>
              <w:spacing w:after="0"/>
              <w:rPr>
                <w:sz w:val="24"/>
                <w:szCs w:val="24"/>
                <w:color w:val="auto"/>
              </w:rPr>
            </w:pPr>
          </w:p>
        </w:tc>
        <w:tc>
          <w:tcPr>
            <w:tcW w:w="1480" w:type="dxa"/>
            <w:vAlign w:val="bottom"/>
          </w:tcPr>
          <w:p>
            <w:pPr>
              <w:jc w:val="right"/>
              <w:ind w:right="617"/>
              <w:spacing w:after="0"/>
              <w:rPr>
                <w:sz w:val="20"/>
                <w:szCs w:val="20"/>
                <w:color w:val="auto"/>
              </w:rPr>
            </w:pPr>
            <w:r>
              <w:rPr>
                <w:rFonts w:ascii="Arial" w:cs="Arial" w:eastAsia="Arial" w:hAnsi="Arial"/>
                <w:sz w:val="17"/>
                <w:szCs w:val="17"/>
                <w:b w:val="1"/>
                <w:bCs w:val="1"/>
                <w:color w:val="auto"/>
              </w:rPr>
              <w:t>10.8x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00" w:type="dxa"/>
            <w:vAlign w:val="bottom"/>
            <w:vMerge w:val="continue"/>
          </w:tcPr>
          <w:p>
            <w:pPr>
              <w:spacing w:after="0"/>
              <w:rPr>
                <w:sz w:val="8"/>
                <w:szCs w:val="8"/>
                <w:color w:val="auto"/>
              </w:rPr>
            </w:pPr>
          </w:p>
        </w:tc>
        <w:tc>
          <w:tcPr>
            <w:tcW w:w="2980" w:type="dxa"/>
            <w:vAlign w:val="bottom"/>
            <w:vMerge w:val="restart"/>
          </w:tcPr>
          <w:p>
            <w:pPr>
              <w:ind w:left="940"/>
              <w:spacing w:after="0"/>
              <w:rPr>
                <w:sz w:val="20"/>
                <w:szCs w:val="20"/>
                <w:color w:val="auto"/>
              </w:rPr>
            </w:pPr>
            <w:r>
              <w:rPr>
                <w:rFonts w:ascii="Arial" w:cs="Arial" w:eastAsia="Arial" w:hAnsi="Arial"/>
                <w:sz w:val="17"/>
                <w:szCs w:val="17"/>
                <w:b w:val="1"/>
                <w:bCs w:val="1"/>
                <w:color w:val="auto"/>
              </w:rPr>
              <w:t>Estimated cycle-average</w:t>
            </w:r>
          </w:p>
        </w:tc>
        <w:tc>
          <w:tcPr>
            <w:tcW w:w="14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000" w:type="dxa"/>
            <w:vAlign w:val="bottom"/>
          </w:tcPr>
          <w:p>
            <w:pPr>
              <w:spacing w:after="0"/>
              <w:rPr>
                <w:sz w:val="14"/>
                <w:szCs w:val="14"/>
                <w:color w:val="auto"/>
              </w:rPr>
            </w:pPr>
          </w:p>
        </w:tc>
        <w:tc>
          <w:tcPr>
            <w:tcW w:w="298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2980" w:type="dxa"/>
            <w:vAlign w:val="bottom"/>
          </w:tcPr>
          <w:p>
            <w:pPr>
              <w:ind w:left="940"/>
              <w:spacing w:after="0"/>
              <w:rPr>
                <w:sz w:val="20"/>
                <w:szCs w:val="20"/>
                <w:color w:val="auto"/>
              </w:rPr>
            </w:pPr>
            <w:r>
              <w:rPr>
                <w:rFonts w:ascii="Arial" w:cs="Arial" w:eastAsia="Arial" w:hAnsi="Arial"/>
                <w:sz w:val="17"/>
                <w:szCs w:val="17"/>
                <w:b w:val="1"/>
                <w:bCs w:val="1"/>
                <w:color w:val="auto"/>
              </w:rPr>
              <w:t>EBITDA multiple of 10.0x</w:t>
            </w:r>
          </w:p>
        </w:tc>
        <w:tc>
          <w:tcPr>
            <w:tcW w:w="14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000" w:type="dxa"/>
            <w:vAlign w:val="bottom"/>
            <w:vMerge w:val="restart"/>
          </w:tcPr>
          <w:p>
            <w:pPr>
              <w:jc w:val="right"/>
              <w:ind w:right="568"/>
              <w:spacing w:after="0"/>
              <w:rPr>
                <w:sz w:val="20"/>
                <w:szCs w:val="20"/>
                <w:color w:val="auto"/>
              </w:rPr>
            </w:pPr>
            <w:r>
              <w:rPr>
                <w:rFonts w:ascii="Arial" w:cs="Arial" w:eastAsia="Arial" w:hAnsi="Arial"/>
                <w:sz w:val="14"/>
                <w:szCs w:val="14"/>
                <w:color w:val="auto"/>
              </w:rPr>
              <w:t>8.0x</w:t>
            </w:r>
          </w:p>
        </w:tc>
        <w:tc>
          <w:tcPr>
            <w:tcW w:w="2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40" w:type="dxa"/>
            <w:vAlign w:val="bottom"/>
          </w:tcPr>
          <w:p>
            <w:pPr>
              <w:jc w:val="center"/>
              <w:ind w:left="217"/>
              <w:spacing w:after="0"/>
              <w:rPr>
                <w:sz w:val="20"/>
                <w:szCs w:val="20"/>
                <w:color w:val="auto"/>
              </w:rPr>
            </w:pPr>
            <w:r>
              <w:rPr>
                <w:rFonts w:ascii="Arial" w:cs="Arial" w:eastAsia="Arial" w:hAnsi="Arial"/>
                <w:sz w:val="17"/>
                <w:szCs w:val="17"/>
                <w:b w:val="1"/>
                <w:bCs w:val="1"/>
                <w:color w:val="auto"/>
              </w:rPr>
              <w:t>9.1x</w:t>
            </w: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2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980" w:type="dxa"/>
            <w:vAlign w:val="bottom"/>
          </w:tcPr>
          <w:p>
            <w:pPr>
              <w:jc w:val="right"/>
              <w:ind w:right="1837"/>
              <w:spacing w:after="0" w:line="180" w:lineRule="exact"/>
              <w:rPr>
                <w:sz w:val="20"/>
                <w:szCs w:val="20"/>
                <w:color w:val="auto"/>
              </w:rPr>
            </w:pPr>
            <w:r>
              <w:rPr>
                <w:rFonts w:ascii="Arial" w:cs="Arial" w:eastAsia="Arial" w:hAnsi="Arial"/>
                <w:sz w:val="17"/>
                <w:szCs w:val="17"/>
                <w:b w:val="1"/>
                <w:bCs w:val="1"/>
                <w:color w:val="auto"/>
              </w:rPr>
              <w:t>2012</w:t>
            </w:r>
          </w:p>
        </w:tc>
        <w:tc>
          <w:tcPr>
            <w:tcW w:w="1480" w:type="dxa"/>
            <w:vAlign w:val="bottom"/>
          </w:tcPr>
          <w:p>
            <w:pPr>
              <w:jc w:val="right"/>
              <w:ind w:right="637"/>
              <w:spacing w:after="0" w:line="180" w:lineRule="exact"/>
              <w:rPr>
                <w:sz w:val="20"/>
                <w:szCs w:val="20"/>
                <w:color w:val="auto"/>
              </w:rPr>
            </w:pPr>
            <w:r>
              <w:rPr>
                <w:rFonts w:ascii="Arial" w:cs="Arial" w:eastAsia="Arial" w:hAnsi="Arial"/>
                <w:sz w:val="17"/>
                <w:szCs w:val="17"/>
                <w:b w:val="1"/>
                <w:bCs w:val="1"/>
                <w:color w:val="auto"/>
              </w:rPr>
              <w:t>2013</w:t>
            </w:r>
          </w:p>
        </w:tc>
        <w:tc>
          <w:tcPr>
            <w:tcW w:w="3240" w:type="dxa"/>
            <w:vAlign w:val="bottom"/>
          </w:tcPr>
          <w:p>
            <w:pPr>
              <w:jc w:val="right"/>
              <w:ind w:right="1197"/>
              <w:spacing w:after="0" w:line="180" w:lineRule="exact"/>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312"/>
        </w:trPr>
        <w:tc>
          <w:tcPr>
            <w:tcW w:w="1000" w:type="dxa"/>
            <w:vAlign w:val="bottom"/>
          </w:tcPr>
          <w:p>
            <w:pPr>
              <w:spacing w:after="0"/>
              <w:rPr>
                <w:sz w:val="24"/>
                <w:szCs w:val="24"/>
                <w:color w:val="auto"/>
              </w:rPr>
            </w:pPr>
          </w:p>
        </w:tc>
        <w:tc>
          <w:tcPr>
            <w:tcW w:w="2980" w:type="dxa"/>
            <w:vAlign w:val="bottom"/>
          </w:tcPr>
          <w:p>
            <w:pPr>
              <w:ind w:left="1020"/>
              <w:spacing w:after="0"/>
              <w:rPr>
                <w:sz w:val="20"/>
                <w:szCs w:val="20"/>
                <w:color w:val="auto"/>
              </w:rPr>
            </w:pPr>
            <w:r>
              <w:rPr>
                <w:rFonts w:ascii="Arial" w:cs="Arial" w:eastAsia="Arial" w:hAnsi="Arial"/>
                <w:sz w:val="17"/>
                <w:szCs w:val="17"/>
                <w:color w:val="auto"/>
              </w:rPr>
              <w:t>Martin Marietta</w:t>
            </w:r>
          </w:p>
        </w:tc>
        <w:tc>
          <w:tcPr>
            <w:tcW w:w="4720" w:type="dxa"/>
            <w:vAlign w:val="bottom"/>
            <w:gridSpan w:val="2"/>
          </w:tcPr>
          <w:p>
            <w:pPr>
              <w:ind w:left="80"/>
              <w:spacing w:after="0"/>
              <w:rPr>
                <w:sz w:val="20"/>
                <w:szCs w:val="20"/>
                <w:color w:val="auto"/>
              </w:rPr>
            </w:pPr>
            <w:r>
              <w:rPr>
                <w:rFonts w:ascii="Arial" w:cs="Arial" w:eastAsia="Arial" w:hAnsi="Arial"/>
                <w:sz w:val="17"/>
                <w:szCs w:val="17"/>
                <w:color w:val="auto"/>
              </w:rPr>
              <w:t>Vulcan (at Martin Marietta's Proposal)</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center"/>
        <w:ind w:left="1400" w:right="120"/>
        <w:spacing w:after="0" w:line="291" w:lineRule="auto"/>
        <w:rPr>
          <w:sz w:val="20"/>
          <w:szCs w:val="20"/>
          <w:color w:val="auto"/>
        </w:rPr>
      </w:pPr>
      <w:r>
        <w:rPr>
          <w:rFonts w:ascii="Arial" w:cs="Arial" w:eastAsia="Arial" w:hAnsi="Arial"/>
          <w:sz w:val="22"/>
          <w:szCs w:val="22"/>
          <w:b w:val="1"/>
          <w:bCs w:val="1"/>
          <w:color w:val="FFFFFF"/>
        </w:rPr>
        <w:t>Martin Marietta’s proposal provides a significant, real premium to Vulcan shareholders; Vulcan’s contrary claim is demonstrably wrong</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10"/>
          <w:szCs w:val="10"/>
          <w:color w:val="auto"/>
        </w:rPr>
        <w:t>Note:</w:t>
        <w:tab/>
        <w:t>Market data as of 4/27/2012.</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Note 1: Vulcan TEV implied based on current proposed exchange ratio of 0.50 of a Martin Marietta share of common stock for each Vulcan share of common stock.</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0"/>
          <w:szCs w:val="10"/>
          <w:color w:val="auto"/>
        </w:rPr>
        <w:t>EBITDA projections based on Thomson median consensus estimates as of 4/27/2012.</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 ThomsonOne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13</w:t>
      </w:r>
    </w:p>
    <w:p>
      <w:pPr>
        <w:sectPr>
          <w:pgSz w:w="11900" w:h="16838" w:orient="portrait"/>
          <w:cols w:equalWidth="0" w:num="1">
            <w:col w:w="9560"/>
          </w:cols>
          <w:pgMar w:left="1280" w:top="472" w:right="1059" w:bottom="1440" w:gutter="0" w:footer="0" w:header="0"/>
        </w:sectPr>
      </w:pPr>
    </w:p>
    <w:bookmarkStart w:id="14" w:name="page15"/>
    <w:bookmarkEnd w:id="14"/>
    <w:p>
      <w:pPr>
        <w:ind w:left="120" w:right="980"/>
        <w:spacing w:after="0" w:line="265" w:lineRule="auto"/>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Martin Marietta’s Proposal, and Not the Profit Enhancement Plan, Appears to Have Driven Up Vulcan’s Stock Price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004E7A"/>
        </w:rPr>
        <w:t>Stock Price Performance Since 12/9/2011</w:t>
      </w:r>
    </w:p>
    <w:p>
      <w:pPr>
        <w:sectPr>
          <w:pgSz w:w="11900" w:h="16838" w:orient="portrait"/>
          <w:cols w:equalWidth="0" w:num="1">
            <w:col w:w="9580"/>
          </w:cols>
          <w:pgMar w:left="1260" w:top="436"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FFFFFF"/>
        </w:rPr>
        <w:t>12/12/2011:</w:t>
      </w:r>
    </w:p>
    <w:p>
      <w:pPr>
        <w:ind w:left="540"/>
        <w:spacing w:after="0" w:line="180" w:lineRule="auto"/>
        <w:rPr>
          <w:sz w:val="20"/>
          <w:szCs w:val="20"/>
          <w:color w:val="auto"/>
        </w:rPr>
      </w:pPr>
      <w:r>
        <w:rPr>
          <w:rFonts w:ascii="Arial" w:cs="Arial" w:eastAsia="Arial" w:hAnsi="Arial"/>
          <w:sz w:val="12"/>
          <w:szCs w:val="12"/>
          <w:b w:val="1"/>
          <w:bCs w:val="1"/>
          <w:color w:val="FFFFFF"/>
        </w:rPr>
        <w:t>Changevs. S&amp;P500: +16.8%</w:t>
      </w:r>
      <w:r>
        <w:rPr>
          <w:rFonts w:ascii="Arial" w:cs="Arial" w:eastAsia="Arial" w:hAnsi="Arial"/>
          <w:sz w:val="23"/>
          <w:szCs w:val="23"/>
          <w:b w:val="1"/>
          <w:bCs w:val="1"/>
          <w:color w:val="FFFFFF"/>
          <w:vertAlign w:val="superscript"/>
        </w:rPr>
        <w:t>¹</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3"/>
          <w:szCs w:val="13"/>
          <w:color w:val="FFFFFF"/>
        </w:rPr>
        <w:t>Positive price reaction to Martin Marietta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07DC3"/>
        </w:rPr>
        <w:t>Martin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07DC3"/>
        </w:rPr>
        <w:t>Marietta</w:t>
      </w:r>
    </w:p>
    <w:p>
      <w:pPr>
        <w:spacing w:after="0" w:line="1290" w:lineRule="exact"/>
        <w:rPr>
          <w:sz w:val="20"/>
          <w:szCs w:val="20"/>
          <w:color w:val="auto"/>
        </w:rPr>
      </w:pPr>
    </w:p>
    <w:p>
      <w:pPr>
        <w:sectPr>
          <w:pgSz w:w="11900" w:h="16838" w:orient="portrait"/>
          <w:cols w:equalWidth="0" w:num="2">
            <w:col w:w="8040" w:space="720"/>
            <w:col w:w="820"/>
          </w:cols>
          <w:pgMar w:left="1260" w:top="436" w:right="1059"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FFFFFF"/>
        </w:rPr>
        <w:t>12/19/2011:</w:t>
      </w:r>
    </w:p>
    <w:p>
      <w:pPr>
        <w:ind w:left="740"/>
        <w:spacing w:after="0" w:line="230" w:lineRule="auto"/>
        <w:rPr>
          <w:sz w:val="20"/>
          <w:szCs w:val="20"/>
          <w:color w:val="auto"/>
        </w:rPr>
      </w:pPr>
      <w:r>
        <w:rPr>
          <w:rFonts w:ascii="Arial" w:cs="Arial" w:eastAsia="Arial" w:hAnsi="Arial"/>
          <w:sz w:val="13"/>
          <w:szCs w:val="13"/>
          <w:b w:val="1"/>
          <w:bCs w:val="1"/>
          <w:color w:val="FFFFFF"/>
        </w:rPr>
        <w:t>Change vs. S&amp;P 500: (2.5%)</w:t>
      </w:r>
      <w:r>
        <w:rPr>
          <w:rFonts w:ascii="Arial" w:cs="Arial" w:eastAsia="Arial" w:hAnsi="Arial"/>
          <w:sz w:val="17"/>
          <w:szCs w:val="17"/>
          <w:b w:val="1"/>
          <w:bCs w:val="1"/>
          <w:color w:val="FFFFFF"/>
          <w:vertAlign w:val="superscript"/>
        </w:rPr>
        <w:t>1</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3"/>
          <w:szCs w:val="13"/>
          <w:color w:val="FFFFFF"/>
        </w:rPr>
        <w:t>Vulcan announcement of</w:t>
      </w:r>
    </w:p>
    <w:p>
      <w:pPr>
        <w:spacing w:after="0" w:line="6" w:lineRule="exact"/>
        <w:rPr>
          <w:sz w:val="20"/>
          <w:szCs w:val="20"/>
          <w:color w:val="auto"/>
        </w:rPr>
      </w:pPr>
    </w:p>
    <w:p>
      <w:pPr>
        <w:ind w:left="740"/>
        <w:spacing w:after="0"/>
        <w:rPr>
          <w:sz w:val="20"/>
          <w:szCs w:val="20"/>
          <w:color w:val="auto"/>
        </w:rPr>
      </w:pPr>
      <w:r>
        <w:rPr>
          <w:rFonts w:ascii="Arial" w:cs="Arial" w:eastAsia="Arial" w:hAnsi="Arial"/>
          <w:sz w:val="13"/>
          <w:szCs w:val="13"/>
          <w:color w:val="FFFFFF"/>
        </w:rPr>
        <w:t>“ongoing” restructuring efforts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2/16/2012:</w:t>
      </w:r>
    </w:p>
    <w:p>
      <w:pPr>
        <w:spacing w:after="0" w:line="217" w:lineRule="auto"/>
        <w:rPr>
          <w:sz w:val="20"/>
          <w:szCs w:val="20"/>
          <w:color w:val="auto"/>
        </w:rPr>
      </w:pPr>
      <w:r>
        <w:rPr>
          <w:rFonts w:ascii="Arial" w:cs="Arial" w:eastAsia="Arial" w:hAnsi="Arial"/>
          <w:sz w:val="13"/>
          <w:szCs w:val="13"/>
          <w:b w:val="1"/>
          <w:bCs w:val="1"/>
          <w:color w:val="FFFFFF"/>
        </w:rPr>
        <w:t>Change vs. S&amp;P 500 : (0.6%)</w:t>
      </w:r>
      <w:r>
        <w:rPr>
          <w:rFonts w:ascii="Arial" w:cs="Arial" w:eastAsia="Arial" w:hAnsi="Arial"/>
          <w:sz w:val="17"/>
          <w:szCs w:val="17"/>
          <w:b w:val="1"/>
          <w:bCs w:val="1"/>
          <w:color w:val="FFFFFF"/>
          <w:vertAlign w:val="superscript"/>
        </w:rPr>
        <w:t>1</w:t>
      </w:r>
    </w:p>
    <w:p>
      <w:pPr>
        <w:spacing w:after="0"/>
        <w:rPr>
          <w:sz w:val="20"/>
          <w:szCs w:val="20"/>
          <w:color w:val="auto"/>
        </w:rPr>
      </w:pPr>
      <w:r>
        <w:rPr>
          <w:rFonts w:ascii="Arial" w:cs="Arial" w:eastAsia="Arial" w:hAnsi="Arial"/>
          <w:sz w:val="13"/>
          <w:szCs w:val="13"/>
          <w:color w:val="FFFFFF"/>
        </w:rPr>
        <w:t>Announcement of Vulcan’s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FFFFFF"/>
        </w:rPr>
        <w:t>“hope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5E4934"/>
        </w:rPr>
        <w:t>Vulcan</w:t>
      </w:r>
    </w:p>
    <w:p>
      <w:pPr>
        <w:spacing w:after="0" w:line="360" w:lineRule="exact"/>
        <w:rPr>
          <w:sz w:val="20"/>
          <w:szCs w:val="20"/>
          <w:color w:val="auto"/>
        </w:rPr>
      </w:pPr>
    </w:p>
    <w:p>
      <w:pPr>
        <w:sectPr>
          <w:pgSz w:w="11900" w:h="16838" w:orient="portrait"/>
          <w:cols w:equalWidth="0" w:num="3">
            <w:col w:w="3360" w:space="720"/>
            <w:col w:w="4040" w:space="720"/>
            <w:col w:w="740"/>
          </w:cols>
          <w:pgMar w:left="1260" w:top="436" w:right="1059" w:bottom="1440" w:gutter="0" w:footer="0" w:header="0"/>
          <w:type w:val="continuous"/>
        </w:sectPr>
      </w:pPr>
    </w:p>
    <w:p>
      <w:pPr>
        <w:ind w:left="8760"/>
        <w:spacing w:after="0"/>
        <w:rPr>
          <w:sz w:val="20"/>
          <w:szCs w:val="20"/>
          <w:color w:val="auto"/>
        </w:rPr>
      </w:pPr>
      <w:r>
        <w:rPr>
          <w:rFonts w:ascii="Arial" w:cs="Arial" w:eastAsia="Arial" w:hAnsi="Arial"/>
          <w:sz w:val="14"/>
          <w:szCs w:val="14"/>
          <w:b w:val="1"/>
          <w:bCs w:val="1"/>
          <w:color w:val="898989"/>
        </w:rPr>
        <w:t xml:space="preserve">S&amp;P500 </w:t>
      </w:r>
      <w:r>
        <w:rPr>
          <w:rFonts w:ascii="Arial" w:cs="Arial" w:eastAsia="Arial" w:hAnsi="Arial"/>
          <w:sz w:val="16"/>
          <w:szCs w:val="16"/>
          <w:b w:val="1"/>
          <w:bCs w:val="1"/>
          <w:color w:val="898989"/>
        </w:rPr>
        <w:t>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1380" w:right="120"/>
        <w:spacing w:after="0" w:line="279" w:lineRule="auto"/>
        <w:rPr>
          <w:sz w:val="20"/>
          <w:szCs w:val="20"/>
          <w:color w:val="auto"/>
        </w:rPr>
      </w:pPr>
      <w:r>
        <w:rPr>
          <w:rFonts w:ascii="Arial" w:cs="Arial" w:eastAsia="Arial" w:hAnsi="Arial"/>
          <w:sz w:val="23"/>
          <w:szCs w:val="23"/>
          <w:b w:val="1"/>
          <w:bCs w:val="1"/>
          <w:color w:val="FFFFFF"/>
        </w:rPr>
        <w:t xml:space="preserve">Following an increase of ~17% upon announcement of the proposal, Vulcan’s share price has traded in line with Martin Marietta’s </w:t>
      </w:r>
      <w:r>
        <w:rPr>
          <w:rFonts w:ascii="Arial" w:cs="Arial" w:eastAsia="Arial" w:hAnsi="Arial"/>
          <w:sz w:val="27"/>
          <w:szCs w:val="27"/>
          <w:b w:val="1"/>
          <w:bCs w:val="1"/>
          <w:color w:val="FFFFFF"/>
        </w:rPr>
        <w:t>¹</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w:t>
      </w:r>
      <w:r>
        <w:rPr>
          <w:sz w:val="20"/>
          <w:szCs w:val="20"/>
          <w:color w:val="auto"/>
        </w:rPr>
        <w:tab/>
      </w:r>
      <w:r>
        <w:rPr>
          <w:rFonts w:ascii="Arial" w:cs="Arial" w:eastAsia="Arial" w:hAnsi="Arial"/>
          <w:sz w:val="10"/>
          <w:szCs w:val="10"/>
          <w:color w:val="auto"/>
        </w:rPr>
        <w:t>Market data as of 4/27/2012.</w:t>
      </w:r>
    </w:p>
    <w:p>
      <w:pPr>
        <w:spacing w:after="0" w:line="18"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Vulcan share price performance equals Vulcan 1-day change less S&amp;P 500 1-day change.</w:t>
      </w:r>
    </w:p>
    <w:p>
      <w:pPr>
        <w:spacing w:after="0" w:line="7"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S&amp;P price indexed to Vulcan share price as of 12/9/2011.</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 Capital IQ</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14</w:t>
      </w:r>
    </w:p>
    <w:p>
      <w:pPr>
        <w:sectPr>
          <w:pgSz w:w="11900" w:h="16838" w:orient="portrait"/>
          <w:cols w:equalWidth="0" w:num="1">
            <w:col w:w="9580"/>
          </w:cols>
          <w:pgMar w:left="1260" w:top="436" w:right="1059" w:bottom="1440" w:gutter="0" w:footer="0" w:header="0"/>
          <w:type w:val="continuous"/>
        </w:sectPr>
      </w:pPr>
    </w:p>
    <w:bookmarkStart w:id="15" w:name="page16"/>
    <w:bookmarkEnd w:id="15"/>
    <w:p>
      <w:pPr>
        <w:ind w:left="160" w:right="138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Through a Combination, Vulcan Shareholders Would Realize Immediate Balance Sheet Improvement…</w:t>
      </w:r>
    </w:p>
    <w:p>
      <w:pPr>
        <w:sectPr>
          <w:pgSz w:w="11900" w:h="16838" w:orient="portrait"/>
          <w:cols w:equalWidth="0" w:num="1">
            <w:col w:w="9620"/>
          </w:cols>
          <w:pgMar w:left="1220" w:top="467" w:right="1059" w:bottom="1440" w:gutter="0" w:footer="0" w:header="0"/>
        </w:sectPr>
      </w:pPr>
    </w:p>
    <w:p>
      <w:pPr>
        <w:spacing w:after="0" w:line="143" w:lineRule="exact"/>
        <w:rPr>
          <w:sz w:val="20"/>
          <w:szCs w:val="20"/>
          <w:color w:val="auto"/>
        </w:rPr>
      </w:pPr>
    </w:p>
    <w:p>
      <w:pPr>
        <w:ind w:left="520"/>
        <w:spacing w:after="0"/>
        <w:rPr>
          <w:sz w:val="20"/>
          <w:szCs w:val="20"/>
          <w:color w:val="auto"/>
        </w:rPr>
      </w:pPr>
      <w:r>
        <w:rPr>
          <w:rFonts w:ascii="Arial" w:cs="Arial" w:eastAsia="Arial" w:hAnsi="Arial"/>
          <w:sz w:val="27"/>
          <w:szCs w:val="27"/>
          <w:b w:val="1"/>
          <w:bCs w:val="1"/>
          <w:color w:val="004E7A"/>
        </w:rPr>
        <w:t>Vulcan StandaloneLeverage</w:t>
      </w:r>
      <w:r>
        <w:rPr>
          <w:rFonts w:ascii="Arial" w:cs="Arial" w:eastAsia="Arial" w:hAnsi="Arial"/>
          <w:sz w:val="59"/>
          <w:szCs w:val="59"/>
          <w:b w:val="1"/>
          <w:bCs w:val="1"/>
          <w:color w:val="004E7A"/>
          <w:vertAlign w:val="superscript"/>
        </w:rPr>
        <w:t>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20" w:right="840"/>
        <w:spacing w:after="0" w:line="273" w:lineRule="auto"/>
        <w:rPr>
          <w:sz w:val="20"/>
          <w:szCs w:val="20"/>
          <w:color w:val="auto"/>
        </w:rPr>
      </w:pPr>
      <w:r>
        <w:rPr>
          <w:rFonts w:ascii="Arial" w:cs="Arial" w:eastAsia="Arial" w:hAnsi="Arial"/>
          <w:sz w:val="14"/>
          <w:szCs w:val="14"/>
          <w:i w:val="1"/>
          <w:iCs w:val="1"/>
          <w:color w:val="auto"/>
        </w:rPr>
        <w:t>“In the absence of a combination, we expect credit measures to remain weak for the rating in the near term, despite some improvement in 2012 as aggregates volumes and pricing rise.”</w:t>
      </w:r>
    </w:p>
    <w:p>
      <w:pPr>
        <w:spacing w:after="0" w:line="27" w:lineRule="exact"/>
        <w:rPr>
          <w:sz w:val="20"/>
          <w:szCs w:val="20"/>
          <w:color w:val="auto"/>
        </w:rPr>
      </w:pPr>
    </w:p>
    <w:p>
      <w:pPr>
        <w:ind w:left="1400"/>
        <w:spacing w:after="0"/>
        <w:rPr>
          <w:sz w:val="20"/>
          <w:szCs w:val="20"/>
          <w:color w:val="auto"/>
        </w:rPr>
      </w:pPr>
      <w:r>
        <w:rPr>
          <w:rFonts w:ascii="Arial" w:cs="Arial" w:eastAsia="Arial" w:hAnsi="Arial"/>
          <w:sz w:val="14"/>
          <w:szCs w:val="14"/>
          <w:i w:val="1"/>
          <w:iCs w:val="1"/>
          <w:color w:val="auto"/>
        </w:rPr>
        <w:t>(Standard &amp; Poor’s, 4/27/2012)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 w:type="dxa"/>
            <w:vAlign w:val="bottom"/>
          </w:tcPr>
          <w:p>
            <w:pPr>
              <w:spacing w:after="0"/>
              <w:rPr>
                <w:sz w:val="20"/>
                <w:szCs w:val="20"/>
                <w:color w:val="auto"/>
              </w:rPr>
            </w:pPr>
            <w:r>
              <w:rPr>
                <w:rFonts w:ascii="Arial" w:cs="Arial" w:eastAsia="Arial" w:hAnsi="Arial"/>
                <w:sz w:val="13"/>
                <w:szCs w:val="13"/>
                <w:color w:val="auto"/>
              </w:rPr>
              <w:t>Credit</w:t>
            </w: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A3/A-</w:t>
            </w:r>
          </w:p>
        </w:tc>
        <w:tc>
          <w:tcPr>
            <w:tcW w:w="1000" w:type="dxa"/>
            <w:vAlign w:val="bottom"/>
            <w:vMerge w:val="restart"/>
          </w:tcPr>
          <w:p>
            <w:pPr>
              <w:ind w:left="180"/>
              <w:spacing w:after="0"/>
              <w:rPr>
                <w:sz w:val="20"/>
                <w:szCs w:val="20"/>
                <w:color w:val="auto"/>
              </w:rPr>
            </w:pPr>
            <w:r>
              <w:rPr>
                <w:rFonts w:ascii="Arial" w:cs="Arial" w:eastAsia="Arial" w:hAnsi="Arial"/>
                <w:sz w:val="13"/>
                <w:szCs w:val="13"/>
                <w:color w:val="auto"/>
              </w:rPr>
              <w:t>Baa2/BBB+</w:t>
            </w:r>
          </w:p>
        </w:tc>
        <w:tc>
          <w:tcPr>
            <w:tcW w:w="860" w:type="dxa"/>
            <w:vAlign w:val="bottom"/>
            <w:vMerge w:val="restart"/>
          </w:tcPr>
          <w:p>
            <w:pPr>
              <w:ind w:left="140"/>
              <w:spacing w:after="0"/>
              <w:rPr>
                <w:sz w:val="20"/>
                <w:szCs w:val="20"/>
                <w:color w:val="auto"/>
              </w:rPr>
            </w:pPr>
            <w:r>
              <w:rPr>
                <w:rFonts w:ascii="Arial" w:cs="Arial" w:eastAsia="Arial" w:hAnsi="Arial"/>
                <w:sz w:val="13"/>
                <w:szCs w:val="13"/>
                <w:color w:val="auto"/>
              </w:rPr>
              <w:t>Baa2/BBB</w:t>
            </w:r>
          </w:p>
        </w:tc>
        <w:tc>
          <w:tcPr>
            <w:tcW w:w="1540" w:type="dxa"/>
            <w:vAlign w:val="bottom"/>
            <w:vMerge w:val="restart"/>
          </w:tcPr>
          <w:p>
            <w:pPr>
              <w:ind w:left="120"/>
              <w:spacing w:after="0"/>
              <w:rPr>
                <w:sz w:val="20"/>
                <w:szCs w:val="20"/>
                <w:color w:val="auto"/>
              </w:rPr>
            </w:pPr>
            <w:r>
              <w:rPr>
                <w:rFonts w:ascii="Arial" w:cs="Arial" w:eastAsia="Arial" w:hAnsi="Arial"/>
                <w:sz w:val="13"/>
                <w:szCs w:val="13"/>
                <w:color w:val="auto"/>
              </w:rPr>
              <w:t>Baa3 / BBB-   Ba2/BB</w:t>
            </w:r>
          </w:p>
        </w:tc>
        <w:tc>
          <w:tcPr>
            <w:tcW w:w="0" w:type="dxa"/>
            <w:vAlign w:val="bottom"/>
          </w:tcPr>
          <w:p>
            <w:pPr>
              <w:spacing w:after="0"/>
              <w:rPr>
                <w:sz w:val="1"/>
                <w:szCs w:val="1"/>
                <w:color w:val="auto"/>
              </w:rPr>
            </w:pPr>
          </w:p>
        </w:tc>
      </w:tr>
      <w:tr>
        <w:trPr>
          <w:trHeight w:val="83"/>
        </w:trPr>
        <w:tc>
          <w:tcPr>
            <w:tcW w:w="500" w:type="dxa"/>
            <w:vAlign w:val="bottom"/>
            <w:vMerge w:val="restart"/>
          </w:tcPr>
          <w:p>
            <w:pPr>
              <w:spacing w:after="0"/>
              <w:rPr>
                <w:sz w:val="20"/>
                <w:szCs w:val="20"/>
                <w:color w:val="auto"/>
              </w:rPr>
            </w:pPr>
            <w:r>
              <w:rPr>
                <w:rFonts w:ascii="Arial" w:cs="Arial" w:eastAsia="Arial" w:hAnsi="Arial"/>
                <w:sz w:val="13"/>
                <w:szCs w:val="13"/>
                <w:color w:val="auto"/>
              </w:rPr>
              <w:t>Rating</w:t>
            </w:r>
          </w:p>
        </w:tc>
        <w:tc>
          <w:tcPr>
            <w:tcW w:w="6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5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27"/>
          <w:szCs w:val="27"/>
          <w:b w:val="1"/>
          <w:bCs w:val="1"/>
          <w:color w:val="004E7A"/>
        </w:rPr>
        <w:t>Combined Financials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FFFFFF"/>
              </w:rPr>
              <w:t>3/31/2012</w:t>
            </w:r>
          </w:p>
        </w:tc>
        <w:tc>
          <w:tcPr>
            <w:tcW w:w="1280" w:type="dxa"/>
            <w:vAlign w:val="bottom"/>
          </w:tcPr>
          <w:p>
            <w:pPr>
              <w:jc w:val="center"/>
              <w:ind w:left="75"/>
              <w:spacing w:after="0"/>
              <w:rPr>
                <w:sz w:val="20"/>
                <w:szCs w:val="20"/>
                <w:color w:val="auto"/>
              </w:rPr>
            </w:pPr>
            <w:r>
              <w:rPr>
                <w:rFonts w:ascii="Arial" w:cs="Arial" w:eastAsia="Arial" w:hAnsi="Arial"/>
                <w:sz w:val="18"/>
                <w:szCs w:val="18"/>
                <w:b w:val="1"/>
                <w:bCs w:val="1"/>
                <w:color w:val="FFFFFF"/>
                <w:w w:val="97"/>
              </w:rPr>
              <w:t>MARTIN</w:t>
            </w:r>
          </w:p>
        </w:tc>
        <w:tc>
          <w:tcPr>
            <w:tcW w:w="980" w:type="dxa"/>
            <w:vAlign w:val="bottom"/>
            <w:vMerge w:val="restart"/>
          </w:tcPr>
          <w:p>
            <w:pPr>
              <w:ind w:left="120"/>
              <w:spacing w:after="0"/>
              <w:rPr>
                <w:sz w:val="20"/>
                <w:szCs w:val="20"/>
                <w:color w:val="auto"/>
              </w:rPr>
            </w:pPr>
            <w:r>
              <w:rPr>
                <w:rFonts w:ascii="Arial" w:cs="Arial" w:eastAsia="Arial" w:hAnsi="Arial"/>
                <w:sz w:val="18"/>
                <w:szCs w:val="18"/>
                <w:b w:val="1"/>
                <w:bCs w:val="1"/>
                <w:color w:val="FFFFFF"/>
              </w:rPr>
              <w:t>VULCAN</w:t>
            </w:r>
          </w:p>
        </w:tc>
        <w:tc>
          <w:tcPr>
            <w:tcW w:w="1060" w:type="dxa"/>
            <w:vAlign w:val="bottom"/>
            <w:vMerge w:val="restart"/>
          </w:tcPr>
          <w:p>
            <w:pPr>
              <w:jc w:val="center"/>
              <w:ind w:left="15"/>
              <w:spacing w:after="0"/>
              <w:rPr>
                <w:sz w:val="20"/>
                <w:szCs w:val="20"/>
                <w:color w:val="auto"/>
              </w:rPr>
            </w:pPr>
            <w:r>
              <w:rPr>
                <w:rFonts w:ascii="Arial" w:cs="Arial" w:eastAsia="Arial" w:hAnsi="Arial"/>
                <w:sz w:val="18"/>
                <w:szCs w:val="18"/>
                <w:b w:val="1"/>
                <w:bCs w:val="1"/>
                <w:color w:val="FFFFFF"/>
                <w:w w:val="96"/>
              </w:rPr>
              <w:t>Combined ²</w:t>
            </w: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1280" w:type="dxa"/>
            <w:vAlign w:val="bottom"/>
            <w:vMerge w:val="restart"/>
          </w:tcPr>
          <w:p>
            <w:pPr>
              <w:jc w:val="center"/>
              <w:ind w:left="95"/>
              <w:spacing w:after="0"/>
              <w:rPr>
                <w:sz w:val="20"/>
                <w:szCs w:val="20"/>
                <w:color w:val="auto"/>
              </w:rPr>
            </w:pPr>
            <w:r>
              <w:rPr>
                <w:rFonts w:ascii="Arial" w:cs="Arial" w:eastAsia="Arial" w:hAnsi="Arial"/>
                <w:sz w:val="18"/>
                <w:szCs w:val="18"/>
                <w:b w:val="1"/>
                <w:bCs w:val="1"/>
                <w:color w:val="FFFFFF"/>
                <w:w w:val="96"/>
              </w:rPr>
              <w:t>MARIETTA</w:t>
            </w:r>
          </w:p>
        </w:tc>
        <w:tc>
          <w:tcPr>
            <w:tcW w:w="9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20"/>
                <w:szCs w:val="20"/>
                <w:color w:val="auto"/>
              </w:rPr>
            </w:pPr>
            <w:r>
              <w:rPr>
                <w:rFonts w:ascii="Arial" w:cs="Arial" w:eastAsia="Arial" w:hAnsi="Arial"/>
                <w:sz w:val="13"/>
                <w:szCs w:val="13"/>
                <w:color w:val="FFFFFF"/>
              </w:rPr>
              <w:t>($M)</w:t>
            </w:r>
          </w:p>
        </w:tc>
        <w:tc>
          <w:tcPr>
            <w:tcW w:w="12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9"/>
        </w:trPr>
        <w:tc>
          <w:tcPr>
            <w:tcW w:w="1060" w:type="dxa"/>
            <w:vAlign w:val="bottom"/>
          </w:tcPr>
          <w:p>
            <w:pPr>
              <w:spacing w:after="0"/>
              <w:rPr>
                <w:sz w:val="20"/>
                <w:szCs w:val="20"/>
                <w:color w:val="auto"/>
              </w:rPr>
            </w:pPr>
            <w:r>
              <w:rPr>
                <w:rFonts w:ascii="Arial" w:cs="Arial" w:eastAsia="Arial" w:hAnsi="Arial"/>
                <w:sz w:val="17"/>
                <w:szCs w:val="17"/>
                <w:color w:val="auto"/>
              </w:rPr>
              <w:t>Debt</w:t>
            </w:r>
          </w:p>
        </w:tc>
        <w:tc>
          <w:tcPr>
            <w:tcW w:w="1280" w:type="dxa"/>
            <w:vAlign w:val="bottom"/>
          </w:tcPr>
          <w:p>
            <w:pPr>
              <w:jc w:val="center"/>
              <w:ind w:left="15"/>
              <w:spacing w:after="0"/>
              <w:rPr>
                <w:sz w:val="20"/>
                <w:szCs w:val="20"/>
                <w:color w:val="auto"/>
              </w:rPr>
            </w:pPr>
            <w:r>
              <w:rPr>
                <w:rFonts w:ascii="Arial" w:cs="Arial" w:eastAsia="Arial" w:hAnsi="Arial"/>
                <w:sz w:val="17"/>
                <w:szCs w:val="17"/>
                <w:color w:val="auto"/>
                <w:w w:val="96"/>
              </w:rPr>
              <w:t>$1,135</w:t>
            </w:r>
          </w:p>
        </w:tc>
        <w:tc>
          <w:tcPr>
            <w:tcW w:w="980" w:type="dxa"/>
            <w:vAlign w:val="bottom"/>
          </w:tcPr>
          <w:p>
            <w:pPr>
              <w:jc w:val="right"/>
              <w:ind w:right="175"/>
              <w:spacing w:after="0"/>
              <w:rPr>
                <w:sz w:val="20"/>
                <w:szCs w:val="20"/>
                <w:color w:val="auto"/>
              </w:rPr>
            </w:pPr>
            <w:r>
              <w:rPr>
                <w:rFonts w:ascii="Arial" w:cs="Arial" w:eastAsia="Arial" w:hAnsi="Arial"/>
                <w:sz w:val="17"/>
                <w:szCs w:val="17"/>
                <w:color w:val="auto"/>
              </w:rPr>
              <w:t>$2,814</w:t>
            </w:r>
          </w:p>
        </w:tc>
        <w:tc>
          <w:tcPr>
            <w:tcW w:w="1060" w:type="dxa"/>
            <w:vAlign w:val="bottom"/>
          </w:tcPr>
          <w:p>
            <w:pPr>
              <w:jc w:val="center"/>
              <w:ind w:left="35"/>
              <w:spacing w:after="0"/>
              <w:rPr>
                <w:sz w:val="20"/>
                <w:szCs w:val="20"/>
                <w:color w:val="auto"/>
              </w:rPr>
            </w:pPr>
            <w:r>
              <w:rPr>
                <w:rFonts w:ascii="Arial" w:cs="Arial" w:eastAsia="Arial" w:hAnsi="Arial"/>
                <w:sz w:val="17"/>
                <w:szCs w:val="17"/>
                <w:color w:val="auto"/>
                <w:w w:val="96"/>
              </w:rPr>
              <w:t>$3,949</w:t>
            </w:r>
          </w:p>
        </w:tc>
        <w:tc>
          <w:tcPr>
            <w:tcW w:w="0" w:type="dxa"/>
            <w:vAlign w:val="bottom"/>
          </w:tcPr>
          <w:p>
            <w:pPr>
              <w:spacing w:after="0"/>
              <w:rPr>
                <w:sz w:val="1"/>
                <w:szCs w:val="1"/>
                <w:color w:val="auto"/>
              </w:rPr>
            </w:pPr>
          </w:p>
        </w:tc>
      </w:tr>
      <w:tr>
        <w:trPr>
          <w:trHeight w:val="876"/>
        </w:trPr>
        <w:tc>
          <w:tcPr>
            <w:tcW w:w="1060" w:type="dxa"/>
            <w:vAlign w:val="bottom"/>
          </w:tcPr>
          <w:p>
            <w:pPr>
              <w:spacing w:after="0"/>
              <w:rPr>
                <w:sz w:val="20"/>
                <w:szCs w:val="20"/>
                <w:color w:val="auto"/>
              </w:rPr>
            </w:pPr>
            <w:r>
              <w:rPr>
                <w:rFonts w:ascii="Arial" w:cs="Arial" w:eastAsia="Arial" w:hAnsi="Arial"/>
                <w:sz w:val="17"/>
                <w:szCs w:val="17"/>
                <w:color w:val="auto"/>
              </w:rPr>
              <w:t>LTM Adj.</w:t>
            </w:r>
          </w:p>
        </w:tc>
        <w:tc>
          <w:tcPr>
            <w:tcW w:w="1280" w:type="dxa"/>
            <w:vAlign w:val="bottom"/>
            <w:vMerge w:val="restart"/>
          </w:tcPr>
          <w:p>
            <w:pPr>
              <w:jc w:val="center"/>
              <w:ind w:left="35"/>
              <w:spacing w:after="0"/>
              <w:rPr>
                <w:sz w:val="20"/>
                <w:szCs w:val="20"/>
                <w:color w:val="auto"/>
              </w:rPr>
            </w:pPr>
            <w:r>
              <w:rPr>
                <w:rFonts w:ascii="Arial" w:cs="Arial" w:eastAsia="Arial" w:hAnsi="Arial"/>
                <w:sz w:val="17"/>
                <w:szCs w:val="17"/>
                <w:color w:val="auto"/>
                <w:w w:val="95"/>
              </w:rPr>
              <w:t>$349</w:t>
            </w:r>
          </w:p>
        </w:tc>
        <w:tc>
          <w:tcPr>
            <w:tcW w:w="980" w:type="dxa"/>
            <w:vAlign w:val="bottom"/>
            <w:vMerge w:val="restart"/>
          </w:tcPr>
          <w:p>
            <w:pPr>
              <w:jc w:val="right"/>
              <w:ind w:right="255"/>
              <w:spacing w:after="0"/>
              <w:rPr>
                <w:sz w:val="20"/>
                <w:szCs w:val="20"/>
                <w:color w:val="auto"/>
              </w:rPr>
            </w:pPr>
            <w:r>
              <w:rPr>
                <w:rFonts w:ascii="Arial" w:cs="Arial" w:eastAsia="Arial" w:hAnsi="Arial"/>
                <w:sz w:val="17"/>
                <w:szCs w:val="17"/>
                <w:color w:val="auto"/>
              </w:rPr>
              <w:t>$379</w:t>
            </w:r>
          </w:p>
        </w:tc>
        <w:tc>
          <w:tcPr>
            <w:tcW w:w="1060" w:type="dxa"/>
            <w:vAlign w:val="bottom"/>
            <w:vMerge w:val="restart"/>
          </w:tcPr>
          <w:p>
            <w:pPr>
              <w:jc w:val="center"/>
              <w:ind w:left="35"/>
              <w:spacing w:after="0"/>
              <w:rPr>
                <w:sz w:val="20"/>
                <w:szCs w:val="20"/>
                <w:color w:val="auto"/>
              </w:rPr>
            </w:pPr>
            <w:r>
              <w:rPr>
                <w:rFonts w:ascii="Arial" w:cs="Arial" w:eastAsia="Arial" w:hAnsi="Arial"/>
                <w:sz w:val="17"/>
                <w:szCs w:val="17"/>
                <w:color w:val="auto"/>
                <w:w w:val="99"/>
              </w:rPr>
              <w:t>$928-$978</w:t>
            </w:r>
            <w:r>
              <w:rPr>
                <w:rFonts w:ascii="Arial" w:cs="Arial" w:eastAsia="Arial" w:hAnsi="Arial"/>
                <w:sz w:val="9"/>
                <w:szCs w:val="9"/>
                <w:color w:val="auto"/>
                <w:w w:val="99"/>
              </w:rPr>
              <w:t>4</w:t>
            </w:r>
          </w:p>
        </w:tc>
        <w:tc>
          <w:tcPr>
            <w:tcW w:w="0" w:type="dxa"/>
            <w:vAlign w:val="bottom"/>
          </w:tcPr>
          <w:p>
            <w:pPr>
              <w:spacing w:after="0"/>
              <w:rPr>
                <w:sz w:val="1"/>
                <w:szCs w:val="1"/>
                <w:color w:val="auto"/>
              </w:rPr>
            </w:pPr>
          </w:p>
        </w:tc>
      </w:tr>
      <w:tr>
        <w:trPr>
          <w:trHeight w:val="133"/>
        </w:trPr>
        <w:tc>
          <w:tcPr>
            <w:tcW w:w="1060" w:type="dxa"/>
            <w:vAlign w:val="bottom"/>
            <w:vMerge w:val="restart"/>
          </w:tcPr>
          <w:p>
            <w:pPr>
              <w:spacing w:after="0"/>
              <w:rPr>
                <w:sz w:val="20"/>
                <w:szCs w:val="20"/>
                <w:color w:val="auto"/>
              </w:rPr>
            </w:pPr>
            <w:r>
              <w:rPr>
                <w:rFonts w:ascii="Arial" w:cs="Arial" w:eastAsia="Arial" w:hAnsi="Arial"/>
                <w:sz w:val="17"/>
                <w:szCs w:val="17"/>
                <w:color w:val="auto"/>
              </w:rPr>
              <w:t>EBITDA³</w:t>
            </w:r>
          </w:p>
        </w:tc>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4"/>
        </w:trPr>
        <w:tc>
          <w:tcPr>
            <w:tcW w:w="1060" w:type="dxa"/>
            <w:vAlign w:val="bottom"/>
          </w:tcPr>
          <w:p>
            <w:pPr>
              <w:spacing w:after="0"/>
              <w:rPr>
                <w:sz w:val="20"/>
                <w:szCs w:val="20"/>
                <w:color w:val="auto"/>
              </w:rPr>
            </w:pPr>
            <w:r>
              <w:rPr>
                <w:rFonts w:ascii="Arial" w:cs="Arial" w:eastAsia="Arial" w:hAnsi="Arial"/>
                <w:sz w:val="17"/>
                <w:szCs w:val="17"/>
                <w:color w:val="auto"/>
              </w:rPr>
              <w:t>Total Debt/</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60" w:type="dxa"/>
            <w:vAlign w:val="bottom"/>
          </w:tcPr>
          <w:p>
            <w:pPr>
              <w:spacing w:after="0" w:line="179" w:lineRule="exact"/>
              <w:rPr>
                <w:sz w:val="20"/>
                <w:szCs w:val="20"/>
                <w:color w:val="auto"/>
              </w:rPr>
            </w:pPr>
            <w:r>
              <w:rPr>
                <w:rFonts w:ascii="Arial" w:cs="Arial" w:eastAsia="Arial" w:hAnsi="Arial"/>
                <w:sz w:val="17"/>
                <w:szCs w:val="17"/>
                <w:color w:val="auto"/>
              </w:rPr>
              <w:t>LTM Adj.</w:t>
            </w:r>
          </w:p>
        </w:tc>
        <w:tc>
          <w:tcPr>
            <w:tcW w:w="1280" w:type="dxa"/>
            <w:vAlign w:val="bottom"/>
          </w:tcPr>
          <w:p>
            <w:pPr>
              <w:ind w:left="520"/>
              <w:spacing w:after="0" w:line="179" w:lineRule="exact"/>
              <w:rPr>
                <w:sz w:val="20"/>
                <w:szCs w:val="20"/>
                <w:color w:val="auto"/>
              </w:rPr>
            </w:pPr>
            <w:r>
              <w:rPr>
                <w:rFonts w:ascii="Arial" w:cs="Arial" w:eastAsia="Arial" w:hAnsi="Arial"/>
                <w:sz w:val="17"/>
                <w:szCs w:val="17"/>
                <w:color w:val="auto"/>
              </w:rPr>
              <w:t>3.3x</w:t>
            </w:r>
          </w:p>
        </w:tc>
        <w:tc>
          <w:tcPr>
            <w:tcW w:w="980" w:type="dxa"/>
            <w:vAlign w:val="bottom"/>
          </w:tcPr>
          <w:p>
            <w:pPr>
              <w:ind w:left="300"/>
              <w:spacing w:after="0" w:line="179" w:lineRule="exact"/>
              <w:rPr>
                <w:sz w:val="20"/>
                <w:szCs w:val="20"/>
                <w:color w:val="auto"/>
              </w:rPr>
            </w:pPr>
            <w:r>
              <w:rPr>
                <w:rFonts w:ascii="Arial" w:cs="Arial" w:eastAsia="Arial" w:hAnsi="Arial"/>
                <w:sz w:val="17"/>
                <w:szCs w:val="17"/>
                <w:color w:val="auto"/>
              </w:rPr>
              <w:t>7.4x</w:t>
            </w:r>
          </w:p>
        </w:tc>
        <w:tc>
          <w:tcPr>
            <w:tcW w:w="1060" w:type="dxa"/>
            <w:vAlign w:val="bottom"/>
          </w:tcPr>
          <w:p>
            <w:pPr>
              <w:jc w:val="center"/>
              <w:ind w:left="75"/>
              <w:spacing w:after="0" w:line="179" w:lineRule="exact"/>
              <w:rPr>
                <w:sz w:val="20"/>
                <w:szCs w:val="20"/>
                <w:color w:val="auto"/>
              </w:rPr>
            </w:pPr>
            <w:r>
              <w:rPr>
                <w:rFonts w:ascii="Arial" w:cs="Arial" w:eastAsia="Arial" w:hAnsi="Arial"/>
                <w:sz w:val="17"/>
                <w:szCs w:val="17"/>
                <w:color w:val="auto"/>
                <w:w w:val="96"/>
              </w:rPr>
              <w:t xml:space="preserve">4.3x – 4.0x </w:t>
            </w:r>
            <w:r>
              <w:rPr>
                <w:rFonts w:ascii="Arial" w:cs="Arial" w:eastAsia="Arial" w:hAnsi="Arial"/>
                <w:sz w:val="9"/>
                <w:szCs w:val="9"/>
                <w:color w:val="auto"/>
                <w:w w:val="96"/>
              </w:rPr>
              <w:t>4</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r>
              <w:rPr>
                <w:rFonts w:ascii="Arial" w:cs="Arial" w:eastAsia="Arial" w:hAnsi="Arial"/>
                <w:sz w:val="17"/>
                <w:szCs w:val="17"/>
                <w:color w:val="auto"/>
              </w:rPr>
              <w:t>EBITDA³</w:t>
            </w:r>
          </w:p>
        </w:tc>
        <w:tc>
          <w:tcPr>
            <w:tcW w:w="1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77" w:lineRule="exact"/>
        <w:rPr>
          <w:sz w:val="20"/>
          <w:szCs w:val="20"/>
          <w:color w:val="auto"/>
        </w:rPr>
      </w:pPr>
    </w:p>
    <w:p>
      <w:pPr>
        <w:sectPr>
          <w:pgSz w:w="11900" w:h="16838" w:orient="portrait"/>
          <w:cols w:equalWidth="0" w:num="2">
            <w:col w:w="4500" w:space="480"/>
            <w:col w:w="4640"/>
          </w:cols>
          <w:pgMar w:left="1220" w:top="467" w:right="1059" w:bottom="1440" w:gutter="0" w:footer="0" w:header="0"/>
          <w:type w:val="continuous"/>
        </w:sectPr>
      </w:pPr>
    </w:p>
    <w:p>
      <w:pPr>
        <w:spacing w:after="0" w:line="41" w:lineRule="exact"/>
        <w:rPr>
          <w:sz w:val="20"/>
          <w:szCs w:val="20"/>
          <w:color w:val="auto"/>
        </w:rPr>
      </w:pPr>
    </w:p>
    <w:p>
      <w:pPr>
        <w:jc w:val="center"/>
        <w:ind w:left="60" w:right="80"/>
        <w:spacing w:after="0" w:line="272" w:lineRule="auto"/>
        <w:rPr>
          <w:sz w:val="20"/>
          <w:szCs w:val="20"/>
          <w:color w:val="auto"/>
        </w:rPr>
      </w:pPr>
      <w:r>
        <w:rPr>
          <w:rFonts w:ascii="Arial" w:cs="Arial" w:eastAsia="Arial" w:hAnsi="Arial"/>
          <w:sz w:val="22"/>
          <w:szCs w:val="22"/>
          <w:b w:val="1"/>
          <w:bCs w:val="1"/>
          <w:color w:val="FFFFFF"/>
        </w:rPr>
        <w:t>Vulcan claimsthat it will de-risk its balance sheet “as EBITDAgrows”but ignoresthe time needed for Vulcan to achieve a reasonableleverage ratio on a standalonebasis and the opportunity cost and risk of an extended achievement period</w:t>
      </w:r>
    </w:p>
    <w:p>
      <w:pPr>
        <w:spacing w:after="0" w:line="209"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Leverage defined as total debt / LTM adjusted EBITDA. Please see EBITDA reconciliation in the appendix.</w:t>
      </w:r>
    </w:p>
    <w:p>
      <w:pPr>
        <w:spacing w:after="0" w:line="3"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Combined financials exclude fees and expenses associated with the proposed combination.</w:t>
      </w:r>
    </w:p>
    <w:p>
      <w:pPr>
        <w:ind w:left="60"/>
        <w:spacing w:after="0"/>
        <w:tabs>
          <w:tab w:leader="none" w:pos="460" w:val="left"/>
        </w:tabs>
        <w:rPr>
          <w:sz w:val="20"/>
          <w:szCs w:val="20"/>
          <w:color w:val="auto"/>
        </w:rPr>
      </w:pPr>
      <w:r>
        <w:rPr>
          <w:rFonts w:ascii="Arial" w:cs="Arial" w:eastAsia="Arial" w:hAnsi="Arial"/>
          <w:sz w:val="10"/>
          <w:szCs w:val="10"/>
          <w:color w:val="auto"/>
        </w:rPr>
        <w:t>Note 3:</w:t>
      </w:r>
      <w:r>
        <w:rPr>
          <w:sz w:val="20"/>
          <w:szCs w:val="20"/>
          <w:color w:val="auto"/>
        </w:rPr>
        <w:tab/>
      </w:r>
      <w:r>
        <w:rPr>
          <w:rFonts w:ascii="Arial" w:cs="Arial" w:eastAsia="Arial" w:hAnsi="Arial"/>
          <w:sz w:val="9"/>
          <w:szCs w:val="9"/>
          <w:color w:val="auto"/>
        </w:rPr>
        <w:t>Please see EBITDA reconciliation in the appendix.</w:t>
      </w:r>
    </w:p>
    <w:p>
      <w:pPr>
        <w:spacing w:after="0" w:line="7" w:lineRule="exact"/>
        <w:rPr>
          <w:sz w:val="20"/>
          <w:szCs w:val="20"/>
          <w:color w:val="auto"/>
        </w:rPr>
      </w:pPr>
    </w:p>
    <w:p>
      <w:pPr>
        <w:ind w:left="60"/>
        <w:spacing w:after="0"/>
        <w:tabs>
          <w:tab w:leader="none" w:pos="460" w:val="left"/>
        </w:tabs>
        <w:rPr>
          <w:sz w:val="20"/>
          <w:szCs w:val="20"/>
          <w:color w:val="auto"/>
        </w:rPr>
      </w:pPr>
      <w:r>
        <w:rPr>
          <w:rFonts w:ascii="Arial" w:cs="Arial" w:eastAsia="Arial" w:hAnsi="Arial"/>
          <w:sz w:val="10"/>
          <w:szCs w:val="10"/>
          <w:color w:val="auto"/>
        </w:rPr>
        <w:t>Note 4:</w:t>
      </w:r>
      <w:r>
        <w:rPr>
          <w:sz w:val="20"/>
          <w:szCs w:val="20"/>
          <w:color w:val="auto"/>
        </w:rPr>
        <w:tab/>
      </w:r>
      <w:r>
        <w:rPr>
          <w:rFonts w:ascii="Arial" w:cs="Arial" w:eastAsia="Arial" w:hAnsi="Arial"/>
          <w:sz w:val="9"/>
          <w:szCs w:val="9"/>
          <w:color w:val="auto"/>
        </w:rPr>
        <w:t>Assumes annual synergies of $200 - $250 million, attributable to cost savings related to SG&amp;A, duplicative operating functions, and purchasing economies of scale. Excludes divestitures.</w:t>
      </w:r>
    </w:p>
    <w:p>
      <w:pPr>
        <w:spacing w:after="0" w:line="7" w:lineRule="exact"/>
        <w:rPr>
          <w:sz w:val="20"/>
          <w:szCs w:val="20"/>
          <w:color w:val="auto"/>
        </w:rPr>
      </w:pPr>
    </w:p>
    <w:p>
      <w:pPr>
        <w:ind w:left="480"/>
        <w:spacing w:after="0"/>
        <w:rPr>
          <w:sz w:val="20"/>
          <w:szCs w:val="20"/>
          <w:color w:val="auto"/>
        </w:rPr>
      </w:pPr>
      <w:r>
        <w:rPr>
          <w:rFonts w:ascii="Arial" w:cs="Arial" w:eastAsia="Arial" w:hAnsi="Arial"/>
          <w:sz w:val="10"/>
          <w:szCs w:val="10"/>
          <w:color w:val="auto"/>
        </w:rPr>
        <w:t>Please refer to note 2 on page 6.</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0"/>
          <w:szCs w:val="10"/>
          <w:color w:val="auto"/>
        </w:rPr>
        <w:t>Source: Company filings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15</w:t>
      </w:r>
    </w:p>
    <w:p>
      <w:pPr>
        <w:sectPr>
          <w:pgSz w:w="11900" w:h="16838" w:orient="portrait"/>
          <w:cols w:equalWidth="0" w:num="1">
            <w:col w:w="9620"/>
          </w:cols>
          <w:pgMar w:left="1220" w:top="467" w:right="1059"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…And an Immediate Return to a Meaningful Dividend</w:t>
      </w:r>
    </w:p>
    <w:p>
      <w:pPr>
        <w:spacing w:after="0" w:line="200" w:lineRule="exact"/>
        <w:rPr>
          <w:sz w:val="20"/>
          <w:szCs w:val="20"/>
          <w:color w:val="auto"/>
        </w:rPr>
      </w:pPr>
    </w:p>
    <w:p>
      <w:pPr>
        <w:spacing w:after="0" w:line="238" w:lineRule="exact"/>
        <w:rPr>
          <w:sz w:val="20"/>
          <w:szCs w:val="20"/>
          <w:color w:val="auto"/>
        </w:rPr>
      </w:pPr>
    </w:p>
    <w:tbl>
      <w:tblPr>
        <w:tblLayout w:type="fixed"/>
        <w:tblInd w:w="940" w:type="dxa"/>
        <w:tblCellMar>
          <w:top w:w="0" w:type="dxa"/>
          <w:left w:w="0" w:type="dxa"/>
          <w:bottom w:w="0" w:type="dxa"/>
          <w:right w:w="0" w:type="dxa"/>
        </w:tblCellMar>
      </w:tblPr>
      <w:tr>
        <w:trPr>
          <w:trHeight w:val="355"/>
        </w:trPr>
        <w:tc>
          <w:tcPr>
            <w:tcW w:w="1600" w:type="dxa"/>
            <w:vAlign w:val="bottom"/>
          </w:tcPr>
          <w:p>
            <w:pPr>
              <w:spacing w:after="0"/>
              <w:rPr>
                <w:sz w:val="24"/>
                <w:szCs w:val="24"/>
                <w:color w:val="auto"/>
              </w:rPr>
            </w:pPr>
          </w:p>
        </w:tc>
        <w:tc>
          <w:tcPr>
            <w:tcW w:w="4780" w:type="dxa"/>
            <w:vAlign w:val="bottom"/>
          </w:tcPr>
          <w:p>
            <w:pPr>
              <w:ind w:left="340"/>
              <w:spacing w:after="0"/>
              <w:rPr>
                <w:sz w:val="20"/>
                <w:szCs w:val="20"/>
                <w:color w:val="auto"/>
              </w:rPr>
            </w:pPr>
            <w:r>
              <w:rPr>
                <w:rFonts w:ascii="Arial" w:cs="Arial" w:eastAsia="Arial" w:hAnsi="Arial"/>
                <w:sz w:val="27"/>
                <w:szCs w:val="27"/>
                <w:b w:val="1"/>
                <w:bCs w:val="1"/>
                <w:color w:val="004E7A"/>
              </w:rPr>
              <w:t>Vulcan Dividend Per Share ($)</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600" w:type="dxa"/>
            <w:vAlign w:val="bottom"/>
          </w:tcPr>
          <w:p>
            <w:pPr>
              <w:spacing w:after="0"/>
              <w:rPr>
                <w:sz w:val="24"/>
                <w:szCs w:val="24"/>
                <w:color w:val="auto"/>
              </w:rPr>
            </w:pPr>
          </w:p>
        </w:tc>
        <w:tc>
          <w:tcPr>
            <w:tcW w:w="4780" w:type="dxa"/>
            <w:vAlign w:val="bottom"/>
          </w:tcPr>
          <w:p>
            <w:pPr>
              <w:jc w:val="right"/>
              <w:ind w:right="3078"/>
              <w:spacing w:after="0"/>
              <w:rPr>
                <w:sz w:val="20"/>
                <w:szCs w:val="20"/>
                <w:color w:val="auto"/>
              </w:rPr>
            </w:pPr>
            <w:r>
              <w:rPr>
                <w:rFonts w:ascii="Arial" w:cs="Arial" w:eastAsia="Arial" w:hAnsi="Arial"/>
                <w:sz w:val="14"/>
                <w:szCs w:val="14"/>
                <w:color w:val="auto"/>
              </w:rPr>
              <w:t>1.96</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4780" w:type="dxa"/>
            <w:vAlign w:val="bottom"/>
          </w:tcPr>
          <w:p>
            <w:pPr>
              <w:ind w:left="360"/>
              <w:spacing w:after="0"/>
              <w:rPr>
                <w:sz w:val="20"/>
                <w:szCs w:val="20"/>
                <w:color w:val="auto"/>
              </w:rPr>
            </w:pPr>
            <w:r>
              <w:rPr>
                <w:rFonts w:ascii="Arial" w:cs="Arial" w:eastAsia="Arial" w:hAnsi="Arial"/>
                <w:sz w:val="14"/>
                <w:szCs w:val="14"/>
                <w:color w:val="auto"/>
              </w:rPr>
              <w:t>1.84</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600" w:type="dxa"/>
            <w:vAlign w:val="bottom"/>
          </w:tcPr>
          <w:p>
            <w:pPr>
              <w:jc w:val="right"/>
              <w:ind w:right="268"/>
              <w:spacing w:after="0"/>
              <w:rPr>
                <w:sz w:val="20"/>
                <w:szCs w:val="20"/>
                <w:color w:val="auto"/>
              </w:rPr>
            </w:pPr>
            <w:r>
              <w:rPr>
                <w:rFonts w:ascii="Arial" w:cs="Arial" w:eastAsia="Arial" w:hAnsi="Arial"/>
                <w:sz w:val="14"/>
                <w:szCs w:val="14"/>
                <w:color w:val="auto"/>
              </w:rPr>
              <w:t>1.48</w:t>
            </w:r>
          </w:p>
        </w:tc>
        <w:tc>
          <w:tcPr>
            <w:tcW w:w="4780" w:type="dxa"/>
            <w:vAlign w:val="bottom"/>
          </w:tcPr>
          <w:p>
            <w:pPr>
              <w:jc w:val="right"/>
              <w:ind w:right="2098"/>
              <w:spacing w:after="0"/>
              <w:rPr>
                <w:sz w:val="20"/>
                <w:szCs w:val="20"/>
                <w:color w:val="auto"/>
              </w:rPr>
            </w:pPr>
            <w:r>
              <w:rPr>
                <w:rFonts w:ascii="Arial" w:cs="Arial" w:eastAsia="Arial" w:hAnsi="Arial"/>
                <w:sz w:val="14"/>
                <w:szCs w:val="14"/>
                <w:color w:val="auto"/>
              </w:rPr>
              <w:t>1.48</w:t>
            </w: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00" w:type="dxa"/>
            <w:vAlign w:val="bottom"/>
            <w:vMerge w:val="restart"/>
          </w:tcPr>
          <w:p>
            <w:pPr>
              <w:jc w:val="right"/>
              <w:ind w:right="1248"/>
              <w:spacing w:after="0"/>
              <w:rPr>
                <w:sz w:val="20"/>
                <w:szCs w:val="20"/>
                <w:color w:val="auto"/>
              </w:rPr>
            </w:pPr>
            <w:r>
              <w:rPr>
                <w:rFonts w:ascii="Arial" w:cs="Arial" w:eastAsia="Arial" w:hAnsi="Arial"/>
                <w:sz w:val="14"/>
                <w:szCs w:val="14"/>
                <w:color w:val="auto"/>
                <w:w w:val="95"/>
              </w:rPr>
              <w:t>1.16</w:t>
            </w:r>
          </w:p>
        </w:tc>
        <w:tc>
          <w:tcPr>
            <w:tcW w:w="47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Vulcan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600" w:type="dxa"/>
            <w:vAlign w:val="bottom"/>
            <w:vMerge w:val="continue"/>
          </w:tcPr>
          <w:p>
            <w:pPr>
              <w:spacing w:after="0"/>
              <w:rPr>
                <w:sz w:val="6"/>
                <w:szCs w:val="6"/>
                <w:color w:val="auto"/>
              </w:rPr>
            </w:pPr>
          </w:p>
        </w:tc>
        <w:tc>
          <w:tcPr>
            <w:tcW w:w="4780" w:type="dxa"/>
            <w:vAlign w:val="bottom"/>
          </w:tcPr>
          <w:p>
            <w:pPr>
              <w:spacing w:after="0"/>
              <w:rPr>
                <w:sz w:val="6"/>
                <w:szCs w:val="6"/>
                <w:color w:val="auto"/>
              </w:rPr>
            </w:pPr>
          </w:p>
        </w:tc>
        <w:tc>
          <w:tcPr>
            <w:tcW w:w="1260" w:type="dxa"/>
            <w:vAlign w:val="bottom"/>
            <w:vMerge w:val="restart"/>
          </w:tcPr>
          <w:p>
            <w:pPr>
              <w:ind w:left="200"/>
              <w:spacing w:after="0"/>
              <w:rPr>
                <w:sz w:val="20"/>
                <w:szCs w:val="20"/>
                <w:color w:val="auto"/>
              </w:rPr>
            </w:pPr>
            <w:r>
              <w:rPr>
                <w:rFonts w:ascii="Arial" w:cs="Arial" w:eastAsia="Arial" w:hAnsi="Arial"/>
                <w:sz w:val="14"/>
                <w:szCs w:val="14"/>
                <w:color w:val="auto"/>
              </w:rPr>
              <w:t>recently cut</w:t>
            </w: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600" w:type="dxa"/>
            <w:vAlign w:val="bottom"/>
          </w:tcPr>
          <w:p>
            <w:pPr>
              <w:spacing w:after="0"/>
              <w:rPr>
                <w:sz w:val="8"/>
                <w:szCs w:val="8"/>
                <w:color w:val="auto"/>
              </w:rPr>
            </w:pPr>
          </w:p>
        </w:tc>
        <w:tc>
          <w:tcPr>
            <w:tcW w:w="4780" w:type="dxa"/>
            <w:vAlign w:val="bottom"/>
            <w:vMerge w:val="restart"/>
          </w:tcPr>
          <w:p>
            <w:pPr>
              <w:jc w:val="right"/>
              <w:ind w:right="1118"/>
              <w:spacing w:after="0"/>
              <w:rPr>
                <w:sz w:val="20"/>
                <w:szCs w:val="20"/>
                <w:color w:val="auto"/>
              </w:rPr>
            </w:pPr>
            <w:r>
              <w:rPr>
                <w:rFonts w:ascii="Arial" w:cs="Arial" w:eastAsia="Arial" w:hAnsi="Arial"/>
                <w:sz w:val="14"/>
                <w:szCs w:val="14"/>
                <w:color w:val="auto"/>
              </w:rPr>
              <w:t>1.00</w:t>
            </w: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4780" w:type="dxa"/>
            <w:vAlign w:val="bottom"/>
            <w:vMerge w:val="continue"/>
          </w:tcPr>
          <w:p>
            <w:pPr>
              <w:spacing w:after="0"/>
              <w:rPr>
                <w:sz w:val="15"/>
                <w:szCs w:val="15"/>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its quarterly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4780" w:type="dxa"/>
            <w:vAlign w:val="bottom"/>
            <w:vMerge w:val="restart"/>
          </w:tcPr>
          <w:p>
            <w:pPr>
              <w:jc w:val="right"/>
              <w:ind w:right="118"/>
              <w:spacing w:after="0"/>
              <w:rPr>
                <w:sz w:val="20"/>
                <w:szCs w:val="20"/>
                <w:color w:val="auto"/>
              </w:rPr>
            </w:pPr>
            <w:r>
              <w:rPr>
                <w:rFonts w:ascii="Arial" w:cs="Arial" w:eastAsia="Arial" w:hAnsi="Arial"/>
                <w:sz w:val="14"/>
                <w:szCs w:val="14"/>
                <w:color w:val="auto"/>
              </w:rPr>
              <w:t>0.76</w:t>
            </w:r>
            <w:r>
              <w:rPr>
                <w:rFonts w:ascii="Arial" w:cs="Arial" w:eastAsia="Arial" w:hAnsi="Arial"/>
                <w:sz w:val="17"/>
                <w:szCs w:val="17"/>
                <w:color w:val="auto"/>
                <w:vertAlign w:val="superscript"/>
              </w:rPr>
              <w:t>1</w:t>
            </w:r>
          </w:p>
        </w:tc>
        <w:tc>
          <w:tcPr>
            <w:tcW w:w="1260" w:type="dxa"/>
            <w:vAlign w:val="bottom"/>
          </w:tcPr>
          <w:p>
            <w:pPr>
              <w:jc w:val="center"/>
              <w:ind w:right="28"/>
              <w:spacing w:after="0"/>
              <w:rPr>
                <w:sz w:val="20"/>
                <w:szCs w:val="20"/>
                <w:color w:val="auto"/>
              </w:rPr>
            </w:pPr>
            <w:r>
              <w:rPr>
                <w:rFonts w:ascii="Arial" w:cs="Arial" w:eastAsia="Arial" w:hAnsi="Arial"/>
                <w:sz w:val="14"/>
                <w:szCs w:val="14"/>
                <w:color w:val="auto"/>
              </w:rPr>
              <w:t>dividend to</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4780" w:type="dxa"/>
            <w:vAlign w:val="bottom"/>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$0.01</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7620"/>
        <w:spacing w:after="0"/>
        <w:rPr>
          <w:sz w:val="20"/>
          <w:szCs w:val="20"/>
          <w:color w:val="auto"/>
        </w:rPr>
      </w:pPr>
      <w:r>
        <w:rPr>
          <w:rFonts w:ascii="Arial" w:cs="Arial" w:eastAsia="Arial" w:hAnsi="Arial"/>
          <w:sz w:val="14"/>
          <w:szCs w:val="14"/>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940"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0.04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40" w:type="dxa"/>
            <w:vAlign w:val="bottom"/>
            <w:vMerge w:val="restart"/>
          </w:tcPr>
          <w:p>
            <w:pPr>
              <w:jc w:val="right"/>
              <w:ind w:right="248"/>
              <w:spacing w:after="0"/>
              <w:rPr>
                <w:sz w:val="20"/>
                <w:szCs w:val="20"/>
                <w:color w:val="auto"/>
              </w:rPr>
            </w:pPr>
            <w:r>
              <w:rPr>
                <w:rFonts w:ascii="Arial" w:cs="Arial" w:eastAsia="Arial" w:hAnsi="Arial"/>
                <w:sz w:val="14"/>
                <w:szCs w:val="14"/>
                <w:color w:val="auto"/>
                <w:w w:val="96"/>
              </w:rPr>
              <w:t>2005</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2006</w:t>
            </w: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color w:val="auto"/>
              </w:rPr>
              <w:t>2007</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color w:val="auto"/>
              </w:rPr>
              <w:t>2008</w:t>
            </w: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color w:val="auto"/>
              </w:rPr>
              <w:t>2009</w:t>
            </w: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color w:val="auto"/>
              </w:rPr>
              <w:t>2010</w:t>
            </w: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color w:val="auto"/>
              </w:rPr>
              <w:t>2011</w:t>
            </w:r>
          </w:p>
        </w:tc>
        <w:tc>
          <w:tcPr>
            <w:tcW w:w="1060" w:type="dxa"/>
            <w:vAlign w:val="bottom"/>
            <w:vMerge w:val="restart"/>
          </w:tcPr>
          <w:p>
            <w:pPr>
              <w:jc w:val="center"/>
              <w:ind w:left="48"/>
              <w:spacing w:after="0"/>
              <w:rPr>
                <w:sz w:val="20"/>
                <w:szCs w:val="20"/>
                <w:color w:val="auto"/>
              </w:rPr>
            </w:pPr>
            <w:r>
              <w:rPr>
                <w:rFonts w:ascii="Arial" w:cs="Arial" w:eastAsia="Arial" w:hAnsi="Arial"/>
                <w:sz w:val="14"/>
                <w:szCs w:val="14"/>
                <w:color w:val="auto"/>
              </w:rPr>
              <w:t>Q1 2012</w:t>
            </w:r>
          </w:p>
        </w:tc>
        <w:tc>
          <w:tcPr>
            <w:tcW w:w="1040" w:type="dxa"/>
            <w:vAlign w:val="bottom"/>
          </w:tcPr>
          <w:p>
            <w:pPr>
              <w:jc w:val="center"/>
              <w:ind w:left="28"/>
              <w:spacing w:after="0"/>
              <w:rPr>
                <w:sz w:val="20"/>
                <w:szCs w:val="20"/>
                <w:color w:val="auto"/>
              </w:rPr>
            </w:pPr>
            <w:r>
              <w:rPr>
                <w:rFonts w:ascii="Arial" w:cs="Arial" w:eastAsia="Arial" w:hAnsi="Arial"/>
                <w:sz w:val="14"/>
                <w:szCs w:val="14"/>
                <w:color w:val="auto"/>
              </w:rPr>
              <w:t>Implied annual</w:t>
            </w:r>
          </w:p>
        </w:tc>
        <w:tc>
          <w:tcPr>
            <w:tcW w:w="0" w:type="dxa"/>
            <w:vAlign w:val="bottom"/>
          </w:tcPr>
          <w:p>
            <w:pPr>
              <w:spacing w:after="0"/>
              <w:rPr>
                <w:sz w:val="1"/>
                <w:szCs w:val="1"/>
                <w:color w:val="auto"/>
              </w:rPr>
            </w:pPr>
          </w:p>
        </w:tc>
      </w:tr>
      <w:tr>
        <w:trPr>
          <w:trHeight w:val="49"/>
        </w:trPr>
        <w:tc>
          <w:tcPr>
            <w:tcW w:w="64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restart"/>
          </w:tcPr>
          <w:p>
            <w:pPr>
              <w:jc w:val="center"/>
              <w:ind w:left="28"/>
              <w:spacing w:after="0"/>
              <w:rPr>
                <w:sz w:val="20"/>
                <w:szCs w:val="20"/>
                <w:color w:val="auto"/>
              </w:rPr>
            </w:pPr>
            <w:r>
              <w:rPr>
                <w:rFonts w:ascii="Arial" w:cs="Arial" w:eastAsia="Arial" w:hAnsi="Arial"/>
                <w:sz w:val="14"/>
                <w:szCs w:val="14"/>
                <w:color w:val="auto"/>
              </w:rPr>
              <w:t>dividend after</w:t>
            </w: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jc w:val="center"/>
              <w:ind w:left="28"/>
              <w:spacing w:after="0" w:line="133" w:lineRule="exact"/>
              <w:rPr>
                <w:sz w:val="20"/>
                <w:szCs w:val="20"/>
                <w:color w:val="auto"/>
              </w:rPr>
            </w:pPr>
            <w:r>
              <w:rPr>
                <w:rFonts w:ascii="Arial" w:cs="Arial" w:eastAsia="Arial" w:hAnsi="Arial"/>
                <w:sz w:val="14"/>
                <w:szCs w:val="14"/>
                <w:color w:val="auto"/>
              </w:rPr>
              <w:t>Annualized</w:t>
            </w: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ind w:left="8620"/>
        <w:spacing w:after="0"/>
        <w:rPr>
          <w:sz w:val="20"/>
          <w:szCs w:val="20"/>
          <w:color w:val="auto"/>
        </w:rPr>
      </w:pPr>
      <w:r>
        <w:rPr>
          <w:rFonts w:ascii="Arial" w:cs="Arial" w:eastAsia="Arial" w:hAnsi="Arial"/>
          <w:sz w:val="14"/>
          <w:szCs w:val="14"/>
          <w:color w:val="auto"/>
        </w:rPr>
        <w:t>combination</w:t>
      </w:r>
    </w:p>
    <w:p>
      <w:pPr>
        <w:spacing w:after="0" w:line="200" w:lineRule="exact"/>
        <w:rPr>
          <w:sz w:val="20"/>
          <w:szCs w:val="20"/>
          <w:color w:val="auto"/>
        </w:rPr>
      </w:pPr>
    </w:p>
    <w:p>
      <w:pPr>
        <w:spacing w:after="0" w:line="395" w:lineRule="exact"/>
        <w:rPr>
          <w:sz w:val="20"/>
          <w:szCs w:val="20"/>
          <w:color w:val="auto"/>
        </w:rPr>
      </w:pPr>
    </w:p>
    <w:p>
      <w:pPr>
        <w:jc w:val="right"/>
        <w:ind w:left="160" w:right="260"/>
        <w:spacing w:after="0" w:line="291" w:lineRule="auto"/>
        <w:rPr>
          <w:sz w:val="20"/>
          <w:szCs w:val="20"/>
          <w:color w:val="auto"/>
        </w:rPr>
      </w:pPr>
      <w:r>
        <w:rPr>
          <w:rFonts w:ascii="Arial" w:cs="Arial" w:eastAsia="Arial" w:hAnsi="Arial"/>
          <w:sz w:val="23"/>
          <w:szCs w:val="23"/>
          <w:b w:val="1"/>
          <w:bCs w:val="1"/>
          <w:color w:val="FFFFFF"/>
        </w:rPr>
        <w:t>The dramatic 3-year decline in Vulcan’s dividend does not inspire confidence in its stated “commitment to restore a competitive dividend when prudent to do so”</w:t>
      </w:r>
      <w:r>
        <w:rPr>
          <w:rFonts w:ascii="Arial" w:cs="Arial" w:eastAsia="Arial" w:hAnsi="Arial"/>
          <w:sz w:val="27"/>
          <w:szCs w:val="27"/>
          <w:b w:val="1"/>
          <w:bCs w:val="1"/>
          <w:color w:val="FFFFFF"/>
        </w:rPr>
        <w:t>²</w:t>
      </w:r>
    </w:p>
    <w:p>
      <w:pPr>
        <w:spacing w:after="0" w:line="371" w:lineRule="exact"/>
        <w:rPr>
          <w:sz w:val="20"/>
          <w:szCs w:val="20"/>
          <w:color w:val="auto"/>
        </w:rPr>
      </w:pPr>
    </w:p>
    <w:p>
      <w:pPr>
        <w:spacing w:after="0"/>
        <w:rPr>
          <w:sz w:val="20"/>
          <w:szCs w:val="20"/>
          <w:color w:val="auto"/>
        </w:rPr>
      </w:pPr>
      <w:r>
        <w:rPr>
          <w:rFonts w:ascii="Arial" w:cs="Arial" w:eastAsia="Arial" w:hAnsi="Arial"/>
          <w:sz w:val="10"/>
          <w:szCs w:val="10"/>
          <w:color w:val="auto"/>
        </w:rPr>
        <w:t>Note 1: Reflects Vulcan’s October 14, 2011 announcement to cut its quarterly dividend to $0.01.</w:t>
      </w:r>
    </w:p>
    <w:p>
      <w:pPr>
        <w:spacing w:after="0" w:line="18" w:lineRule="exact"/>
        <w:rPr>
          <w:sz w:val="20"/>
          <w:szCs w:val="20"/>
          <w:color w:val="auto"/>
        </w:rPr>
      </w:pPr>
    </w:p>
    <w:p>
      <w:pPr>
        <w:spacing w:after="0"/>
        <w:tabs>
          <w:tab w:leader="none" w:pos="38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Source: Vulcan’s “The Vulcan Value Proposition”, March 2012.</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16</w:t>
      </w:r>
    </w:p>
    <w:p>
      <w:pPr>
        <w:sectPr>
          <w:pgSz w:w="11900" w:h="16838" w:orient="portrait"/>
          <w:cols w:equalWidth="0" w:num="1">
            <w:col w:w="9540"/>
          </w:cols>
          <w:pgMar w:left="1300" w:top="689" w:right="1059" w:bottom="1440" w:gutter="0" w:footer="0" w:header="0"/>
        </w:sectPr>
      </w:pPr>
    </w:p>
    <w:bookmarkStart w:id="17" w:name="page18"/>
    <w:bookmarkEnd w:id="17"/>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 ShareholdersShouldSenda StrongMessageto Their Board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40" w:hanging="287"/>
        <w:spacing w:after="0"/>
        <w:tabs>
          <w:tab w:leader="none" w:pos="340" w:val="left"/>
        </w:tabs>
        <w:numPr>
          <w:ilvl w:val="0"/>
          <w:numId w:val="10"/>
        </w:numPr>
        <w:rPr>
          <w:rFonts w:ascii="Arial" w:cs="Arial" w:eastAsia="Arial" w:hAnsi="Arial"/>
          <w:sz w:val="23"/>
          <w:szCs w:val="23"/>
          <w:b w:val="1"/>
          <w:bCs w:val="1"/>
          <w:color w:val="auto"/>
        </w:rPr>
      </w:pPr>
      <w:r>
        <w:rPr>
          <w:rFonts w:ascii="Arial" w:cs="Arial" w:eastAsia="Arial" w:hAnsi="Arial"/>
          <w:sz w:val="23"/>
          <w:szCs w:val="23"/>
          <w:b w:val="1"/>
          <w:bCs w:val="1"/>
          <w:color w:val="auto"/>
        </w:rPr>
        <w:t>Elect Martin Marietta’s independent nominees to the Vulcan Board</w:t>
      </w:r>
    </w:p>
    <w:p>
      <w:pPr>
        <w:spacing w:after="0" w:line="218" w:lineRule="exact"/>
        <w:rPr>
          <w:rFonts w:ascii="Arial" w:cs="Arial" w:eastAsia="Arial" w:hAnsi="Arial"/>
          <w:sz w:val="23"/>
          <w:szCs w:val="23"/>
          <w:b w:val="1"/>
          <w:bCs w:val="1"/>
          <w:color w:val="auto"/>
        </w:rPr>
      </w:pPr>
    </w:p>
    <w:p>
      <w:pPr>
        <w:ind w:left="920" w:right="760" w:hanging="333"/>
        <w:spacing w:after="0" w:line="276" w:lineRule="auto"/>
        <w:rPr>
          <w:rFonts w:ascii="Arial" w:cs="Arial" w:eastAsia="Arial" w:hAnsi="Arial"/>
          <w:sz w:val="23"/>
          <w:szCs w:val="23"/>
          <w:b w:val="1"/>
          <w:bCs w:val="1"/>
          <w:color w:val="auto"/>
        </w:rPr>
      </w:pPr>
      <w:r>
        <w:rPr>
          <w:rFonts w:ascii="Arial" w:cs="Arial" w:eastAsia="Arial" w:hAnsi="Arial"/>
          <w:sz w:val="23"/>
          <w:szCs w:val="23"/>
          <w:color w:val="auto"/>
        </w:rPr>
        <w:t>– Martin Marietta has nominated four highly qualified independent director nominees to replace the four incumbent Vulcan directors seeking re-election</w:t>
      </w:r>
    </w:p>
    <w:p>
      <w:pPr>
        <w:spacing w:after="0" w:line="145" w:lineRule="exact"/>
        <w:rPr>
          <w:rFonts w:ascii="Arial" w:cs="Arial" w:eastAsia="Arial" w:hAnsi="Arial"/>
          <w:sz w:val="23"/>
          <w:szCs w:val="23"/>
          <w:b w:val="1"/>
          <w:bCs w:val="1"/>
          <w:color w:val="auto"/>
        </w:rPr>
      </w:pPr>
    </w:p>
    <w:p>
      <w:pPr>
        <w:ind w:left="920" w:right="1100" w:hanging="333"/>
        <w:spacing w:after="0" w:line="266" w:lineRule="auto"/>
        <w:rPr>
          <w:rFonts w:ascii="Arial" w:cs="Arial" w:eastAsia="Arial" w:hAnsi="Arial"/>
          <w:sz w:val="23"/>
          <w:szCs w:val="23"/>
          <w:b w:val="1"/>
          <w:bCs w:val="1"/>
          <w:color w:val="auto"/>
        </w:rPr>
      </w:pPr>
      <w:r>
        <w:rPr>
          <w:rFonts w:ascii="Arial" w:cs="Arial" w:eastAsia="Arial" w:hAnsi="Arial"/>
          <w:sz w:val="23"/>
          <w:szCs w:val="23"/>
          <w:color w:val="auto"/>
        </w:rPr>
        <w:t>– Nominees are independent and have no affiliation with Martin Marietta or Vulcan</w:t>
      </w:r>
    </w:p>
    <w:p>
      <w:pPr>
        <w:spacing w:after="0" w:line="156" w:lineRule="exact"/>
        <w:rPr>
          <w:rFonts w:ascii="Arial" w:cs="Arial" w:eastAsia="Arial" w:hAnsi="Arial"/>
          <w:sz w:val="23"/>
          <w:szCs w:val="23"/>
          <w:b w:val="1"/>
          <w:bCs w:val="1"/>
          <w:color w:val="auto"/>
        </w:rPr>
      </w:pPr>
    </w:p>
    <w:p>
      <w:pPr>
        <w:ind w:left="920" w:right="660" w:hanging="333"/>
        <w:spacing w:after="0" w:line="263" w:lineRule="auto"/>
        <w:rPr>
          <w:rFonts w:ascii="Arial" w:cs="Arial" w:eastAsia="Arial" w:hAnsi="Arial"/>
          <w:sz w:val="23"/>
          <w:szCs w:val="23"/>
          <w:b w:val="1"/>
          <w:bCs w:val="1"/>
          <w:color w:val="auto"/>
        </w:rPr>
      </w:pPr>
      <w:r>
        <w:rPr>
          <w:rFonts w:ascii="Arial" w:cs="Arial" w:eastAsia="Arial" w:hAnsi="Arial"/>
          <w:sz w:val="23"/>
          <w:szCs w:val="23"/>
          <w:color w:val="auto"/>
        </w:rPr>
        <w:t>– Nominees will bring a fresh perspective - including an open mind - to the Vulcan Boardroom on whether Vulcan should engage with Martin Marietta on its business combination</w:t>
      </w:r>
    </w:p>
    <w:p>
      <w:pPr>
        <w:spacing w:after="0" w:line="344" w:lineRule="exact"/>
        <w:rPr>
          <w:rFonts w:ascii="Arial" w:cs="Arial" w:eastAsia="Arial" w:hAnsi="Arial"/>
          <w:sz w:val="23"/>
          <w:szCs w:val="23"/>
          <w:b w:val="1"/>
          <w:bCs w:val="1"/>
          <w:color w:val="auto"/>
        </w:rPr>
      </w:pPr>
    </w:p>
    <w:p>
      <w:pPr>
        <w:ind w:left="320" w:hanging="267"/>
        <w:spacing w:after="0"/>
        <w:tabs>
          <w:tab w:leader="none" w:pos="320" w:val="left"/>
        </w:tabs>
        <w:numPr>
          <w:ilvl w:val="0"/>
          <w:numId w:val="10"/>
        </w:numPr>
        <w:rPr>
          <w:rFonts w:ascii="Arial" w:cs="Arial" w:eastAsia="Arial" w:hAnsi="Arial"/>
          <w:sz w:val="23"/>
          <w:szCs w:val="23"/>
          <w:b w:val="1"/>
          <w:bCs w:val="1"/>
          <w:color w:val="auto"/>
        </w:rPr>
      </w:pPr>
      <w:r>
        <w:rPr>
          <w:rFonts w:ascii="Arial" w:cs="Arial" w:eastAsia="Arial" w:hAnsi="Arial"/>
          <w:sz w:val="23"/>
          <w:szCs w:val="23"/>
          <w:b w:val="1"/>
          <w:bCs w:val="1"/>
          <w:color w:val="auto"/>
        </w:rPr>
        <w:t>Don’t wait – promptly and publicly communicate support for the transaction to:</w:t>
      </w:r>
    </w:p>
    <w:p>
      <w:pPr>
        <w:spacing w:after="0" w:line="229" w:lineRule="exact"/>
        <w:rPr>
          <w:rFonts w:ascii="Arial" w:cs="Arial" w:eastAsia="Arial" w:hAnsi="Arial"/>
          <w:sz w:val="23"/>
          <w:szCs w:val="23"/>
          <w:b w:val="1"/>
          <w:bCs w:val="1"/>
          <w:color w:val="auto"/>
        </w:rPr>
      </w:pPr>
    </w:p>
    <w:p>
      <w:pPr>
        <w:ind w:left="580"/>
        <w:spacing w:after="0"/>
        <w:rPr>
          <w:rFonts w:ascii="Arial" w:cs="Arial" w:eastAsia="Arial" w:hAnsi="Arial"/>
          <w:sz w:val="23"/>
          <w:szCs w:val="23"/>
          <w:b w:val="1"/>
          <w:bCs w:val="1"/>
          <w:color w:val="auto"/>
        </w:rPr>
      </w:pPr>
      <w:r>
        <w:rPr>
          <w:rFonts w:ascii="Arial" w:cs="Arial" w:eastAsia="Arial" w:hAnsi="Arial"/>
          <w:sz w:val="23"/>
          <w:szCs w:val="23"/>
          <w:color w:val="auto"/>
        </w:rPr>
        <w:t>–  The Vulcan Board</w:t>
      </w:r>
    </w:p>
    <w:p>
      <w:pPr>
        <w:spacing w:after="0" w:line="201" w:lineRule="exact"/>
        <w:rPr>
          <w:rFonts w:ascii="Arial" w:cs="Arial" w:eastAsia="Arial" w:hAnsi="Arial"/>
          <w:sz w:val="23"/>
          <w:szCs w:val="23"/>
          <w:b w:val="1"/>
          <w:bCs w:val="1"/>
          <w:color w:val="auto"/>
        </w:rPr>
      </w:pPr>
    </w:p>
    <w:p>
      <w:pPr>
        <w:ind w:left="580"/>
        <w:spacing w:after="0"/>
        <w:rPr>
          <w:rFonts w:ascii="Arial" w:cs="Arial" w:eastAsia="Arial" w:hAnsi="Arial"/>
          <w:sz w:val="23"/>
          <w:szCs w:val="23"/>
          <w:b w:val="1"/>
          <w:bCs w:val="1"/>
          <w:color w:val="auto"/>
        </w:rPr>
      </w:pPr>
      <w:r>
        <w:rPr>
          <w:rFonts w:ascii="Arial" w:cs="Arial" w:eastAsia="Arial" w:hAnsi="Arial"/>
          <w:sz w:val="23"/>
          <w:szCs w:val="23"/>
          <w:color w:val="auto"/>
        </w:rPr>
        <w:t>–  Your fellow shareholders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line="291" w:lineRule="auto"/>
        <w:rPr>
          <w:sz w:val="20"/>
          <w:szCs w:val="20"/>
          <w:color w:val="auto"/>
        </w:rPr>
      </w:pPr>
      <w:r>
        <w:rPr>
          <w:rFonts w:ascii="Arial" w:cs="Arial" w:eastAsia="Arial" w:hAnsi="Arial"/>
          <w:sz w:val="23"/>
          <w:szCs w:val="23"/>
          <w:b w:val="1"/>
          <w:bCs w:val="1"/>
          <w:color w:val="FFFFFF"/>
        </w:rPr>
        <w:t>Vulcan shareholders should support the transaction by voting for the four independent director candidates nominated by Martin Marietta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17</w:t>
      </w:r>
    </w:p>
    <w:p>
      <w:pPr>
        <w:sectPr>
          <w:pgSz w:w="11900" w:h="16838" w:orient="portrait"/>
          <w:cols w:equalWidth="0" w:num="1">
            <w:col w:w="9500"/>
          </w:cols>
          <w:pgMar w:left="1340" w:top="634" w:right="10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35"/>
          <w:szCs w:val="35"/>
          <w:color w:val="004E7A"/>
        </w:rPr>
        <w:t>Addressing Vulcan's Most Recent Mischaracterizations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18</w:t>
      </w:r>
    </w:p>
    <w:p>
      <w:pPr>
        <w:sectPr>
          <w:pgSz w:w="11900" w:h="16838" w:orient="portrait"/>
          <w:cols w:equalWidth="0" w:num="1">
            <w:col w:w="9400"/>
          </w:cols>
          <w:pgMar w:left="1440" w:top="1440" w:right="1059" w:bottom="1440" w:gutter="0" w:footer="0" w:header="0"/>
        </w:sectPr>
      </w:pPr>
    </w:p>
    <w:bookmarkStart w:id="19" w:name="page20"/>
    <w:bookmarkEnd w:id="19"/>
    <w:p>
      <w:pPr>
        <w:ind w:right="140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Vulcan’s Tactics Are a Smokescreen to Impede the Proposed Transaction</w:t>
      </w:r>
    </w:p>
    <w:p>
      <w:pPr>
        <w:spacing w:after="0" w:line="200" w:lineRule="exact"/>
        <w:rPr>
          <w:sz w:val="20"/>
          <w:szCs w:val="20"/>
          <w:color w:val="auto"/>
        </w:rPr>
      </w:pPr>
    </w:p>
    <w:p>
      <w:pPr>
        <w:spacing w:after="0" w:line="385" w:lineRule="exact"/>
        <w:rPr>
          <w:sz w:val="20"/>
          <w:szCs w:val="20"/>
          <w:color w:val="auto"/>
        </w:rPr>
      </w:pPr>
    </w:p>
    <w:p>
      <w:pPr>
        <w:ind w:right="740"/>
        <w:spacing w:after="0" w:line="276" w:lineRule="auto"/>
        <w:rPr>
          <w:sz w:val="20"/>
          <w:szCs w:val="20"/>
          <w:color w:val="auto"/>
        </w:rPr>
      </w:pPr>
      <w:r>
        <w:rPr>
          <w:rFonts w:ascii="Arial" w:cs="Arial" w:eastAsia="Arial" w:hAnsi="Arial"/>
          <w:sz w:val="23"/>
          <w:szCs w:val="23"/>
          <w:color w:val="auto"/>
        </w:rPr>
        <w:t>In its March 2012 presentation, “The Vulcan Value Proposition,” Vulcan appears to have:</w:t>
      </w:r>
    </w:p>
    <w:p>
      <w:pPr>
        <w:spacing w:after="0" w:line="323" w:lineRule="exact"/>
        <w:rPr>
          <w:sz w:val="20"/>
          <w:szCs w:val="20"/>
          <w:color w:val="auto"/>
        </w:rPr>
      </w:pPr>
    </w:p>
    <w:p>
      <w:pPr>
        <w:ind w:left="540" w:right="800" w:hanging="388"/>
        <w:spacing w:after="0" w:line="232" w:lineRule="auto"/>
        <w:tabs>
          <w:tab w:leader="none" w:pos="540" w:val="left"/>
        </w:tabs>
        <w:numPr>
          <w:ilvl w:val="0"/>
          <w:numId w:val="11"/>
        </w:numPr>
        <w:rPr>
          <w:rFonts w:ascii="Arial" w:cs="Arial" w:eastAsia="Arial" w:hAnsi="Arial"/>
          <w:sz w:val="27"/>
          <w:szCs w:val="27"/>
          <w:color w:val="FFFFFF"/>
        </w:rPr>
      </w:pPr>
      <w:r>
        <w:rPr>
          <w:rFonts w:ascii="Arial" w:cs="Arial" w:eastAsia="Arial" w:hAnsi="Arial"/>
          <w:sz w:val="23"/>
          <w:szCs w:val="23"/>
          <w:color w:val="auto"/>
        </w:rPr>
        <w:t>Asked its shareholders to believe in the Profit Enhancement Plan, and overlook the unfulfilled promises following the acquisition of Florida Rock</w:t>
      </w:r>
    </w:p>
    <w:p>
      <w:pPr>
        <w:spacing w:after="0" w:line="364" w:lineRule="exact"/>
        <w:rPr>
          <w:sz w:val="20"/>
          <w:szCs w:val="20"/>
          <w:color w:val="auto"/>
        </w:rPr>
      </w:pPr>
    </w:p>
    <w:p>
      <w:pPr>
        <w:jc w:val="both"/>
        <w:ind w:left="540" w:right="620" w:hanging="388"/>
        <w:spacing w:after="0" w:line="248" w:lineRule="auto"/>
        <w:tabs>
          <w:tab w:leader="none" w:pos="540" w:val="left"/>
        </w:tabs>
        <w:numPr>
          <w:ilvl w:val="0"/>
          <w:numId w:val="12"/>
        </w:numPr>
        <w:rPr>
          <w:rFonts w:ascii="Arial" w:cs="Arial" w:eastAsia="Arial" w:hAnsi="Arial"/>
          <w:sz w:val="27"/>
          <w:szCs w:val="27"/>
          <w:color w:val="FFFFFF"/>
        </w:rPr>
      </w:pPr>
      <w:r>
        <w:rPr>
          <w:rFonts w:ascii="Arial" w:cs="Arial" w:eastAsia="Arial" w:hAnsi="Arial"/>
          <w:sz w:val="23"/>
          <w:szCs w:val="23"/>
          <w:color w:val="auto"/>
        </w:rPr>
        <w:t>Refused to acknowledge that the divestiture plan that may be required as part of Martin Marietta’s proposed business combination builds a stronger enterprise as opposed to Vulcan’s asset sale plan which at best will reduce excessive leverage resulting from its Florida Rock transaction</w:t>
      </w:r>
    </w:p>
    <w:p>
      <w:pPr>
        <w:spacing w:after="0" w:line="326" w:lineRule="exact"/>
        <w:rPr>
          <w:sz w:val="20"/>
          <w:szCs w:val="20"/>
          <w:color w:val="auto"/>
        </w:rPr>
      </w:pPr>
    </w:p>
    <w:p>
      <w:pPr>
        <w:ind w:left="540" w:hanging="388"/>
        <w:spacing w:after="0"/>
        <w:tabs>
          <w:tab w:leader="none" w:pos="540" w:val="left"/>
        </w:tabs>
        <w:numPr>
          <w:ilvl w:val="0"/>
          <w:numId w:val="13"/>
        </w:numPr>
        <w:rPr>
          <w:rFonts w:ascii="Arial" w:cs="Arial" w:eastAsia="Arial" w:hAnsi="Arial"/>
          <w:sz w:val="27"/>
          <w:szCs w:val="27"/>
          <w:color w:val="FFFFFF"/>
        </w:rPr>
      </w:pPr>
      <w:r>
        <w:rPr>
          <w:rFonts w:ascii="Arial" w:cs="Arial" w:eastAsia="Arial" w:hAnsi="Arial"/>
          <w:sz w:val="23"/>
          <w:szCs w:val="23"/>
          <w:color w:val="auto"/>
        </w:rPr>
        <w:t>Cherry-picked metrics for flawed performance comparisons</w:t>
      </w:r>
    </w:p>
    <w:p>
      <w:pPr>
        <w:spacing w:after="0" w:line="321" w:lineRule="exact"/>
        <w:rPr>
          <w:sz w:val="20"/>
          <w:szCs w:val="20"/>
          <w:color w:val="auto"/>
        </w:rPr>
      </w:pPr>
    </w:p>
    <w:p>
      <w:pPr>
        <w:ind w:left="540" w:hanging="388"/>
        <w:spacing w:after="0"/>
        <w:tabs>
          <w:tab w:leader="none" w:pos="540" w:val="left"/>
        </w:tabs>
        <w:numPr>
          <w:ilvl w:val="0"/>
          <w:numId w:val="14"/>
        </w:numPr>
        <w:rPr>
          <w:rFonts w:ascii="Arial" w:cs="Arial" w:eastAsia="Arial" w:hAnsi="Arial"/>
          <w:sz w:val="27"/>
          <w:szCs w:val="27"/>
          <w:color w:val="FFFFFF"/>
        </w:rPr>
      </w:pPr>
      <w:r>
        <w:rPr>
          <w:rFonts w:ascii="Arial" w:cs="Arial" w:eastAsia="Arial" w:hAnsi="Arial"/>
          <w:sz w:val="23"/>
          <w:szCs w:val="23"/>
          <w:color w:val="auto"/>
        </w:rPr>
        <w:t>Ignored relevant profitability and operating metric comparisons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19</w:t>
      </w:r>
    </w:p>
    <w:p>
      <w:pPr>
        <w:sectPr>
          <w:pgSz w:w="11900" w:h="16838" w:orient="portrait"/>
          <w:cols w:equalWidth="0" w:num="1">
            <w:col w:w="9500"/>
          </w:cols>
          <w:pgMar w:left="1340" w:top="456" w:right="1059" w:bottom="1440" w:gutter="0" w:footer="0" w:header="0"/>
        </w:sectPr>
      </w:pPr>
    </w:p>
    <w:bookmarkStart w:id="20" w:name="page21"/>
    <w:bookmarkEnd w:id="20"/>
    <w:p>
      <w:pPr>
        <w:ind w:left="480" w:right="60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 Overpromised and Underdelivered Following the Florida Rock Acquisition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3820" w:type="dxa"/>
            <w:vAlign w:val="bottom"/>
            <w:vMerge w:val="restart"/>
          </w:tcPr>
          <w:p>
            <w:pPr>
              <w:ind w:left="580"/>
              <w:spacing w:after="0"/>
              <w:rPr>
                <w:sz w:val="20"/>
                <w:szCs w:val="20"/>
                <w:color w:val="auto"/>
              </w:rPr>
            </w:pPr>
            <w:r>
              <w:rPr>
                <w:rFonts w:ascii="Arial" w:cs="Arial" w:eastAsia="Arial" w:hAnsi="Arial"/>
                <w:sz w:val="21"/>
                <w:szCs w:val="21"/>
                <w:b w:val="1"/>
                <w:bCs w:val="1"/>
                <w:color w:val="FFFFFF"/>
              </w:rPr>
              <w:t>What Vulcan Said in 2007:</w:t>
            </w:r>
          </w:p>
        </w:tc>
        <w:tc>
          <w:tcPr>
            <w:tcW w:w="4920" w:type="dxa"/>
            <w:vAlign w:val="bottom"/>
          </w:tcPr>
          <w:p>
            <w:pPr>
              <w:ind w:left="900"/>
              <w:spacing w:after="0"/>
              <w:rPr>
                <w:sz w:val="20"/>
                <w:szCs w:val="20"/>
                <w:color w:val="auto"/>
              </w:rPr>
            </w:pPr>
            <w:r>
              <w:rPr>
                <w:rFonts w:ascii="Arial" w:cs="Arial" w:eastAsia="Arial" w:hAnsi="Arial"/>
                <w:sz w:val="21"/>
                <w:szCs w:val="21"/>
                <w:b w:val="1"/>
                <w:bCs w:val="1"/>
                <w:color w:val="004E7A"/>
                <w:w w:val="99"/>
              </w:rPr>
              <w:t>Adjusted EBITDA and % EBITDA Margin</w:t>
            </w:r>
          </w:p>
        </w:tc>
        <w:tc>
          <w:tcPr>
            <w:tcW w:w="0" w:type="dxa"/>
            <w:vAlign w:val="bottom"/>
          </w:tcPr>
          <w:p>
            <w:pPr>
              <w:spacing w:after="0"/>
              <w:rPr>
                <w:sz w:val="1"/>
                <w:szCs w:val="1"/>
                <w:color w:val="auto"/>
              </w:rPr>
            </w:pPr>
          </w:p>
        </w:tc>
      </w:tr>
      <w:tr>
        <w:trPr>
          <w:trHeight w:val="166"/>
        </w:trPr>
        <w:tc>
          <w:tcPr>
            <w:tcW w:w="3820" w:type="dxa"/>
            <w:vAlign w:val="bottom"/>
            <w:vMerge w:val="continue"/>
          </w:tcPr>
          <w:p>
            <w:pPr>
              <w:spacing w:after="0"/>
              <w:rPr>
                <w:sz w:val="14"/>
                <w:szCs w:val="14"/>
                <w:color w:val="auto"/>
              </w:rPr>
            </w:pPr>
          </w:p>
        </w:tc>
        <w:tc>
          <w:tcPr>
            <w:tcW w:w="4920" w:type="dxa"/>
            <w:vAlign w:val="bottom"/>
            <w:vMerge w:val="restart"/>
          </w:tcPr>
          <w:p>
            <w:pPr>
              <w:ind w:left="220"/>
              <w:spacing w:after="0"/>
              <w:rPr>
                <w:sz w:val="20"/>
                <w:szCs w:val="20"/>
                <w:color w:val="auto"/>
              </w:rPr>
            </w:pPr>
            <w:r>
              <w:rPr>
                <w:rFonts w:ascii="Arial" w:cs="Arial" w:eastAsia="Arial" w:hAnsi="Arial"/>
                <w:sz w:val="14"/>
                <w:szCs w:val="14"/>
                <w:i w:val="1"/>
                <w:iCs w:val="1"/>
                <w:color w:val="auto"/>
              </w:rPr>
              <w:t>($M)</w:t>
            </w:r>
          </w:p>
        </w:tc>
        <w:tc>
          <w:tcPr>
            <w:tcW w:w="0" w:type="dxa"/>
            <w:vAlign w:val="bottom"/>
          </w:tcPr>
          <w:p>
            <w:pPr>
              <w:spacing w:after="0"/>
              <w:rPr>
                <w:sz w:val="1"/>
                <w:szCs w:val="1"/>
                <w:color w:val="auto"/>
              </w:rPr>
            </w:pPr>
          </w:p>
        </w:tc>
      </w:tr>
      <w:tr>
        <w:trPr>
          <w:trHeight w:val="91"/>
        </w:trPr>
        <w:tc>
          <w:tcPr>
            <w:tcW w:w="382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3820" w:type="dxa"/>
            <w:vAlign w:val="bottom"/>
            <w:vMerge w:val="restart"/>
          </w:tcPr>
          <w:p>
            <w:pPr>
              <w:jc w:val="center"/>
              <w:ind w:right="171"/>
              <w:spacing w:after="0"/>
              <w:rPr>
                <w:sz w:val="20"/>
                <w:szCs w:val="20"/>
                <w:color w:val="auto"/>
              </w:rPr>
            </w:pPr>
            <w:r>
              <w:rPr>
                <w:rFonts w:ascii="Arial" w:cs="Arial" w:eastAsia="Arial" w:hAnsi="Arial"/>
                <w:sz w:val="18"/>
                <w:szCs w:val="18"/>
                <w:i w:val="1"/>
                <w:iCs w:val="1"/>
                <w:color w:val="auto"/>
                <w:w w:val="98"/>
              </w:rPr>
              <w:t xml:space="preserve">“Anticipated </w:t>
            </w:r>
            <w:r>
              <w:rPr>
                <w:rFonts w:ascii="Arial" w:cs="Arial" w:eastAsia="Arial" w:hAnsi="Arial"/>
                <w:sz w:val="18"/>
                <w:szCs w:val="18"/>
                <w:b w:val="1"/>
                <w:bCs w:val="1"/>
                <w:i w:val="1"/>
                <w:iCs w:val="1"/>
                <w:color w:val="auto"/>
                <w:w w:val="98"/>
              </w:rPr>
              <w:t>average annual EBITDA of</w:t>
            </w:r>
          </w:p>
        </w:tc>
        <w:tc>
          <w:tcPr>
            <w:tcW w:w="4920" w:type="dxa"/>
            <w:vAlign w:val="bottom"/>
          </w:tcPr>
          <w:p>
            <w:pPr>
              <w:ind w:left="2220"/>
              <w:spacing w:after="0"/>
              <w:rPr>
                <w:sz w:val="20"/>
                <w:szCs w:val="20"/>
                <w:color w:val="auto"/>
              </w:rPr>
            </w:pPr>
            <w:r>
              <w:rPr>
                <w:rFonts w:ascii="Arial" w:cs="Arial" w:eastAsia="Arial" w:hAnsi="Arial"/>
                <w:sz w:val="18"/>
                <w:szCs w:val="18"/>
                <w:b w:val="1"/>
                <w:bCs w:val="1"/>
                <w:color w:val="auto"/>
              </w:rPr>
              <w:t>$2B targeted EBITDA</w:t>
            </w:r>
          </w:p>
        </w:tc>
        <w:tc>
          <w:tcPr>
            <w:tcW w:w="0" w:type="dxa"/>
            <w:vAlign w:val="bottom"/>
          </w:tcPr>
          <w:p>
            <w:pPr>
              <w:spacing w:after="0"/>
              <w:rPr>
                <w:sz w:val="1"/>
                <w:szCs w:val="1"/>
                <w:color w:val="auto"/>
              </w:rPr>
            </w:pPr>
          </w:p>
        </w:tc>
      </w:tr>
      <w:tr>
        <w:trPr>
          <w:trHeight w:val="65"/>
        </w:trPr>
        <w:tc>
          <w:tcPr>
            <w:tcW w:w="3820" w:type="dxa"/>
            <w:vAlign w:val="bottom"/>
            <w:vMerge w:val="continue"/>
          </w:tcPr>
          <w:p>
            <w:pPr>
              <w:spacing w:after="0"/>
              <w:rPr>
                <w:sz w:val="5"/>
                <w:szCs w:val="5"/>
                <w:color w:val="auto"/>
              </w:rPr>
            </w:pPr>
          </w:p>
        </w:tc>
        <w:tc>
          <w:tcPr>
            <w:tcW w:w="4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820" w:type="dxa"/>
            <w:vAlign w:val="bottom"/>
          </w:tcPr>
          <w:p>
            <w:pPr>
              <w:jc w:val="center"/>
              <w:ind w:right="131"/>
              <w:spacing w:after="0"/>
              <w:rPr>
                <w:sz w:val="20"/>
                <w:szCs w:val="20"/>
                <w:color w:val="auto"/>
              </w:rPr>
            </w:pPr>
            <w:r>
              <w:rPr>
                <w:rFonts w:ascii="Arial" w:cs="Arial" w:eastAsia="Arial" w:hAnsi="Arial"/>
                <w:sz w:val="18"/>
                <w:szCs w:val="18"/>
                <w:b w:val="1"/>
                <w:bCs w:val="1"/>
                <w:i w:val="1"/>
                <w:iCs w:val="1"/>
                <w:color w:val="auto"/>
              </w:rPr>
              <w:t>more than $2 billion over the next 3 years,</w:t>
            </w: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820" w:type="dxa"/>
            <w:vAlign w:val="bottom"/>
          </w:tcPr>
          <w:p>
            <w:pPr>
              <w:ind w:left="540"/>
              <w:spacing w:after="0"/>
              <w:rPr>
                <w:sz w:val="20"/>
                <w:szCs w:val="20"/>
                <w:color w:val="auto"/>
              </w:rPr>
            </w:pPr>
            <w:r>
              <w:rPr>
                <w:rFonts w:ascii="Arial" w:cs="Arial" w:eastAsia="Arial" w:hAnsi="Arial"/>
                <w:sz w:val="18"/>
                <w:szCs w:val="18"/>
                <w:i w:val="1"/>
                <w:iCs w:val="1"/>
                <w:color w:val="auto"/>
              </w:rPr>
              <w:t>enabling rapid debt reduction.”</w:t>
            </w: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820" w:type="dxa"/>
            <w:vAlign w:val="bottom"/>
          </w:tcPr>
          <w:p>
            <w:pPr>
              <w:jc w:val="center"/>
              <w:ind w:right="231"/>
              <w:spacing w:after="0"/>
              <w:rPr>
                <w:sz w:val="20"/>
                <w:szCs w:val="20"/>
                <w:color w:val="auto"/>
              </w:rPr>
            </w:pPr>
            <w:r>
              <w:rPr>
                <w:rFonts w:ascii="Arial" w:cs="Arial" w:eastAsia="Arial" w:hAnsi="Arial"/>
                <w:sz w:val="14"/>
                <w:szCs w:val="14"/>
                <w:i w:val="1"/>
                <w:iCs w:val="1"/>
                <w:color w:val="auto"/>
              </w:rPr>
              <w:t>(Vulcan Investor Presentation, February 20, 2007)</w:t>
            </w:r>
          </w:p>
        </w:tc>
        <w:tc>
          <w:tcPr>
            <w:tcW w:w="4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80"/>
          </w:cols>
          <w:pgMar w:left="1360" w:top="456" w:right="105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FFFFFF"/>
        </w:rPr>
        <w:t>What Vulcan Delivered Since 2007:</w:t>
      </w:r>
    </w:p>
    <w:p>
      <w:pPr>
        <w:spacing w:after="0" w:line="204" w:lineRule="exact"/>
        <w:rPr>
          <w:sz w:val="20"/>
          <w:szCs w:val="20"/>
          <w:color w:val="auto"/>
        </w:rPr>
      </w:pPr>
    </w:p>
    <w:p>
      <w:pPr>
        <w:ind w:left="260" w:right="560" w:hanging="128"/>
        <w:spacing w:after="0" w:line="262"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EBITDAhas fallen by 63%¹ and is currently 17% of the $2B goal</w:t>
      </w:r>
    </w:p>
    <w:p>
      <w:pPr>
        <w:spacing w:after="0" w:line="68" w:lineRule="exact"/>
        <w:rPr>
          <w:rFonts w:ascii="Arial" w:cs="Arial" w:eastAsia="Arial" w:hAnsi="Arial"/>
          <w:sz w:val="18"/>
          <w:szCs w:val="18"/>
          <w:color w:val="auto"/>
        </w:rPr>
      </w:pPr>
    </w:p>
    <w:p>
      <w:pPr>
        <w:ind w:left="260" w:right="520" w:hanging="128"/>
        <w:spacing w:after="0" w:line="282"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Stated focus on cost reduction has yielded only a 9%reduction in SG&amp;Acosts¹ (excluding $50M Florida Rock synergies)</w:t>
      </w:r>
    </w:p>
    <w:p>
      <w:pPr>
        <w:spacing w:after="0" w:line="53" w:lineRule="exact"/>
        <w:rPr>
          <w:rFonts w:ascii="Arial" w:cs="Arial" w:eastAsia="Arial" w:hAnsi="Arial"/>
          <w:sz w:val="17"/>
          <w:szCs w:val="17"/>
          <w:color w:val="auto"/>
        </w:rPr>
      </w:pPr>
    </w:p>
    <w:p>
      <w:pPr>
        <w:ind w:left="260" w:right="800" w:hanging="128"/>
        <w:spacing w:after="0" w:line="275"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Failed to accomplish stated goals of de-levering the balance sheet and maintaining an investment grade 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60"/>
        <w:spacing w:after="0"/>
        <w:rPr>
          <w:sz w:val="20"/>
          <w:szCs w:val="20"/>
          <w:color w:val="auto"/>
        </w:rPr>
      </w:pPr>
      <w:r>
        <w:rPr>
          <w:rFonts w:ascii="Arial" w:cs="Arial" w:eastAsia="Arial" w:hAnsi="Arial"/>
          <w:sz w:val="14"/>
          <w:szCs w:val="14"/>
          <w:b w:val="1"/>
          <w:bCs w:val="1"/>
          <w:color w:val="FFFFFF"/>
        </w:rPr>
        <w:t>30%</w:t>
      </w:r>
    </w:p>
    <w:p>
      <w:pPr>
        <w:spacing w:after="0" w:line="6" w:lineRule="exact"/>
        <w:rPr>
          <w:sz w:val="20"/>
          <w:szCs w:val="20"/>
          <w:color w:val="auto"/>
        </w:rPr>
      </w:pPr>
    </w:p>
    <w:p>
      <w:pPr>
        <w:jc w:val="center"/>
        <w:ind w:right="4160"/>
        <w:spacing w:after="0"/>
        <w:rPr>
          <w:sz w:val="20"/>
          <w:szCs w:val="20"/>
          <w:color w:val="auto"/>
        </w:rPr>
      </w:pPr>
      <w:r>
        <w:rPr>
          <w:rFonts w:ascii="Arial" w:cs="Arial" w:eastAsia="Arial" w:hAnsi="Arial"/>
          <w:sz w:val="14"/>
          <w:szCs w:val="14"/>
          <w:b w:val="1"/>
          <w:bCs w:val="1"/>
          <w:color w:val="FFFFFF"/>
        </w:rPr>
        <w:t>margin</w:t>
      </w:r>
    </w:p>
    <w:p>
      <w:pPr>
        <w:jc w:val="center"/>
        <w:ind w:right="2300"/>
        <w:spacing w:after="0"/>
        <w:rPr>
          <w:sz w:val="20"/>
          <w:szCs w:val="20"/>
          <w:color w:val="auto"/>
        </w:rPr>
      </w:pPr>
      <w:r>
        <w:rPr>
          <w:rFonts w:ascii="Arial" w:cs="Arial" w:eastAsia="Arial" w:hAnsi="Arial"/>
          <w:sz w:val="14"/>
          <w:szCs w:val="14"/>
          <w:b w:val="1"/>
          <w:bCs w:val="1"/>
          <w:color w:val="FFFFFF"/>
        </w:rPr>
        <w:t>23%</w:t>
      </w:r>
    </w:p>
    <w:p>
      <w:pPr>
        <w:spacing w:after="0" w:line="11" w:lineRule="exact"/>
        <w:rPr>
          <w:sz w:val="20"/>
          <w:szCs w:val="20"/>
          <w:color w:val="auto"/>
        </w:rPr>
      </w:pPr>
    </w:p>
    <w:p>
      <w:pPr>
        <w:jc w:val="center"/>
        <w:ind w:right="2300"/>
        <w:spacing w:after="0"/>
        <w:rPr>
          <w:sz w:val="20"/>
          <w:szCs w:val="20"/>
          <w:color w:val="auto"/>
        </w:rPr>
      </w:pPr>
      <w:r>
        <w:rPr>
          <w:rFonts w:ascii="Arial" w:cs="Arial" w:eastAsia="Arial" w:hAnsi="Arial"/>
          <w:sz w:val="14"/>
          <w:szCs w:val="14"/>
          <w:b w:val="1"/>
          <w:bCs w:val="1"/>
          <w:color w:val="FFFFFF"/>
        </w:rPr>
        <w:t>margin</w:t>
      </w:r>
    </w:p>
    <w:p>
      <w:pPr>
        <w:spacing w:after="0" w:line="136"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FFFFFF"/>
        </w:rPr>
        <w:t>20%</w:t>
      </w:r>
    </w:p>
    <w:p>
      <w:pPr>
        <w:jc w:val="center"/>
        <w:ind w:right="380"/>
        <w:spacing w:after="0" w:line="232" w:lineRule="auto"/>
        <w:rPr>
          <w:sz w:val="20"/>
          <w:szCs w:val="20"/>
          <w:color w:val="auto"/>
        </w:rPr>
      </w:pPr>
      <w:r>
        <w:rPr>
          <w:rFonts w:ascii="Arial" w:cs="Arial" w:eastAsia="Arial" w:hAnsi="Arial"/>
          <w:sz w:val="14"/>
          <w:szCs w:val="14"/>
          <w:b w:val="1"/>
          <w:bCs w:val="1"/>
          <w:color w:val="FFFFFF"/>
        </w:rPr>
        <w:t>margin</w:t>
      </w:r>
    </w:p>
    <w:p>
      <w:pPr>
        <w:ind w:left="2960"/>
        <w:spacing w:after="0" w:line="195" w:lineRule="auto"/>
        <w:tabs>
          <w:tab w:leader="none" w:pos="3900" w:val="left"/>
        </w:tabs>
        <w:rPr>
          <w:sz w:val="20"/>
          <w:szCs w:val="20"/>
          <w:color w:val="auto"/>
        </w:rPr>
      </w:pPr>
      <w:r>
        <w:rPr>
          <w:rFonts w:ascii="Arial" w:cs="Arial" w:eastAsia="Arial" w:hAnsi="Arial"/>
          <w:sz w:val="11"/>
          <w:szCs w:val="11"/>
          <w:b w:val="1"/>
          <w:bCs w:val="1"/>
          <w:color w:val="FFFFFF"/>
        </w:rPr>
        <w:t>15%</w:t>
      </w:r>
      <w:r>
        <w:rPr>
          <w:sz w:val="20"/>
          <w:szCs w:val="20"/>
          <w:color w:val="auto"/>
        </w:rPr>
        <w:tab/>
      </w:r>
      <w:r>
        <w:rPr>
          <w:rFonts w:ascii="Arial" w:cs="Arial" w:eastAsia="Arial" w:hAnsi="Arial"/>
          <w:sz w:val="19"/>
          <w:szCs w:val="19"/>
          <w:b w:val="1"/>
          <w:bCs w:val="1"/>
          <w:color w:val="FFFFFF"/>
          <w:vertAlign w:val="subscript"/>
        </w:rPr>
        <w:t>14%</w:t>
      </w:r>
    </w:p>
    <w:p>
      <w:pPr>
        <w:jc w:val="both"/>
        <w:ind w:left="2860"/>
        <w:spacing w:after="0" w:line="187" w:lineRule="auto"/>
        <w:tabs>
          <w:tab w:leader="none" w:pos="3800" w:val="left"/>
        </w:tabs>
        <w:rPr>
          <w:sz w:val="20"/>
          <w:szCs w:val="20"/>
          <w:color w:val="auto"/>
        </w:rPr>
      </w:pPr>
      <w:r>
        <w:rPr>
          <w:rFonts w:ascii="Arial" w:cs="Arial" w:eastAsia="Arial" w:hAnsi="Arial"/>
          <w:sz w:val="12"/>
          <w:szCs w:val="12"/>
          <w:b w:val="1"/>
          <w:bCs w:val="1"/>
          <w:color w:val="FFFFFF"/>
        </w:rPr>
        <w:t>margin</w:t>
      </w:r>
      <w:r>
        <w:rPr>
          <w:sz w:val="20"/>
          <w:szCs w:val="20"/>
          <w:color w:val="auto"/>
        </w:rPr>
        <w:tab/>
      </w:r>
      <w:r>
        <w:rPr>
          <w:rFonts w:ascii="Arial" w:cs="Arial" w:eastAsia="Arial" w:hAnsi="Arial"/>
          <w:sz w:val="23"/>
          <w:szCs w:val="23"/>
          <w:b w:val="1"/>
          <w:bCs w:val="1"/>
          <w:color w:val="FFFFFF"/>
          <w:vertAlign w:val="subscript"/>
        </w:rPr>
        <w:t>margin</w:t>
      </w:r>
    </w:p>
    <w:p>
      <w:pPr>
        <w:spacing w:after="0" w:line="470" w:lineRule="exact"/>
        <w:rPr>
          <w:sz w:val="20"/>
          <w:szCs w:val="20"/>
          <w:color w:val="auto"/>
        </w:rPr>
      </w:pPr>
    </w:p>
    <w:p>
      <w:pPr>
        <w:sectPr>
          <w:pgSz w:w="11900" w:h="16838" w:orient="portrait"/>
          <w:cols w:equalWidth="0" w:num="2">
            <w:col w:w="4120" w:space="720"/>
            <w:col w:w="4640"/>
          </w:cols>
          <w:pgMar w:left="1360" w:top="456" w:right="1059" w:bottom="1440" w:gutter="0" w:footer="0" w:header="0"/>
          <w:type w:val="continuous"/>
        </w:sectPr>
      </w:pPr>
    </w:p>
    <w:p>
      <w:pPr>
        <w:spacing w:after="0" w:line="357" w:lineRule="exact"/>
        <w:rPr>
          <w:sz w:val="20"/>
          <w:szCs w:val="20"/>
          <w:color w:val="auto"/>
        </w:rPr>
      </w:pPr>
    </w:p>
    <w:p>
      <w:pPr>
        <w:jc w:val="center"/>
        <w:ind w:left="1440" w:right="340"/>
        <w:spacing w:after="0" w:line="272" w:lineRule="auto"/>
        <w:rPr>
          <w:sz w:val="20"/>
          <w:szCs w:val="20"/>
          <w:color w:val="auto"/>
        </w:rPr>
      </w:pPr>
      <w:r>
        <w:rPr>
          <w:rFonts w:ascii="Arial" w:cs="Arial" w:eastAsia="Arial" w:hAnsi="Arial"/>
          <w:sz w:val="22"/>
          <w:szCs w:val="22"/>
          <w:b w:val="1"/>
          <w:bCs w:val="1"/>
          <w:color w:val="FFFFFF"/>
        </w:rPr>
        <w:t>Given Vulcan’s lack of credibility, Martin Marietta believes shareholders should not trust Vulcan to deliver significant cost savings over its projected three year time horizon</w:t>
      </w:r>
    </w:p>
    <w:p>
      <w:pPr>
        <w:spacing w:after="0" w:line="99"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Compares Vulcan’s EBITDA and SG&amp;A for 2007 and 2011.</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20</w:t>
      </w:r>
    </w:p>
    <w:p>
      <w:pPr>
        <w:sectPr>
          <w:pgSz w:w="11900" w:h="16838" w:orient="portrait"/>
          <w:cols w:equalWidth="0" w:num="1">
            <w:col w:w="9480"/>
          </w:cols>
          <w:pgMar w:left="1360" w:top="456" w:right="1059" w:bottom="1440" w:gutter="0" w:footer="0" w:header="0"/>
          <w:type w:val="continuous"/>
        </w:sectPr>
      </w:pPr>
    </w:p>
    <w:bookmarkStart w:id="21" w:name="page22"/>
    <w:bookmarkEnd w:id="21"/>
    <w:p>
      <w:pPr>
        <w:ind w:left="294"/>
        <w:spacing w:after="0"/>
        <w:rPr>
          <w:sz w:val="20"/>
          <w:szCs w:val="20"/>
          <w:color w:val="auto"/>
        </w:rPr>
      </w:pPr>
      <w:r>
        <w:rPr>
          <w:rFonts w:ascii="Arial" w:cs="Arial" w:eastAsia="Arial" w:hAnsi="Arial"/>
          <w:sz w:val="27"/>
          <w:szCs w:val="27"/>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Potential Divestitures in the Business Combination Build a Stronger</w:t>
      </w:r>
    </w:p>
    <w:p>
      <w:pPr>
        <w:spacing w:after="0" w:line="11" w:lineRule="exact"/>
        <w:rPr>
          <w:sz w:val="20"/>
          <w:szCs w:val="20"/>
          <w:color w:val="auto"/>
        </w:rPr>
      </w:pPr>
    </w:p>
    <w:p>
      <w:pPr>
        <w:ind w:left="294"/>
        <w:spacing w:after="0"/>
        <w:rPr>
          <w:sz w:val="20"/>
          <w:szCs w:val="20"/>
          <w:color w:val="auto"/>
        </w:rPr>
      </w:pPr>
      <w:r>
        <w:rPr>
          <w:rFonts w:ascii="Arial" w:cs="Arial" w:eastAsia="Arial" w:hAnsi="Arial"/>
          <w:sz w:val="26"/>
          <w:szCs w:val="26"/>
          <w:color w:val="auto"/>
        </w:rPr>
        <w:t>Enterprise, Versus Vulcan’s Planned Asset Sales to Reduce Excessive leverage</w:t>
      </w:r>
    </w:p>
    <w:p>
      <w:pPr>
        <w:spacing w:after="0" w:line="200" w:lineRule="exact"/>
        <w:rPr>
          <w:sz w:val="20"/>
          <w:szCs w:val="20"/>
          <w:color w:val="auto"/>
        </w:rPr>
      </w:pPr>
    </w:p>
    <w:p>
      <w:pPr>
        <w:spacing w:after="0" w:line="201" w:lineRule="exact"/>
        <w:rPr>
          <w:sz w:val="20"/>
          <w:szCs w:val="20"/>
          <w:color w:val="auto"/>
        </w:rPr>
      </w:pPr>
    </w:p>
    <w:p>
      <w:pPr>
        <w:ind w:left="1754"/>
        <w:spacing w:after="0"/>
        <w:rPr>
          <w:sz w:val="20"/>
          <w:szCs w:val="20"/>
          <w:color w:val="auto"/>
        </w:rPr>
      </w:pPr>
      <w:r>
        <w:rPr>
          <w:rFonts w:ascii="Arial" w:cs="Arial" w:eastAsia="Arial" w:hAnsi="Arial"/>
          <w:sz w:val="21"/>
          <w:szCs w:val="21"/>
          <w:b w:val="1"/>
          <w:bCs w:val="1"/>
          <w:color w:val="FFFFFF"/>
        </w:rPr>
        <w:t>Divestitures</w:t>
      </w:r>
    </w:p>
    <w:p>
      <w:pPr>
        <w:spacing w:after="0" w:line="195" w:lineRule="exact"/>
        <w:rPr>
          <w:sz w:val="20"/>
          <w:szCs w:val="20"/>
          <w:color w:val="auto"/>
        </w:rPr>
      </w:pPr>
    </w:p>
    <w:p>
      <w:pPr>
        <w:ind w:left="314" w:right="5160" w:hanging="314"/>
        <w:spacing w:after="0" w:line="247" w:lineRule="auto"/>
        <w:tabs>
          <w:tab w:leader="none" w:pos="314" w:val="left"/>
        </w:tabs>
        <w:numPr>
          <w:ilvl w:val="0"/>
          <w:numId w:val="16"/>
        </w:numPr>
        <w:rPr>
          <w:rFonts w:ascii="Arial" w:cs="Arial" w:eastAsia="Arial" w:hAnsi="Arial"/>
          <w:sz w:val="21"/>
          <w:szCs w:val="21"/>
          <w:color w:val="auto"/>
        </w:rPr>
      </w:pPr>
      <w:r>
        <w:rPr>
          <w:rFonts w:ascii="Arial" w:cs="Arial" w:eastAsia="Arial" w:hAnsi="Arial"/>
          <w:sz w:val="21"/>
          <w:szCs w:val="21"/>
          <w:color w:val="auto"/>
        </w:rPr>
        <w:t>Discussions with the DOJ continue; optimistic that outstanding issues will be resolved in the next several weeks</w:t>
      </w:r>
    </w:p>
    <w:p>
      <w:pPr>
        <w:spacing w:after="0" w:line="8" w:lineRule="exact"/>
        <w:rPr>
          <w:rFonts w:ascii="Arial" w:cs="Arial" w:eastAsia="Arial" w:hAnsi="Arial"/>
          <w:sz w:val="21"/>
          <w:szCs w:val="21"/>
          <w:color w:val="auto"/>
        </w:rPr>
      </w:pPr>
    </w:p>
    <w:p>
      <w:pPr>
        <w:ind w:left="314" w:right="5220" w:hanging="314"/>
        <w:spacing w:after="0" w:line="253" w:lineRule="auto"/>
        <w:tabs>
          <w:tab w:leader="none" w:pos="314" w:val="left"/>
        </w:tabs>
        <w:numPr>
          <w:ilvl w:val="0"/>
          <w:numId w:val="16"/>
        </w:numPr>
        <w:rPr>
          <w:rFonts w:ascii="Arial" w:cs="Arial" w:eastAsia="Arial" w:hAnsi="Arial"/>
          <w:sz w:val="21"/>
          <w:szCs w:val="21"/>
          <w:color w:val="auto"/>
        </w:rPr>
      </w:pPr>
      <w:r>
        <w:rPr>
          <w:rFonts w:ascii="Arial" w:cs="Arial" w:eastAsia="Arial" w:hAnsi="Arial"/>
          <w:sz w:val="21"/>
          <w:szCs w:val="21"/>
          <w:color w:val="auto"/>
        </w:rPr>
        <w:t>Numerous buyers have expressed interest in assets that may be divested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14"/>
        <w:spacing w:after="0"/>
        <w:rPr>
          <w:sz w:val="20"/>
          <w:szCs w:val="20"/>
          <w:color w:val="auto"/>
        </w:rPr>
      </w:pPr>
      <w:r>
        <w:rPr>
          <w:rFonts w:ascii="Arial" w:cs="Arial" w:eastAsia="Arial" w:hAnsi="Arial"/>
          <w:sz w:val="22"/>
          <w:szCs w:val="22"/>
          <w:b w:val="1"/>
          <w:bCs w:val="1"/>
          <w:color w:val="FFFFFF"/>
        </w:rPr>
        <w:t>Vulcan’s Planned Asset Sales</w:t>
      </w:r>
    </w:p>
    <w:p>
      <w:pPr>
        <w:spacing w:after="0" w:line="240" w:lineRule="exact"/>
        <w:rPr>
          <w:sz w:val="20"/>
          <w:szCs w:val="20"/>
          <w:color w:val="auto"/>
        </w:rPr>
      </w:pPr>
    </w:p>
    <w:p>
      <w:pPr>
        <w:ind w:left="314" w:right="5220" w:hanging="314"/>
        <w:spacing w:after="0" w:line="247" w:lineRule="auto"/>
        <w:tabs>
          <w:tab w:leader="none" w:pos="314" w:val="left"/>
        </w:tabs>
        <w:numPr>
          <w:ilvl w:val="0"/>
          <w:numId w:val="17"/>
        </w:numPr>
        <w:rPr>
          <w:rFonts w:ascii="Arial" w:cs="Arial" w:eastAsia="Arial" w:hAnsi="Arial"/>
          <w:sz w:val="21"/>
          <w:szCs w:val="21"/>
          <w:color w:val="auto"/>
        </w:rPr>
      </w:pPr>
      <w:r>
        <w:rPr>
          <w:rFonts w:ascii="Arial" w:cs="Arial" w:eastAsia="Arial" w:hAnsi="Arial"/>
          <w:sz w:val="21"/>
          <w:szCs w:val="21"/>
          <w:color w:val="auto"/>
        </w:rPr>
        <w:t>Not the optimal strategy to reduce the excessive leverage from Vulcan’s acquisition of Florida Rock</w:t>
      </w:r>
    </w:p>
    <w:p>
      <w:pPr>
        <w:spacing w:after="0" w:line="107" w:lineRule="exact"/>
        <w:rPr>
          <w:rFonts w:ascii="Arial" w:cs="Arial" w:eastAsia="Arial" w:hAnsi="Arial"/>
          <w:sz w:val="21"/>
          <w:szCs w:val="21"/>
          <w:color w:val="auto"/>
        </w:rPr>
      </w:pPr>
    </w:p>
    <w:p>
      <w:pPr>
        <w:ind w:left="634" w:right="5040" w:hanging="313"/>
        <w:spacing w:after="0" w:line="246" w:lineRule="auto"/>
        <w:tabs>
          <w:tab w:leader="none" w:pos="634" w:val="left"/>
        </w:tabs>
        <w:numPr>
          <w:ilvl w:val="1"/>
          <w:numId w:val="17"/>
        </w:numPr>
        <w:rPr>
          <w:rFonts w:ascii="Arial" w:cs="Arial" w:eastAsia="Arial" w:hAnsi="Arial"/>
          <w:sz w:val="21"/>
          <w:szCs w:val="21"/>
          <w:color w:val="auto"/>
        </w:rPr>
      </w:pPr>
      <w:r>
        <w:rPr>
          <w:rFonts w:ascii="Arial" w:cs="Arial" w:eastAsia="Arial" w:hAnsi="Arial"/>
          <w:sz w:val="21"/>
          <w:szCs w:val="21"/>
          <w:color w:val="auto"/>
        </w:rPr>
        <w:t>In order to achieve $500M of asset sales, meaningful EBITDA generating assets may need to be divested, further extending the time required to reduce leverage</w:t>
      </w:r>
    </w:p>
    <w:p>
      <w:pPr>
        <w:spacing w:after="0" w:line="96" w:lineRule="exact"/>
        <w:rPr>
          <w:rFonts w:ascii="Arial" w:cs="Arial" w:eastAsia="Arial" w:hAnsi="Arial"/>
          <w:sz w:val="21"/>
          <w:szCs w:val="21"/>
          <w:color w:val="auto"/>
        </w:rPr>
      </w:pPr>
    </w:p>
    <w:p>
      <w:pPr>
        <w:ind w:left="634" w:right="5260" w:hanging="313"/>
        <w:spacing w:after="0" w:line="249" w:lineRule="auto"/>
        <w:tabs>
          <w:tab w:leader="none" w:pos="634" w:val="left"/>
        </w:tabs>
        <w:numPr>
          <w:ilvl w:val="1"/>
          <w:numId w:val="17"/>
        </w:numPr>
        <w:rPr>
          <w:rFonts w:ascii="Arial" w:cs="Arial" w:eastAsia="Arial" w:hAnsi="Arial"/>
          <w:sz w:val="21"/>
          <w:szCs w:val="21"/>
          <w:color w:val="auto"/>
        </w:rPr>
      </w:pPr>
      <w:r>
        <w:rPr>
          <w:rFonts w:ascii="Arial" w:cs="Arial" w:eastAsia="Arial" w:hAnsi="Arial"/>
          <w:sz w:val="21"/>
          <w:szCs w:val="21"/>
          <w:color w:val="auto"/>
        </w:rPr>
        <w:t>Vulcan is ignoring an opportunity to strengthen its balance sheet immediately and restore its dividend through a combination with Martin Marietta</w:t>
      </w:r>
    </w:p>
    <w:p>
      <w:pPr>
        <w:spacing w:after="0" w:line="200" w:lineRule="exact"/>
        <w:rPr>
          <w:sz w:val="20"/>
          <w:szCs w:val="20"/>
          <w:color w:val="auto"/>
        </w:rPr>
      </w:pPr>
    </w:p>
    <w:p>
      <w:pPr>
        <w:spacing w:after="0" w:line="306" w:lineRule="exact"/>
        <w:rPr>
          <w:sz w:val="20"/>
          <w:szCs w:val="20"/>
          <w:color w:val="auto"/>
        </w:rPr>
      </w:pPr>
    </w:p>
    <w:p>
      <w:pPr>
        <w:ind w:left="54"/>
        <w:spacing w:after="0"/>
        <w:rPr>
          <w:sz w:val="20"/>
          <w:szCs w:val="20"/>
          <w:color w:val="auto"/>
        </w:rPr>
      </w:pPr>
      <w:r>
        <w:rPr>
          <w:rFonts w:ascii="Arial" w:cs="Arial" w:eastAsia="Arial" w:hAnsi="Arial"/>
          <w:sz w:val="10"/>
          <w:szCs w:val="10"/>
          <w:color w:val="auto"/>
        </w:rPr>
        <w:t>Source: Vulcan’s “The Vulcan Value Proposition”, March 2012</w:t>
      </w:r>
    </w:p>
    <w:p>
      <w:pPr>
        <w:spacing w:after="0" w:line="166" w:lineRule="exact"/>
        <w:rPr>
          <w:sz w:val="20"/>
          <w:szCs w:val="20"/>
          <w:color w:val="auto"/>
        </w:rPr>
      </w:pPr>
    </w:p>
    <w:p>
      <w:pPr>
        <w:ind w:left="9254"/>
        <w:spacing w:after="0"/>
        <w:rPr>
          <w:sz w:val="20"/>
          <w:szCs w:val="20"/>
          <w:color w:val="auto"/>
        </w:rPr>
      </w:pPr>
      <w:r>
        <w:rPr>
          <w:rFonts w:ascii="Arial" w:cs="Arial" w:eastAsia="Arial" w:hAnsi="Arial"/>
          <w:sz w:val="14"/>
          <w:szCs w:val="14"/>
          <w:color w:val="B4996E"/>
        </w:rPr>
        <w:t>21</w:t>
      </w:r>
    </w:p>
    <w:p>
      <w:pPr>
        <w:sectPr>
          <w:pgSz w:w="11900" w:h="16838" w:orient="portrait"/>
          <w:cols w:equalWidth="0" w:num="1">
            <w:col w:w="9714"/>
          </w:cols>
          <w:pgMar w:left="1426" w:top="575" w:right="759" w:bottom="1440" w:gutter="0" w:footer="0" w:header="0"/>
        </w:sectPr>
      </w:pPr>
    </w:p>
    <w:bookmarkStart w:id="22" w:name="page23"/>
    <w:bookmarkEnd w:id="22"/>
    <w:p>
      <w:pPr>
        <w:ind w:left="520" w:hanging="385"/>
        <w:spacing w:after="0"/>
        <w:tabs>
          <w:tab w:leader="none" w:pos="520" w:val="left"/>
        </w:tabs>
        <w:numPr>
          <w:ilvl w:val="0"/>
          <w:numId w:val="18"/>
        </w:numPr>
        <w:rPr>
          <w:rFonts w:ascii="Arial" w:cs="Arial" w:eastAsia="Arial" w:hAnsi="Arial"/>
          <w:sz w:val="27"/>
          <w:szCs w:val="27"/>
          <w:color w:val="FFFFFF"/>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Flawed Comparisons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40"/>
        <w:spacing w:after="0"/>
        <w:tabs>
          <w:tab w:leader="none" w:pos="4920" w:val="left"/>
        </w:tabs>
        <w:rPr>
          <w:sz w:val="20"/>
          <w:szCs w:val="20"/>
          <w:color w:val="auto"/>
        </w:rPr>
      </w:pPr>
      <w:r>
        <w:rPr>
          <w:rFonts w:ascii="Arial" w:cs="Arial" w:eastAsia="Arial" w:hAnsi="Arial"/>
          <w:sz w:val="21"/>
          <w:szCs w:val="21"/>
          <w:b w:val="1"/>
          <w:bCs w:val="1"/>
          <w:color w:val="FFFFFF"/>
        </w:rPr>
        <w:t>VULCAN CLAIM</w:t>
      </w:r>
      <w:r>
        <w:rPr>
          <w:sz w:val="20"/>
          <w:szCs w:val="20"/>
          <w:color w:val="auto"/>
        </w:rPr>
        <w:tab/>
      </w:r>
      <w:r>
        <w:rPr>
          <w:rFonts w:ascii="Arial" w:cs="Arial" w:eastAsia="Arial" w:hAnsi="Arial"/>
          <w:sz w:val="20"/>
          <w:szCs w:val="20"/>
          <w:b w:val="1"/>
          <w:bCs w:val="1"/>
          <w:color w:val="FFFFFF"/>
        </w:rPr>
        <w:t>MARTIN MARIETTA’S POSITION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00" w:right="1060" w:hanging="273"/>
        <w:spacing w:after="0" w:line="276" w:lineRule="auto"/>
        <w:tabs>
          <w:tab w:leader="none" w:pos="3700" w:val="left"/>
        </w:tabs>
        <w:numPr>
          <w:ilvl w:val="0"/>
          <w:numId w:val="19"/>
        </w:numPr>
        <w:rPr>
          <w:rFonts w:ascii="Arial" w:cs="Arial" w:eastAsia="Arial" w:hAnsi="Arial"/>
          <w:sz w:val="23"/>
          <w:szCs w:val="23"/>
          <w:color w:val="auto"/>
        </w:rPr>
      </w:pPr>
      <w:r>
        <w:rPr>
          <w:rFonts w:ascii="Arial" w:cs="Arial" w:eastAsia="Arial" w:hAnsi="Arial"/>
          <w:sz w:val="23"/>
          <w:szCs w:val="23"/>
          <w:color w:val="auto"/>
        </w:rPr>
        <w:t>Both companies well positioned to benefit from estimated long term demographic growth</w:t>
      </w:r>
    </w:p>
    <w:p>
      <w:pPr>
        <w:spacing w:after="0" w:line="45" w:lineRule="exact"/>
        <w:rPr>
          <w:rFonts w:ascii="Arial" w:cs="Arial" w:eastAsia="Arial" w:hAnsi="Arial"/>
          <w:sz w:val="23"/>
          <w:szCs w:val="23"/>
          <w:color w:val="auto"/>
        </w:rPr>
      </w:pPr>
    </w:p>
    <w:p>
      <w:pPr>
        <w:jc w:val="both"/>
        <w:ind w:left="3700" w:right="740" w:hanging="273"/>
        <w:spacing w:after="0" w:line="273" w:lineRule="auto"/>
        <w:tabs>
          <w:tab w:leader="none" w:pos="3700" w:val="left"/>
        </w:tabs>
        <w:numPr>
          <w:ilvl w:val="0"/>
          <w:numId w:val="19"/>
        </w:numPr>
        <w:rPr>
          <w:rFonts w:ascii="Arial" w:cs="Arial" w:eastAsia="Arial" w:hAnsi="Arial"/>
          <w:sz w:val="23"/>
          <w:szCs w:val="23"/>
          <w:color w:val="auto"/>
        </w:rPr>
      </w:pPr>
      <w:r>
        <w:rPr>
          <w:rFonts w:ascii="Arial" w:cs="Arial" w:eastAsia="Arial" w:hAnsi="Arial"/>
          <w:sz w:val="23"/>
          <w:szCs w:val="23"/>
          <w:color w:val="auto"/>
        </w:rPr>
        <w:t xml:space="preserve">Weighted average estimated population growth of 16.3% for Martin Marietta and 14.8% for Vulcan </w:t>
      </w:r>
      <w:r>
        <w:rPr>
          <w:rFonts w:ascii="Arial" w:cs="Arial" w:eastAsia="Arial" w:hAnsi="Arial"/>
          <w:sz w:val="33"/>
          <w:szCs w:val="33"/>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0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FFFFFF"/>
              </w:rPr>
              <w:t>VULCAN</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0" w:type="dxa"/>
            <w:vAlign w:val="bottom"/>
            <w:gridSpan w:val="2"/>
          </w:tcPr>
          <w:p>
            <w:pPr>
              <w:jc w:val="center"/>
              <w:ind w:right="928"/>
              <w:spacing w:after="0"/>
              <w:rPr>
                <w:sz w:val="20"/>
                <w:szCs w:val="20"/>
                <w:color w:val="auto"/>
              </w:rPr>
            </w:pPr>
            <w:r>
              <w:rPr>
                <w:rFonts w:ascii="Arial" w:cs="Arial" w:eastAsia="Arial" w:hAnsi="Arial"/>
                <w:sz w:val="18"/>
                <w:szCs w:val="18"/>
                <w:b w:val="1"/>
                <w:bCs w:val="1"/>
                <w:color w:val="FFFFFF"/>
                <w:w w:val="97"/>
              </w:rPr>
              <w:t>MARTIN MARIETTA</w:t>
            </w:r>
          </w:p>
        </w:tc>
        <w:tc>
          <w:tcPr>
            <w:tcW w:w="0" w:type="dxa"/>
            <w:vAlign w:val="bottom"/>
          </w:tcPr>
          <w:p>
            <w:pPr>
              <w:spacing w:after="0"/>
              <w:rPr>
                <w:sz w:val="1"/>
                <w:szCs w:val="1"/>
                <w:color w:val="auto"/>
              </w:rPr>
            </w:pPr>
          </w:p>
        </w:tc>
      </w:tr>
      <w:tr>
        <w:trPr>
          <w:trHeight w:val="454"/>
        </w:trPr>
        <w:tc>
          <w:tcPr>
            <w:tcW w:w="1040" w:type="dxa"/>
            <w:vAlign w:val="bottom"/>
          </w:tcPr>
          <w:p>
            <w:pPr>
              <w:spacing w:after="0"/>
              <w:rPr>
                <w:sz w:val="24"/>
                <w:szCs w:val="24"/>
                <w:color w:val="auto"/>
              </w:rPr>
            </w:pPr>
          </w:p>
        </w:tc>
        <w:tc>
          <w:tcPr>
            <w:tcW w:w="1940" w:type="dxa"/>
            <w:vAlign w:val="bottom"/>
            <w:gridSpan w:val="2"/>
            <w:vMerge w:val="restart"/>
          </w:tcPr>
          <w:p>
            <w:pPr>
              <w:jc w:val="right"/>
              <w:ind w:right="210"/>
              <w:spacing w:after="0"/>
              <w:rPr>
                <w:sz w:val="20"/>
                <w:szCs w:val="20"/>
                <w:color w:val="auto"/>
              </w:rPr>
            </w:pPr>
            <w:r>
              <w:rPr>
                <w:rFonts w:ascii="Arial" w:cs="Arial" w:eastAsia="Arial" w:hAnsi="Arial"/>
                <w:sz w:val="14"/>
                <w:szCs w:val="14"/>
                <w:b w:val="1"/>
                <w:bCs w:val="1"/>
                <w:color w:val="FFFFFF"/>
              </w:rPr>
              <w:t>% of 2011 Net</w:t>
            </w:r>
          </w:p>
        </w:tc>
        <w:tc>
          <w:tcPr>
            <w:tcW w:w="1640" w:type="dxa"/>
            <w:vAlign w:val="bottom"/>
          </w:tcPr>
          <w:p>
            <w:pPr>
              <w:jc w:val="center"/>
              <w:ind w:right="268"/>
              <w:spacing w:after="0"/>
              <w:rPr>
                <w:sz w:val="20"/>
                <w:szCs w:val="20"/>
                <w:color w:val="auto"/>
              </w:rPr>
            </w:pPr>
            <w:r>
              <w:rPr>
                <w:rFonts w:ascii="Arial" w:cs="Arial" w:eastAsia="Arial" w:hAnsi="Arial"/>
                <w:sz w:val="14"/>
                <w:szCs w:val="14"/>
                <w:b w:val="1"/>
                <w:bCs w:val="1"/>
                <w:color w:val="FFFFFF"/>
              </w:rPr>
              <w:t>2010 – 2020</w:t>
            </w:r>
          </w:p>
        </w:tc>
        <w:tc>
          <w:tcPr>
            <w:tcW w:w="1540" w:type="dxa"/>
            <w:vAlign w:val="bottom"/>
          </w:tcPr>
          <w:p>
            <w:pPr>
              <w:spacing w:after="0"/>
              <w:rPr>
                <w:sz w:val="24"/>
                <w:szCs w:val="24"/>
                <w:color w:val="auto"/>
              </w:rPr>
            </w:pPr>
          </w:p>
        </w:tc>
        <w:tc>
          <w:tcPr>
            <w:tcW w:w="158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FFFFFF"/>
              </w:rPr>
              <w:t>% of 2011 Net</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FFFFFF"/>
              </w:rPr>
              <w:t>2010 – 2020</w:t>
            </w:r>
          </w:p>
        </w:tc>
        <w:tc>
          <w:tcPr>
            <w:tcW w:w="0" w:type="dxa"/>
            <w:vAlign w:val="bottom"/>
          </w:tcPr>
          <w:p>
            <w:pPr>
              <w:spacing w:after="0"/>
              <w:rPr>
                <w:sz w:val="1"/>
                <w:szCs w:val="1"/>
                <w:color w:val="auto"/>
              </w:rPr>
            </w:pPr>
          </w:p>
        </w:tc>
      </w:tr>
      <w:tr>
        <w:trPr>
          <w:trHeight w:val="89"/>
        </w:trPr>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FFFFFF"/>
              </w:rPr>
              <w:t>Top States</w:t>
            </w:r>
          </w:p>
        </w:tc>
        <w:tc>
          <w:tcPr>
            <w:tcW w:w="1940" w:type="dxa"/>
            <w:vAlign w:val="bottom"/>
            <w:gridSpan w:val="2"/>
            <w:vMerge w:val="continue"/>
          </w:tcPr>
          <w:p>
            <w:pPr>
              <w:spacing w:after="0"/>
              <w:rPr>
                <w:sz w:val="7"/>
                <w:szCs w:val="7"/>
                <w:color w:val="auto"/>
              </w:rPr>
            </w:pPr>
          </w:p>
        </w:tc>
        <w:tc>
          <w:tcPr>
            <w:tcW w:w="164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FFFFFF"/>
              </w:rPr>
              <w:t>Estimated</w:t>
            </w:r>
          </w:p>
        </w:tc>
        <w:tc>
          <w:tcPr>
            <w:tcW w:w="1540" w:type="dxa"/>
            <w:vAlign w:val="bottom"/>
            <w:vMerge w:val="restart"/>
          </w:tcPr>
          <w:p>
            <w:pPr>
              <w:ind w:left="340"/>
              <w:spacing w:after="0"/>
              <w:rPr>
                <w:sz w:val="20"/>
                <w:szCs w:val="20"/>
                <w:color w:val="auto"/>
              </w:rPr>
            </w:pPr>
            <w:r>
              <w:rPr>
                <w:rFonts w:ascii="Arial" w:cs="Arial" w:eastAsia="Arial" w:hAnsi="Arial"/>
                <w:sz w:val="14"/>
                <w:szCs w:val="14"/>
                <w:b w:val="1"/>
                <w:bCs w:val="1"/>
                <w:color w:val="FFFFFF"/>
              </w:rPr>
              <w:t>Top States</w:t>
            </w:r>
          </w:p>
        </w:tc>
        <w:tc>
          <w:tcPr>
            <w:tcW w:w="1580" w:type="dxa"/>
            <w:vAlign w:val="bottom"/>
            <w:vMerge w:val="continue"/>
          </w:tcPr>
          <w:p>
            <w:pPr>
              <w:spacing w:after="0"/>
              <w:rPr>
                <w:sz w:val="7"/>
                <w:szCs w:val="7"/>
                <w:color w:val="auto"/>
              </w:rPr>
            </w:pPr>
          </w:p>
        </w:tc>
        <w:tc>
          <w:tcPr>
            <w:tcW w:w="14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FFFFFF"/>
              </w:rPr>
              <w:t>Estimated</w:t>
            </w:r>
          </w:p>
        </w:tc>
        <w:tc>
          <w:tcPr>
            <w:tcW w:w="0" w:type="dxa"/>
            <w:vAlign w:val="bottom"/>
          </w:tcPr>
          <w:p>
            <w:pPr>
              <w:spacing w:after="0"/>
              <w:rPr>
                <w:sz w:val="1"/>
                <w:szCs w:val="1"/>
                <w:color w:val="auto"/>
              </w:rPr>
            </w:pPr>
          </w:p>
        </w:tc>
      </w:tr>
      <w:tr>
        <w:trPr>
          <w:trHeight w:val="89"/>
        </w:trPr>
        <w:tc>
          <w:tcPr>
            <w:tcW w:w="1040" w:type="dxa"/>
            <w:vAlign w:val="bottom"/>
            <w:vMerge w:val="continue"/>
          </w:tcPr>
          <w:p>
            <w:pPr>
              <w:spacing w:after="0"/>
              <w:rPr>
                <w:sz w:val="7"/>
                <w:szCs w:val="7"/>
                <w:color w:val="auto"/>
              </w:rPr>
            </w:pPr>
          </w:p>
        </w:tc>
        <w:tc>
          <w:tcPr>
            <w:tcW w:w="1660" w:type="dxa"/>
            <w:vAlign w:val="bottom"/>
            <w:vMerge w:val="restart"/>
          </w:tcPr>
          <w:p>
            <w:pPr>
              <w:jc w:val="center"/>
              <w:ind w:left="729"/>
              <w:spacing w:after="0"/>
              <w:rPr>
                <w:sz w:val="20"/>
                <w:szCs w:val="20"/>
                <w:color w:val="auto"/>
              </w:rPr>
            </w:pPr>
            <w:r>
              <w:rPr>
                <w:rFonts w:ascii="Arial" w:cs="Arial" w:eastAsia="Arial" w:hAnsi="Arial"/>
                <w:sz w:val="14"/>
                <w:szCs w:val="14"/>
                <w:b w:val="1"/>
                <w:bCs w:val="1"/>
                <w:color w:val="FFFFFF"/>
              </w:rPr>
              <w:t>Sales</w:t>
            </w:r>
          </w:p>
        </w:tc>
        <w:tc>
          <w:tcPr>
            <w:tcW w:w="2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80" w:type="dxa"/>
            <w:vAlign w:val="bottom"/>
            <w:vMerge w:val="restart"/>
          </w:tcPr>
          <w:p>
            <w:pPr>
              <w:jc w:val="center"/>
              <w:ind w:left="326"/>
              <w:spacing w:after="0"/>
              <w:rPr>
                <w:sz w:val="20"/>
                <w:szCs w:val="20"/>
                <w:color w:val="auto"/>
              </w:rPr>
            </w:pPr>
            <w:r>
              <w:rPr>
                <w:rFonts w:ascii="Arial" w:cs="Arial" w:eastAsia="Arial" w:hAnsi="Arial"/>
                <w:sz w:val="14"/>
                <w:szCs w:val="14"/>
                <w:b w:val="1"/>
                <w:bCs w:val="1"/>
                <w:color w:val="FFFFFF"/>
              </w:rPr>
              <w:t>Sales</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vMerge w:val="restart"/>
          </w:tcPr>
          <w:p>
            <w:pPr>
              <w:jc w:val="center"/>
              <w:ind w:right="228"/>
              <w:spacing w:after="0"/>
              <w:rPr>
                <w:sz w:val="20"/>
                <w:szCs w:val="20"/>
                <w:color w:val="auto"/>
              </w:rPr>
            </w:pPr>
            <w:r>
              <w:rPr>
                <w:rFonts w:ascii="Arial" w:cs="Arial" w:eastAsia="Arial" w:hAnsi="Arial"/>
                <w:sz w:val="14"/>
                <w:szCs w:val="14"/>
                <w:b w:val="1"/>
                <w:bCs w:val="1"/>
                <w:color w:val="FFFFFF"/>
              </w:rPr>
              <w:t>Population Growth</w:t>
            </w:r>
          </w:p>
        </w:tc>
        <w:tc>
          <w:tcPr>
            <w:tcW w:w="154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4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FFFFFF"/>
              </w:rPr>
              <w:t>Population Growth</w:t>
            </w:r>
          </w:p>
        </w:tc>
        <w:tc>
          <w:tcPr>
            <w:tcW w:w="0" w:type="dxa"/>
            <w:vAlign w:val="bottom"/>
          </w:tcPr>
          <w:p>
            <w:pPr>
              <w:spacing w:after="0"/>
              <w:rPr>
                <w:sz w:val="1"/>
                <w:szCs w:val="1"/>
                <w:color w:val="auto"/>
              </w:rPr>
            </w:pPr>
          </w:p>
        </w:tc>
      </w:tr>
      <w:tr>
        <w:trPr>
          <w:trHeight w:val="89"/>
        </w:trPr>
        <w:tc>
          <w:tcPr>
            <w:tcW w:w="10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California</w:t>
            </w:r>
          </w:p>
        </w:tc>
        <w:tc>
          <w:tcPr>
            <w:tcW w:w="1660" w:type="dxa"/>
            <w:vAlign w:val="bottom"/>
          </w:tcPr>
          <w:p>
            <w:pPr>
              <w:jc w:val="center"/>
              <w:ind w:left="749"/>
              <w:spacing w:after="0"/>
              <w:rPr>
                <w:sz w:val="20"/>
                <w:szCs w:val="20"/>
                <w:color w:val="auto"/>
              </w:rPr>
            </w:pPr>
            <w:r>
              <w:rPr>
                <w:rFonts w:ascii="Arial" w:cs="Arial" w:eastAsia="Arial" w:hAnsi="Arial"/>
                <w:sz w:val="14"/>
                <w:szCs w:val="14"/>
                <w:color w:val="auto"/>
                <w:w w:val="99"/>
              </w:rPr>
              <w:t>21%</w:t>
            </w:r>
          </w:p>
        </w:tc>
        <w:tc>
          <w:tcPr>
            <w:tcW w:w="280" w:type="dxa"/>
            <w:vAlign w:val="bottom"/>
          </w:tcPr>
          <w:p>
            <w:pPr>
              <w:spacing w:after="0"/>
              <w:rPr>
                <w:sz w:val="24"/>
                <w:szCs w:val="24"/>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color w:val="auto"/>
              </w:rPr>
              <w:t>11.6%</w:t>
            </w:r>
          </w:p>
        </w:tc>
        <w:tc>
          <w:tcPr>
            <w:tcW w:w="1540" w:type="dxa"/>
            <w:vAlign w:val="bottom"/>
          </w:tcPr>
          <w:p>
            <w:pPr>
              <w:ind w:left="340"/>
              <w:spacing w:after="0"/>
              <w:rPr>
                <w:sz w:val="20"/>
                <w:szCs w:val="20"/>
                <w:color w:val="auto"/>
              </w:rPr>
            </w:pPr>
            <w:r>
              <w:rPr>
                <w:rFonts w:ascii="Arial" w:cs="Arial" w:eastAsia="Arial" w:hAnsi="Arial"/>
                <w:sz w:val="14"/>
                <w:szCs w:val="14"/>
                <w:b w:val="1"/>
                <w:bCs w:val="1"/>
                <w:color w:val="auto"/>
              </w:rPr>
              <w:t>Texas</w:t>
            </w:r>
          </w:p>
        </w:tc>
        <w:tc>
          <w:tcPr>
            <w:tcW w:w="1580" w:type="dxa"/>
            <w:vAlign w:val="bottom"/>
          </w:tcPr>
          <w:p>
            <w:pPr>
              <w:jc w:val="center"/>
              <w:ind w:left="346"/>
              <w:spacing w:after="0"/>
              <w:rPr>
                <w:sz w:val="20"/>
                <w:szCs w:val="20"/>
                <w:color w:val="auto"/>
              </w:rPr>
            </w:pPr>
            <w:r>
              <w:rPr>
                <w:rFonts w:ascii="Arial" w:cs="Arial" w:eastAsia="Arial" w:hAnsi="Arial"/>
                <w:sz w:val="14"/>
                <w:szCs w:val="14"/>
                <w:color w:val="auto"/>
                <w:w w:val="99"/>
              </w:rPr>
              <w:t>19%</w:t>
            </w:r>
          </w:p>
        </w:tc>
        <w:tc>
          <w:tcPr>
            <w:tcW w:w="1420" w:type="dxa"/>
            <w:vAlign w:val="bottom"/>
          </w:tcPr>
          <w:p>
            <w:pPr>
              <w:jc w:val="center"/>
              <w:ind w:left="8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66"/>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Virginia</w:t>
            </w:r>
          </w:p>
        </w:tc>
        <w:tc>
          <w:tcPr>
            <w:tcW w:w="1660" w:type="dxa"/>
            <w:vAlign w:val="bottom"/>
          </w:tcPr>
          <w:p>
            <w:pPr>
              <w:jc w:val="center"/>
              <w:ind w:left="749"/>
              <w:spacing w:after="0"/>
              <w:rPr>
                <w:sz w:val="20"/>
                <w:szCs w:val="20"/>
                <w:color w:val="auto"/>
              </w:rPr>
            </w:pPr>
            <w:r>
              <w:rPr>
                <w:rFonts w:ascii="Arial" w:cs="Arial" w:eastAsia="Arial" w:hAnsi="Arial"/>
                <w:sz w:val="14"/>
                <w:szCs w:val="14"/>
                <w:color w:val="auto"/>
                <w:w w:val="99"/>
              </w:rPr>
              <w:t>13%</w:t>
            </w:r>
          </w:p>
        </w:tc>
        <w:tc>
          <w:tcPr>
            <w:tcW w:w="280" w:type="dxa"/>
            <w:vAlign w:val="bottom"/>
          </w:tcPr>
          <w:p>
            <w:pPr>
              <w:spacing w:after="0"/>
              <w:rPr>
                <w:sz w:val="23"/>
                <w:szCs w:val="23"/>
                <w:color w:val="auto"/>
              </w:rPr>
            </w:pPr>
          </w:p>
        </w:tc>
        <w:tc>
          <w:tcPr>
            <w:tcW w:w="1640" w:type="dxa"/>
            <w:vAlign w:val="bottom"/>
          </w:tcPr>
          <w:p>
            <w:pPr>
              <w:jc w:val="center"/>
              <w:ind w:right="208"/>
              <w:spacing w:after="0"/>
              <w:rPr>
                <w:sz w:val="20"/>
                <w:szCs w:val="20"/>
                <w:color w:val="auto"/>
              </w:rPr>
            </w:pPr>
            <w:r>
              <w:rPr>
                <w:rFonts w:ascii="Arial" w:cs="Arial" w:eastAsia="Arial" w:hAnsi="Arial"/>
                <w:sz w:val="14"/>
                <w:szCs w:val="14"/>
                <w:color w:val="auto"/>
              </w:rPr>
              <w:t>9.9%</w:t>
            </w:r>
          </w:p>
        </w:tc>
        <w:tc>
          <w:tcPr>
            <w:tcW w:w="1540" w:type="dxa"/>
            <w:vAlign w:val="bottom"/>
          </w:tcPr>
          <w:p>
            <w:pPr>
              <w:ind w:left="340"/>
              <w:spacing w:after="0"/>
              <w:rPr>
                <w:sz w:val="20"/>
                <w:szCs w:val="20"/>
                <w:color w:val="auto"/>
              </w:rPr>
            </w:pPr>
            <w:r>
              <w:rPr>
                <w:rFonts w:ascii="Arial" w:cs="Arial" w:eastAsia="Arial" w:hAnsi="Arial"/>
                <w:sz w:val="14"/>
                <w:szCs w:val="14"/>
                <w:b w:val="1"/>
                <w:bCs w:val="1"/>
                <w:color w:val="auto"/>
              </w:rPr>
              <w:t>North Carolina</w:t>
            </w:r>
          </w:p>
        </w:tc>
        <w:tc>
          <w:tcPr>
            <w:tcW w:w="1580" w:type="dxa"/>
            <w:vAlign w:val="bottom"/>
          </w:tcPr>
          <w:p>
            <w:pPr>
              <w:jc w:val="center"/>
              <w:ind w:left="346"/>
              <w:spacing w:after="0"/>
              <w:rPr>
                <w:sz w:val="20"/>
                <w:szCs w:val="20"/>
                <w:color w:val="auto"/>
              </w:rPr>
            </w:pPr>
            <w:r>
              <w:rPr>
                <w:rFonts w:ascii="Arial" w:cs="Arial" w:eastAsia="Arial" w:hAnsi="Arial"/>
                <w:sz w:val="14"/>
                <w:szCs w:val="14"/>
                <w:color w:val="auto"/>
                <w:w w:val="99"/>
              </w:rPr>
              <w:t>17%</w:t>
            </w:r>
          </w:p>
        </w:tc>
        <w:tc>
          <w:tcPr>
            <w:tcW w:w="1420" w:type="dxa"/>
            <w:vAlign w:val="bottom"/>
          </w:tcPr>
          <w:p>
            <w:pPr>
              <w:jc w:val="center"/>
              <w:ind w:left="8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55"/>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Texas</w:t>
            </w:r>
          </w:p>
        </w:tc>
        <w:tc>
          <w:tcPr>
            <w:tcW w:w="1660" w:type="dxa"/>
            <w:vAlign w:val="bottom"/>
          </w:tcPr>
          <w:p>
            <w:pPr>
              <w:jc w:val="center"/>
              <w:ind w:left="749"/>
              <w:spacing w:after="0"/>
              <w:rPr>
                <w:sz w:val="20"/>
                <w:szCs w:val="20"/>
                <w:color w:val="auto"/>
              </w:rPr>
            </w:pPr>
            <w:r>
              <w:rPr>
                <w:rFonts w:ascii="Arial" w:cs="Arial" w:eastAsia="Arial" w:hAnsi="Arial"/>
                <w:sz w:val="14"/>
                <w:szCs w:val="14"/>
                <w:color w:val="auto"/>
                <w:w w:val="98"/>
              </w:rPr>
              <w:t>9%</w:t>
            </w:r>
          </w:p>
        </w:tc>
        <w:tc>
          <w:tcPr>
            <w:tcW w:w="280" w:type="dxa"/>
            <w:vAlign w:val="bottom"/>
          </w:tcPr>
          <w:p>
            <w:pPr>
              <w:spacing w:after="0"/>
              <w:rPr>
                <w:sz w:val="22"/>
                <w:szCs w:val="22"/>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color w:val="auto"/>
              </w:rPr>
              <w:t>19.2%</w:t>
            </w:r>
          </w:p>
        </w:tc>
        <w:tc>
          <w:tcPr>
            <w:tcW w:w="1540" w:type="dxa"/>
            <w:vAlign w:val="bottom"/>
          </w:tcPr>
          <w:p>
            <w:pPr>
              <w:ind w:left="340"/>
              <w:spacing w:after="0"/>
              <w:rPr>
                <w:sz w:val="20"/>
                <w:szCs w:val="20"/>
                <w:color w:val="auto"/>
              </w:rPr>
            </w:pPr>
            <w:r>
              <w:rPr>
                <w:rFonts w:ascii="Arial" w:cs="Arial" w:eastAsia="Arial" w:hAnsi="Arial"/>
                <w:sz w:val="14"/>
                <w:szCs w:val="14"/>
                <w:b w:val="1"/>
                <w:bCs w:val="1"/>
                <w:color w:val="auto"/>
              </w:rPr>
              <w:t>Iowa</w:t>
            </w:r>
          </w:p>
        </w:tc>
        <w:tc>
          <w:tcPr>
            <w:tcW w:w="1580" w:type="dxa"/>
            <w:vAlign w:val="bottom"/>
          </w:tcPr>
          <w:p>
            <w:pPr>
              <w:jc w:val="center"/>
              <w:ind w:left="346"/>
              <w:spacing w:after="0"/>
              <w:rPr>
                <w:sz w:val="20"/>
                <w:szCs w:val="20"/>
                <w:color w:val="auto"/>
              </w:rPr>
            </w:pPr>
            <w:r>
              <w:rPr>
                <w:rFonts w:ascii="Arial" w:cs="Arial" w:eastAsia="Arial" w:hAnsi="Arial"/>
                <w:sz w:val="14"/>
                <w:szCs w:val="14"/>
                <w:color w:val="auto"/>
                <w:w w:val="98"/>
              </w:rPr>
              <w:t>8%</w:t>
            </w:r>
          </w:p>
        </w:tc>
        <w:tc>
          <w:tcPr>
            <w:tcW w:w="1420" w:type="dxa"/>
            <w:vAlign w:val="bottom"/>
          </w:tcPr>
          <w:p>
            <w:pPr>
              <w:jc w:val="center"/>
              <w:ind w:left="10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6"/>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Florida</w:t>
            </w:r>
          </w:p>
        </w:tc>
        <w:tc>
          <w:tcPr>
            <w:tcW w:w="1660" w:type="dxa"/>
            <w:vAlign w:val="bottom"/>
          </w:tcPr>
          <w:p>
            <w:pPr>
              <w:jc w:val="center"/>
              <w:ind w:left="749"/>
              <w:spacing w:after="0"/>
              <w:rPr>
                <w:sz w:val="20"/>
                <w:szCs w:val="20"/>
                <w:color w:val="auto"/>
              </w:rPr>
            </w:pPr>
            <w:r>
              <w:rPr>
                <w:rFonts w:ascii="Arial" w:cs="Arial" w:eastAsia="Arial" w:hAnsi="Arial"/>
                <w:sz w:val="14"/>
                <w:szCs w:val="14"/>
                <w:color w:val="auto"/>
                <w:w w:val="98"/>
              </w:rPr>
              <w:t>9%</w:t>
            </w:r>
          </w:p>
        </w:tc>
        <w:tc>
          <w:tcPr>
            <w:tcW w:w="280" w:type="dxa"/>
            <w:vAlign w:val="bottom"/>
          </w:tcPr>
          <w:p>
            <w:pPr>
              <w:spacing w:after="0"/>
              <w:rPr>
                <w:sz w:val="23"/>
                <w:szCs w:val="23"/>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color w:val="auto"/>
              </w:rPr>
              <w:t>22.4%</w:t>
            </w:r>
          </w:p>
        </w:tc>
        <w:tc>
          <w:tcPr>
            <w:tcW w:w="1540" w:type="dxa"/>
            <w:vAlign w:val="bottom"/>
          </w:tcPr>
          <w:p>
            <w:pPr>
              <w:ind w:left="340"/>
              <w:spacing w:after="0"/>
              <w:rPr>
                <w:sz w:val="20"/>
                <w:szCs w:val="20"/>
                <w:color w:val="auto"/>
              </w:rPr>
            </w:pPr>
            <w:r>
              <w:rPr>
                <w:rFonts w:ascii="Arial" w:cs="Arial" w:eastAsia="Arial" w:hAnsi="Arial"/>
                <w:sz w:val="14"/>
                <w:szCs w:val="14"/>
                <w:b w:val="1"/>
                <w:bCs w:val="1"/>
                <w:color w:val="auto"/>
              </w:rPr>
              <w:t>Georgia</w:t>
            </w:r>
          </w:p>
        </w:tc>
        <w:tc>
          <w:tcPr>
            <w:tcW w:w="1580" w:type="dxa"/>
            <w:vAlign w:val="bottom"/>
          </w:tcPr>
          <w:p>
            <w:pPr>
              <w:jc w:val="center"/>
              <w:ind w:left="346"/>
              <w:spacing w:after="0"/>
              <w:rPr>
                <w:sz w:val="20"/>
                <w:szCs w:val="20"/>
                <w:color w:val="auto"/>
              </w:rPr>
            </w:pPr>
            <w:r>
              <w:rPr>
                <w:rFonts w:ascii="Arial" w:cs="Arial" w:eastAsia="Arial" w:hAnsi="Arial"/>
                <w:sz w:val="14"/>
                <w:szCs w:val="14"/>
                <w:color w:val="auto"/>
                <w:w w:val="98"/>
              </w:rPr>
              <w:t>8%</w:t>
            </w:r>
          </w:p>
        </w:tc>
        <w:tc>
          <w:tcPr>
            <w:tcW w:w="1420" w:type="dxa"/>
            <w:vAlign w:val="bottom"/>
          </w:tcPr>
          <w:p>
            <w:pPr>
              <w:jc w:val="center"/>
              <w:ind w:left="8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55"/>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Georgia</w:t>
            </w:r>
          </w:p>
        </w:tc>
        <w:tc>
          <w:tcPr>
            <w:tcW w:w="1660" w:type="dxa"/>
            <w:vAlign w:val="bottom"/>
          </w:tcPr>
          <w:p>
            <w:pPr>
              <w:jc w:val="center"/>
              <w:ind w:left="749"/>
              <w:spacing w:after="0"/>
              <w:rPr>
                <w:sz w:val="20"/>
                <w:szCs w:val="20"/>
                <w:color w:val="auto"/>
              </w:rPr>
            </w:pPr>
            <w:r>
              <w:rPr>
                <w:rFonts w:ascii="Arial" w:cs="Arial" w:eastAsia="Arial" w:hAnsi="Arial"/>
                <w:sz w:val="14"/>
                <w:szCs w:val="14"/>
                <w:color w:val="auto"/>
                <w:w w:val="98"/>
              </w:rPr>
              <w:t>7%</w:t>
            </w:r>
          </w:p>
        </w:tc>
        <w:tc>
          <w:tcPr>
            <w:tcW w:w="280" w:type="dxa"/>
            <w:vAlign w:val="bottom"/>
          </w:tcPr>
          <w:p>
            <w:pPr>
              <w:spacing w:after="0"/>
              <w:rPr>
                <w:sz w:val="22"/>
                <w:szCs w:val="22"/>
                <w:color w:val="auto"/>
              </w:rPr>
            </w:pPr>
          </w:p>
        </w:tc>
        <w:tc>
          <w:tcPr>
            <w:tcW w:w="1640" w:type="dxa"/>
            <w:vAlign w:val="bottom"/>
          </w:tcPr>
          <w:p>
            <w:pPr>
              <w:jc w:val="center"/>
              <w:ind w:right="228"/>
              <w:spacing w:after="0"/>
              <w:rPr>
                <w:sz w:val="20"/>
                <w:szCs w:val="20"/>
                <w:color w:val="auto"/>
              </w:rPr>
            </w:pPr>
            <w:r>
              <w:rPr>
                <w:rFonts w:ascii="Arial" w:cs="Arial" w:eastAsia="Arial" w:hAnsi="Arial"/>
                <w:sz w:val="14"/>
                <w:szCs w:val="14"/>
                <w:color w:val="auto"/>
              </w:rPr>
              <w:t>18.1%</w:t>
            </w:r>
          </w:p>
        </w:tc>
        <w:tc>
          <w:tcPr>
            <w:tcW w:w="1540" w:type="dxa"/>
            <w:vAlign w:val="bottom"/>
          </w:tcPr>
          <w:p>
            <w:pPr>
              <w:ind w:left="340"/>
              <w:spacing w:after="0"/>
              <w:rPr>
                <w:sz w:val="20"/>
                <w:szCs w:val="20"/>
                <w:color w:val="auto"/>
              </w:rPr>
            </w:pPr>
            <w:r>
              <w:rPr>
                <w:rFonts w:ascii="Arial" w:cs="Arial" w:eastAsia="Arial" w:hAnsi="Arial"/>
                <w:sz w:val="14"/>
                <w:szCs w:val="14"/>
                <w:b w:val="1"/>
                <w:bCs w:val="1"/>
                <w:color w:val="auto"/>
              </w:rPr>
              <w:t>South Carolina</w:t>
            </w:r>
          </w:p>
        </w:tc>
        <w:tc>
          <w:tcPr>
            <w:tcW w:w="1580" w:type="dxa"/>
            <w:vAlign w:val="bottom"/>
          </w:tcPr>
          <w:p>
            <w:pPr>
              <w:jc w:val="center"/>
              <w:ind w:left="346"/>
              <w:spacing w:after="0"/>
              <w:rPr>
                <w:sz w:val="20"/>
                <w:szCs w:val="20"/>
                <w:color w:val="auto"/>
              </w:rPr>
            </w:pPr>
            <w:r>
              <w:rPr>
                <w:rFonts w:ascii="Arial" w:cs="Arial" w:eastAsia="Arial" w:hAnsi="Arial"/>
                <w:sz w:val="14"/>
                <w:szCs w:val="14"/>
                <w:color w:val="auto"/>
                <w:w w:val="98"/>
              </w:rPr>
              <w:t>5%</w:t>
            </w:r>
          </w:p>
        </w:tc>
        <w:tc>
          <w:tcPr>
            <w:tcW w:w="1420" w:type="dxa"/>
            <w:vAlign w:val="bottom"/>
          </w:tcPr>
          <w:p>
            <w:pPr>
              <w:jc w:val="center"/>
              <w:ind w:left="8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359"/>
        </w:trPr>
        <w:tc>
          <w:tcPr>
            <w:tcW w:w="1040" w:type="dxa"/>
            <w:vAlign w:val="bottom"/>
          </w:tcPr>
          <w:p>
            <w:pPr>
              <w:ind w:left="200"/>
              <w:spacing w:after="0"/>
              <w:rPr>
                <w:sz w:val="20"/>
                <w:szCs w:val="20"/>
                <w:color w:val="auto"/>
              </w:rPr>
            </w:pPr>
            <w:r>
              <w:rPr>
                <w:rFonts w:ascii="Arial" w:cs="Arial" w:eastAsia="Arial" w:hAnsi="Arial"/>
                <w:sz w:val="14"/>
                <w:szCs w:val="14"/>
                <w:b w:val="1"/>
                <w:bCs w:val="1"/>
                <w:color w:val="FFFFFF"/>
                <w:w w:val="98"/>
              </w:rPr>
              <w:t xml:space="preserve">Top 5 total </w:t>
            </w:r>
            <w:r>
              <w:rPr>
                <w:rFonts w:ascii="Arial" w:cs="Arial" w:eastAsia="Arial" w:hAnsi="Arial"/>
                <w:sz w:val="24"/>
                <w:szCs w:val="24"/>
                <w:b w:val="1"/>
                <w:bCs w:val="1"/>
                <w:color w:val="FFFFFF"/>
                <w:w w:val="98"/>
                <w:vertAlign w:val="superscript"/>
              </w:rPr>
              <w:t>1</w:t>
            </w:r>
          </w:p>
        </w:tc>
        <w:tc>
          <w:tcPr>
            <w:tcW w:w="1660" w:type="dxa"/>
            <w:vAlign w:val="bottom"/>
          </w:tcPr>
          <w:p>
            <w:pPr>
              <w:jc w:val="right"/>
              <w:ind w:right="289"/>
              <w:spacing w:after="0"/>
              <w:rPr>
                <w:sz w:val="20"/>
                <w:szCs w:val="20"/>
                <w:color w:val="auto"/>
              </w:rPr>
            </w:pPr>
            <w:r>
              <w:rPr>
                <w:rFonts w:ascii="Arial" w:cs="Arial" w:eastAsia="Arial" w:hAnsi="Arial"/>
                <w:sz w:val="14"/>
                <w:szCs w:val="14"/>
                <w:b w:val="1"/>
                <w:bCs w:val="1"/>
                <w:color w:val="FFFFFF"/>
              </w:rPr>
              <w:t>59%</w:t>
            </w:r>
          </w:p>
        </w:tc>
        <w:tc>
          <w:tcPr>
            <w:tcW w:w="280" w:type="dxa"/>
            <w:vAlign w:val="bottom"/>
          </w:tcPr>
          <w:p>
            <w:pPr>
              <w:spacing w:after="0"/>
              <w:rPr>
                <w:sz w:val="24"/>
                <w:szCs w:val="24"/>
                <w:color w:val="auto"/>
              </w:rPr>
            </w:pPr>
          </w:p>
        </w:tc>
        <w:tc>
          <w:tcPr>
            <w:tcW w:w="1640" w:type="dxa"/>
            <w:vAlign w:val="bottom"/>
          </w:tcPr>
          <w:p>
            <w:pPr>
              <w:jc w:val="center"/>
              <w:ind w:right="248"/>
              <w:spacing w:after="0"/>
              <w:rPr>
                <w:sz w:val="20"/>
                <w:szCs w:val="20"/>
                <w:color w:val="auto"/>
              </w:rPr>
            </w:pPr>
            <w:r>
              <w:rPr>
                <w:rFonts w:ascii="Arial" w:cs="Arial" w:eastAsia="Arial" w:hAnsi="Arial"/>
                <w:sz w:val="14"/>
                <w:szCs w:val="14"/>
                <w:b w:val="1"/>
                <w:bCs w:val="1"/>
                <w:color w:val="FFFFFF"/>
              </w:rPr>
              <w:t>14.8%</w:t>
            </w:r>
          </w:p>
        </w:tc>
        <w:tc>
          <w:tcPr>
            <w:tcW w:w="1540" w:type="dxa"/>
            <w:vAlign w:val="bottom"/>
          </w:tcPr>
          <w:p>
            <w:pPr>
              <w:ind w:left="340"/>
              <w:spacing w:after="0"/>
              <w:rPr>
                <w:sz w:val="20"/>
                <w:szCs w:val="20"/>
                <w:color w:val="auto"/>
              </w:rPr>
            </w:pPr>
            <w:r>
              <w:rPr>
                <w:rFonts w:ascii="Arial" w:cs="Arial" w:eastAsia="Arial" w:hAnsi="Arial"/>
                <w:sz w:val="14"/>
                <w:szCs w:val="14"/>
                <w:b w:val="1"/>
                <w:bCs w:val="1"/>
                <w:color w:val="FFFFFF"/>
              </w:rPr>
              <w:t xml:space="preserve">Top 5 total </w:t>
            </w:r>
            <w:r>
              <w:rPr>
                <w:rFonts w:ascii="Arial" w:cs="Arial" w:eastAsia="Arial" w:hAnsi="Arial"/>
                <w:sz w:val="24"/>
                <w:szCs w:val="24"/>
                <w:b w:val="1"/>
                <w:bCs w:val="1"/>
                <w:color w:val="FFFFFF"/>
                <w:vertAlign w:val="superscript"/>
              </w:rPr>
              <w:t>1</w:t>
            </w:r>
          </w:p>
        </w:tc>
        <w:tc>
          <w:tcPr>
            <w:tcW w:w="1580" w:type="dxa"/>
            <w:vAlign w:val="bottom"/>
          </w:tcPr>
          <w:p>
            <w:pPr>
              <w:jc w:val="right"/>
              <w:ind w:right="446"/>
              <w:spacing w:after="0"/>
              <w:rPr>
                <w:sz w:val="20"/>
                <w:szCs w:val="20"/>
                <w:color w:val="auto"/>
              </w:rPr>
            </w:pPr>
            <w:r>
              <w:rPr>
                <w:rFonts w:ascii="Arial" w:cs="Arial" w:eastAsia="Arial" w:hAnsi="Arial"/>
                <w:sz w:val="14"/>
                <w:szCs w:val="14"/>
                <w:b w:val="1"/>
                <w:bCs w:val="1"/>
                <w:color w:val="FFFFFF"/>
              </w:rPr>
              <w:t>57%</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FFFFFF"/>
              </w:rPr>
              <w:t>16.3%</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20"/>
                <w:szCs w:val="20"/>
                <w:color w:val="auto"/>
              </w:rPr>
            </w:pPr>
            <w:r>
              <w:rPr>
                <w:rFonts w:ascii="Arial" w:cs="Arial" w:eastAsia="Arial" w:hAnsi="Arial"/>
                <w:sz w:val="10"/>
                <w:szCs w:val="10"/>
                <w:color w:val="auto"/>
              </w:rPr>
              <w:t>Note 1:  Top 5 states’</w:t>
            </w:r>
          </w:p>
        </w:tc>
        <w:tc>
          <w:tcPr>
            <w:tcW w:w="1940" w:type="dxa"/>
            <w:vAlign w:val="bottom"/>
            <w:gridSpan w:val="2"/>
          </w:tcPr>
          <w:p>
            <w:pPr>
              <w:jc w:val="right"/>
              <w:spacing w:after="0"/>
              <w:rPr>
                <w:sz w:val="20"/>
                <w:szCs w:val="20"/>
                <w:color w:val="auto"/>
              </w:rPr>
            </w:pPr>
            <w:r>
              <w:rPr>
                <w:rFonts w:ascii="Arial" w:cs="Arial" w:eastAsia="Arial" w:hAnsi="Arial"/>
                <w:sz w:val="10"/>
                <w:szCs w:val="10"/>
                <w:color w:val="auto"/>
                <w:w w:val="99"/>
              </w:rPr>
              <w:t>population growth weighted by 2011 sales.</w:t>
            </w: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00" w:type="dxa"/>
            <w:vAlign w:val="bottom"/>
            <w:gridSpan w:val="2"/>
          </w:tcPr>
          <w:p>
            <w:pPr>
              <w:spacing w:after="0"/>
              <w:rPr>
                <w:sz w:val="20"/>
                <w:szCs w:val="20"/>
                <w:color w:val="auto"/>
              </w:rPr>
            </w:pPr>
            <w:r>
              <w:rPr>
                <w:rFonts w:ascii="Arial" w:cs="Arial" w:eastAsia="Arial" w:hAnsi="Arial"/>
                <w:sz w:val="10"/>
                <w:szCs w:val="10"/>
                <w:color w:val="auto"/>
              </w:rPr>
              <w:t>Source: Company filings, Moody’s 2010 – 2020 population</w:t>
            </w:r>
          </w:p>
        </w:tc>
        <w:tc>
          <w:tcPr>
            <w:tcW w:w="1920" w:type="dxa"/>
            <w:vAlign w:val="bottom"/>
            <w:gridSpan w:val="2"/>
          </w:tcPr>
          <w:p>
            <w:pPr>
              <w:spacing w:after="0"/>
              <w:rPr>
                <w:sz w:val="20"/>
                <w:szCs w:val="20"/>
                <w:color w:val="auto"/>
              </w:rPr>
            </w:pPr>
            <w:r>
              <w:rPr>
                <w:rFonts w:ascii="Arial" w:cs="Arial" w:eastAsia="Arial" w:hAnsi="Arial"/>
                <w:sz w:val="10"/>
                <w:szCs w:val="10"/>
                <w:color w:val="auto"/>
              </w:rPr>
              <w:t>projections  (April 2012)</w:t>
            </w:r>
          </w:p>
        </w:tc>
        <w:tc>
          <w:tcPr>
            <w:tcW w:w="15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22</w:t>
      </w:r>
    </w:p>
    <w:p>
      <w:pPr>
        <w:sectPr>
          <w:pgSz w:w="11900" w:h="16838" w:orient="portrait"/>
          <w:cols w:equalWidth="0" w:num="1">
            <w:col w:w="9560"/>
          </w:cols>
          <w:pgMar w:left="1280" w:top="689" w:right="1059" w:bottom="1440" w:gutter="0" w:footer="0" w:header="0"/>
        </w:sectPr>
      </w:pPr>
    </w:p>
    <w:bookmarkStart w:id="23" w:name="page24"/>
    <w:bookmarkEnd w:id="23"/>
    <w:p>
      <w:pPr>
        <w:ind w:left="480" w:hanging="385"/>
        <w:spacing w:after="0"/>
        <w:tabs>
          <w:tab w:leader="none" w:pos="480" w:val="left"/>
        </w:tabs>
        <w:numPr>
          <w:ilvl w:val="0"/>
          <w:numId w:val="20"/>
        </w:numPr>
        <w:rPr>
          <w:rFonts w:ascii="Arial" w:cs="Arial" w:eastAsia="Arial" w:hAnsi="Arial"/>
          <w:sz w:val="53"/>
          <w:szCs w:val="53"/>
          <w:color w:val="FFFFFF"/>
          <w:vertAlign w:val="subscript"/>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Flawed Comparisons (continued)</w:t>
      </w:r>
    </w:p>
    <w:p>
      <w:pPr>
        <w:spacing w:after="0" w:line="200" w:lineRule="exact"/>
        <w:rPr>
          <w:sz w:val="20"/>
          <w:szCs w:val="20"/>
          <w:color w:val="auto"/>
        </w:rPr>
      </w:pPr>
    </w:p>
    <w:p>
      <w:pPr>
        <w:spacing w:after="0" w:line="314" w:lineRule="exact"/>
        <w:rPr>
          <w:sz w:val="20"/>
          <w:szCs w:val="20"/>
          <w:color w:val="auto"/>
        </w:rPr>
      </w:pPr>
    </w:p>
    <w:p>
      <w:pPr>
        <w:ind w:left="840"/>
        <w:spacing w:after="0"/>
        <w:tabs>
          <w:tab w:leader="none" w:pos="4880" w:val="left"/>
        </w:tabs>
        <w:rPr>
          <w:sz w:val="20"/>
          <w:szCs w:val="20"/>
          <w:color w:val="auto"/>
        </w:rPr>
      </w:pPr>
      <w:r>
        <w:rPr>
          <w:rFonts w:ascii="Arial" w:cs="Arial" w:eastAsia="Arial" w:hAnsi="Arial"/>
          <w:sz w:val="21"/>
          <w:szCs w:val="21"/>
          <w:b w:val="1"/>
          <w:bCs w:val="1"/>
          <w:color w:val="FFFFFF"/>
        </w:rPr>
        <w:t>VULCAN CLAIM</w:t>
      </w:r>
      <w:r>
        <w:rPr>
          <w:sz w:val="20"/>
          <w:szCs w:val="20"/>
          <w:color w:val="auto"/>
        </w:rPr>
        <w:tab/>
      </w:r>
      <w:r>
        <w:rPr>
          <w:rFonts w:ascii="Arial" w:cs="Arial" w:eastAsia="Arial" w:hAnsi="Arial"/>
          <w:sz w:val="20"/>
          <w:szCs w:val="20"/>
          <w:b w:val="1"/>
          <w:bCs w:val="1"/>
          <w:color w:val="FFFFFF"/>
        </w:rPr>
        <w:t>MARTIN MARIETTA’S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3760" w:right="400" w:hanging="362"/>
        <w:spacing w:after="0" w:line="252" w:lineRule="auto"/>
        <w:tabs>
          <w:tab w:leader="none" w:pos="3760" w:val="left"/>
        </w:tabs>
        <w:numPr>
          <w:ilvl w:val="0"/>
          <w:numId w:val="21"/>
        </w:numPr>
        <w:rPr>
          <w:rFonts w:ascii="Arial" w:cs="Arial" w:eastAsia="Arial" w:hAnsi="Arial"/>
          <w:sz w:val="21"/>
          <w:szCs w:val="21"/>
          <w:color w:val="auto"/>
        </w:rPr>
      </w:pPr>
      <w:r>
        <w:rPr>
          <w:rFonts w:ascii="Arial" w:cs="Arial" w:eastAsia="Arial" w:hAnsi="Arial"/>
          <w:sz w:val="21"/>
          <w:szCs w:val="21"/>
          <w:color w:val="auto"/>
        </w:rPr>
        <w:t>For a meaningful comparison, SG&amp;A should be evaluated as a percentage of sales rather than on an absolute basis</w:t>
      </w:r>
    </w:p>
    <w:p>
      <w:pPr>
        <w:spacing w:after="0" w:line="113" w:lineRule="exact"/>
        <w:rPr>
          <w:rFonts w:ascii="Arial" w:cs="Arial" w:eastAsia="Arial" w:hAnsi="Arial"/>
          <w:sz w:val="21"/>
          <w:szCs w:val="21"/>
          <w:color w:val="auto"/>
        </w:rPr>
      </w:pPr>
    </w:p>
    <w:p>
      <w:pPr>
        <w:ind w:left="3760" w:right="760" w:hanging="362"/>
        <w:spacing w:after="0" w:line="182" w:lineRule="auto"/>
        <w:tabs>
          <w:tab w:leader="none" w:pos="3760" w:val="left"/>
        </w:tabs>
        <w:numPr>
          <w:ilvl w:val="0"/>
          <w:numId w:val="21"/>
        </w:numPr>
        <w:rPr>
          <w:rFonts w:ascii="Arial" w:cs="Arial" w:eastAsia="Arial" w:hAnsi="Arial"/>
          <w:sz w:val="38"/>
          <w:szCs w:val="38"/>
          <w:color w:val="auto"/>
          <w:vertAlign w:val="subscript"/>
        </w:rPr>
      </w:pPr>
      <w:r>
        <w:rPr>
          <w:rFonts w:ascii="Arial" w:cs="Arial" w:eastAsia="Arial" w:hAnsi="Arial"/>
          <w:sz w:val="20"/>
          <w:szCs w:val="20"/>
          <w:color w:val="auto"/>
        </w:rPr>
        <w:t>Vulcan’s EBITDA per employee has been significantly below Martin Marietta’s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3760" w:type="dxa"/>
            <w:vAlign w:val="bottom"/>
            <w:gridSpan w:val="2"/>
            <w:vMerge w:val="restart"/>
          </w:tcPr>
          <w:p>
            <w:pPr>
              <w:jc w:val="right"/>
              <w:ind w:right="988"/>
              <w:spacing w:after="0"/>
              <w:rPr>
                <w:sz w:val="20"/>
                <w:szCs w:val="20"/>
                <w:color w:val="auto"/>
              </w:rPr>
            </w:pPr>
            <w:r>
              <w:rPr>
                <w:rFonts w:ascii="Arial" w:cs="Arial" w:eastAsia="Arial" w:hAnsi="Arial"/>
                <w:sz w:val="21"/>
                <w:szCs w:val="21"/>
                <w:b w:val="1"/>
                <w:bCs w:val="1"/>
                <w:color w:val="004E7A"/>
              </w:rPr>
              <w:t>Adj. SG&amp;A(%of Net Sales)</w:t>
            </w:r>
            <w:r>
              <w:rPr>
                <w:rFonts w:ascii="Arial" w:cs="Arial" w:eastAsia="Arial" w:hAnsi="Arial"/>
                <w:sz w:val="25"/>
                <w:szCs w:val="25"/>
                <w:b w:val="1"/>
                <w:bCs w:val="1"/>
                <w:color w:val="004E7A"/>
              </w:rPr>
              <w:t>¹</w:t>
            </w: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jc w:val="right"/>
              <w:ind w:right="184"/>
              <w:spacing w:after="0"/>
              <w:rPr>
                <w:sz w:val="20"/>
                <w:szCs w:val="20"/>
                <w:color w:val="auto"/>
              </w:rPr>
            </w:pPr>
            <w:r>
              <w:rPr>
                <w:rFonts w:ascii="Arial" w:cs="Arial" w:eastAsia="Arial" w:hAnsi="Arial"/>
                <w:sz w:val="17"/>
                <w:szCs w:val="17"/>
                <w:b w:val="1"/>
                <w:bCs w:val="1"/>
                <w:color w:val="004E7A"/>
              </w:rPr>
              <w:t>2</w:t>
            </w:r>
          </w:p>
        </w:tc>
        <w:tc>
          <w:tcPr>
            <w:tcW w:w="0" w:type="dxa"/>
            <w:vAlign w:val="bottom"/>
          </w:tcPr>
          <w:p>
            <w:pPr>
              <w:spacing w:after="0"/>
              <w:rPr>
                <w:sz w:val="1"/>
                <w:szCs w:val="1"/>
                <w:color w:val="auto"/>
              </w:rPr>
            </w:pPr>
          </w:p>
        </w:tc>
      </w:tr>
      <w:tr>
        <w:trPr>
          <w:trHeight w:val="258"/>
        </w:trPr>
        <w:tc>
          <w:tcPr>
            <w:tcW w:w="3760" w:type="dxa"/>
            <w:vAlign w:val="bottom"/>
            <w:gridSpan w:val="2"/>
            <w:vMerge w:val="continue"/>
          </w:tcPr>
          <w:p>
            <w:pPr>
              <w:spacing w:after="0"/>
              <w:rPr>
                <w:sz w:val="22"/>
                <w:szCs w:val="22"/>
                <w:color w:val="auto"/>
              </w:rPr>
            </w:pPr>
          </w:p>
        </w:tc>
        <w:tc>
          <w:tcPr>
            <w:tcW w:w="4440" w:type="dxa"/>
            <w:vAlign w:val="bottom"/>
            <w:gridSpan w:val="5"/>
          </w:tcPr>
          <w:p>
            <w:pPr>
              <w:jc w:val="right"/>
              <w:ind w:right="104"/>
              <w:spacing w:after="0"/>
              <w:rPr>
                <w:sz w:val="20"/>
                <w:szCs w:val="20"/>
                <w:color w:val="auto"/>
              </w:rPr>
            </w:pPr>
            <w:r>
              <w:rPr>
                <w:rFonts w:ascii="Arial" w:cs="Arial" w:eastAsia="Arial" w:hAnsi="Arial"/>
                <w:sz w:val="21"/>
                <w:szCs w:val="21"/>
                <w:b w:val="1"/>
                <w:bCs w:val="1"/>
                <w:color w:val="004E7A"/>
              </w:rPr>
              <w:t>EBITDA Per Employee Comparison</w:t>
            </w:r>
          </w:p>
        </w:tc>
        <w:tc>
          <w:tcPr>
            <w:tcW w:w="0" w:type="dxa"/>
            <w:vAlign w:val="bottom"/>
          </w:tcPr>
          <w:p>
            <w:pPr>
              <w:spacing w:after="0"/>
              <w:rPr>
                <w:sz w:val="1"/>
                <w:szCs w:val="1"/>
                <w:color w:val="auto"/>
              </w:rPr>
            </w:pPr>
          </w:p>
        </w:tc>
      </w:tr>
      <w:tr>
        <w:trPr>
          <w:trHeight w:val="172"/>
        </w:trPr>
        <w:tc>
          <w:tcPr>
            <w:tcW w:w="1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183%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11"/>
        </w:trPr>
        <w:tc>
          <w:tcPr>
            <w:tcW w:w="1780" w:type="dxa"/>
            <w:vAlign w:val="bottom"/>
          </w:tcPr>
          <w:p>
            <w:pPr>
              <w:spacing w:after="0"/>
              <w:rPr>
                <w:sz w:val="18"/>
                <w:szCs w:val="18"/>
                <w:color w:val="auto"/>
              </w:rPr>
            </w:pPr>
          </w:p>
        </w:tc>
        <w:tc>
          <w:tcPr>
            <w:tcW w:w="1980" w:type="dxa"/>
            <w:vAlign w:val="bottom"/>
          </w:tcPr>
          <w:p>
            <w:pPr>
              <w:jc w:val="right"/>
              <w:ind w:right="668"/>
              <w:spacing w:after="0"/>
              <w:rPr>
                <w:sz w:val="20"/>
                <w:szCs w:val="20"/>
                <w:color w:val="auto"/>
              </w:rPr>
            </w:pPr>
            <w:r>
              <w:rPr>
                <w:rFonts w:ascii="Arial" w:cs="Arial" w:eastAsia="Arial" w:hAnsi="Arial"/>
                <w:sz w:val="14"/>
                <w:szCs w:val="14"/>
                <w:color w:val="auto"/>
              </w:rPr>
              <w:t>12.0%</w:t>
            </w: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134%</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480" w:type="dxa"/>
            <w:vAlign w:val="bottom"/>
            <w:vMerge w:val="restart"/>
          </w:tcPr>
          <w:p>
            <w:pPr>
              <w:jc w:val="right"/>
              <w:ind w:right="77"/>
              <w:spacing w:after="0"/>
              <w:rPr>
                <w:sz w:val="20"/>
                <w:szCs w:val="20"/>
                <w:color w:val="auto"/>
              </w:rPr>
            </w:pPr>
            <w:r>
              <w:rPr>
                <w:rFonts w:ascii="Arial" w:cs="Arial" w:eastAsia="Arial" w:hAnsi="Arial"/>
                <w:sz w:val="14"/>
                <w:szCs w:val="14"/>
                <w:color w:val="auto"/>
              </w:rPr>
              <w:t>126%</w:t>
            </w:r>
          </w:p>
        </w:tc>
        <w:tc>
          <w:tcPr>
            <w:tcW w:w="840" w:type="dxa"/>
            <w:vAlign w:val="bottom"/>
            <w:vMerge w:val="restart"/>
          </w:tcPr>
          <w:p>
            <w:pPr>
              <w:ind w:left="300"/>
              <w:spacing w:after="0"/>
              <w:rPr>
                <w:sz w:val="20"/>
                <w:szCs w:val="20"/>
                <w:color w:val="auto"/>
              </w:rPr>
            </w:pPr>
            <w:r>
              <w:rPr>
                <w:rFonts w:ascii="Arial" w:cs="Arial" w:eastAsia="Arial" w:hAnsi="Arial"/>
                <w:sz w:val="14"/>
                <w:szCs w:val="14"/>
                <w:color w:val="auto"/>
              </w:rPr>
              <w:t>119%</w:t>
            </w:r>
          </w:p>
        </w:tc>
        <w:tc>
          <w:tcPr>
            <w:tcW w:w="7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7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780" w:type="dxa"/>
            <w:vAlign w:val="bottom"/>
          </w:tcPr>
          <w:p>
            <w:pPr>
              <w:jc w:val="right"/>
              <w:ind w:right="641"/>
              <w:spacing w:after="0"/>
              <w:rPr>
                <w:sz w:val="20"/>
                <w:szCs w:val="20"/>
                <w:color w:val="auto"/>
              </w:rPr>
            </w:pPr>
            <w:r>
              <w:rPr>
                <w:rFonts w:ascii="Arial" w:cs="Arial" w:eastAsia="Arial" w:hAnsi="Arial"/>
                <w:sz w:val="14"/>
                <w:szCs w:val="14"/>
                <w:color w:val="auto"/>
              </w:rPr>
              <w:t>9.3%</w:t>
            </w:r>
          </w:p>
        </w:tc>
        <w:tc>
          <w:tcPr>
            <w:tcW w:w="19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780" w:type="dxa"/>
            <w:vAlign w:val="bottom"/>
            <w:vMerge w:val="restart"/>
          </w:tcPr>
          <w:p>
            <w:pPr>
              <w:jc w:val="right"/>
              <w:ind w:right="1381"/>
              <w:spacing w:after="0"/>
              <w:rPr>
                <w:sz w:val="20"/>
                <w:szCs w:val="20"/>
                <w:color w:val="auto"/>
              </w:rPr>
            </w:pPr>
            <w:r>
              <w:rPr>
                <w:rFonts w:ascii="Arial" w:cs="Arial" w:eastAsia="Arial" w:hAnsi="Arial"/>
                <w:sz w:val="14"/>
                <w:szCs w:val="14"/>
                <w:color w:val="auto"/>
                <w:w w:val="93"/>
              </w:rPr>
              <w:t>8.0%</w:t>
            </w:r>
          </w:p>
        </w:tc>
        <w:tc>
          <w:tcPr>
            <w:tcW w:w="1980" w:type="dxa"/>
            <w:vAlign w:val="bottom"/>
          </w:tcPr>
          <w:p>
            <w:pPr>
              <w:ind w:left="180"/>
              <w:spacing w:after="0"/>
              <w:rPr>
                <w:sz w:val="20"/>
                <w:szCs w:val="20"/>
                <w:color w:val="auto"/>
              </w:rPr>
            </w:pPr>
            <w:r>
              <w:rPr>
                <w:rFonts w:ascii="Arial" w:cs="Arial" w:eastAsia="Arial" w:hAnsi="Arial"/>
                <w:sz w:val="14"/>
                <w:szCs w:val="14"/>
                <w:color w:val="auto"/>
              </w:rPr>
              <w:t>8.2%</w:t>
            </w:r>
          </w:p>
        </w:tc>
        <w:tc>
          <w:tcPr>
            <w:tcW w:w="1480" w:type="dxa"/>
            <w:vAlign w:val="bottom"/>
          </w:tcPr>
          <w:p>
            <w:pPr>
              <w:spacing w:after="0"/>
              <w:rPr>
                <w:sz w:val="16"/>
                <w:szCs w:val="16"/>
                <w:color w:val="auto"/>
              </w:rPr>
            </w:pPr>
          </w:p>
        </w:tc>
        <w:tc>
          <w:tcPr>
            <w:tcW w:w="24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Over the last 5 years, Martin</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780" w:type="dxa"/>
            <w:vAlign w:val="bottom"/>
            <w:vMerge w:val="continue"/>
          </w:tcPr>
          <w:p>
            <w:pPr>
              <w:spacing w:after="0"/>
              <w:rPr>
                <w:sz w:val="3"/>
                <w:szCs w:val="3"/>
                <w:color w:val="auto"/>
              </w:rPr>
            </w:pPr>
          </w:p>
        </w:tc>
        <w:tc>
          <w:tcPr>
            <w:tcW w:w="19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0" w:type="dxa"/>
            <w:vAlign w:val="bottom"/>
            <w:gridSpan w:val="3"/>
          </w:tcPr>
          <w:p>
            <w:pPr>
              <w:ind w:left="280"/>
              <w:spacing w:after="0"/>
              <w:rPr>
                <w:sz w:val="20"/>
                <w:szCs w:val="20"/>
                <w:color w:val="auto"/>
              </w:rPr>
            </w:pPr>
            <w:r>
              <w:rPr>
                <w:rFonts w:ascii="Arial" w:cs="Arial" w:eastAsia="Arial" w:hAnsi="Arial"/>
                <w:sz w:val="14"/>
                <w:szCs w:val="14"/>
                <w:b w:val="1"/>
                <w:bCs w:val="1"/>
                <w:color w:val="auto"/>
              </w:rPr>
              <w:t>Marietta has generated on</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average 45% more EBITDA per</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rPr>
              <w:t>employee than Vulcan</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780" w:type="dxa"/>
            <w:vAlign w:val="bottom"/>
          </w:tcPr>
          <w:p>
            <w:pPr>
              <w:jc w:val="right"/>
              <w:ind w:right="981"/>
              <w:spacing w:after="0"/>
              <w:rPr>
                <w:sz w:val="20"/>
                <w:szCs w:val="20"/>
                <w:color w:val="auto"/>
              </w:rPr>
            </w:pPr>
            <w:r>
              <w:rPr>
                <w:rFonts w:ascii="Arial" w:cs="Arial" w:eastAsia="Arial" w:hAnsi="Arial"/>
                <w:sz w:val="14"/>
                <w:szCs w:val="14"/>
                <w:color w:val="auto"/>
              </w:rPr>
              <w:t>2007</w:t>
            </w:r>
          </w:p>
        </w:tc>
        <w:tc>
          <w:tcPr>
            <w:tcW w:w="1980" w:type="dxa"/>
            <w:vAlign w:val="bottom"/>
          </w:tcPr>
          <w:p>
            <w:pPr>
              <w:jc w:val="right"/>
              <w:ind w:right="1068"/>
              <w:spacing w:after="0"/>
              <w:rPr>
                <w:sz w:val="20"/>
                <w:szCs w:val="20"/>
                <w:color w:val="auto"/>
              </w:rPr>
            </w:pPr>
            <w:r>
              <w:rPr>
                <w:rFonts w:ascii="Arial" w:cs="Arial" w:eastAsia="Arial" w:hAnsi="Arial"/>
                <w:sz w:val="14"/>
                <w:szCs w:val="14"/>
                <w:color w:val="auto"/>
              </w:rPr>
              <w:t>2011</w:t>
            </w:r>
          </w:p>
        </w:tc>
        <w:tc>
          <w:tcPr>
            <w:tcW w:w="1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780" w:type="dxa"/>
            <w:vAlign w:val="bottom"/>
          </w:tcPr>
          <w:p>
            <w:pPr>
              <w:jc w:val="right"/>
              <w:ind w:right="101"/>
              <w:spacing w:after="0"/>
              <w:rPr>
                <w:sz w:val="20"/>
                <w:szCs w:val="20"/>
                <w:color w:val="auto"/>
              </w:rPr>
            </w:pPr>
            <w:r>
              <w:rPr>
                <w:rFonts w:ascii="Arial" w:cs="Arial" w:eastAsia="Arial" w:hAnsi="Arial"/>
                <w:sz w:val="14"/>
                <w:szCs w:val="14"/>
                <w:color w:val="auto"/>
              </w:rPr>
              <w:t>Martin Marietta</w:t>
            </w:r>
          </w:p>
        </w:tc>
        <w:tc>
          <w:tcPr>
            <w:tcW w:w="1980" w:type="dxa"/>
            <w:vAlign w:val="bottom"/>
          </w:tcPr>
          <w:p>
            <w:pPr>
              <w:ind w:left="160"/>
              <w:spacing w:after="0"/>
              <w:rPr>
                <w:sz w:val="20"/>
                <w:szCs w:val="20"/>
                <w:color w:val="auto"/>
              </w:rPr>
            </w:pPr>
            <w:r>
              <w:rPr>
                <w:rFonts w:ascii="Arial" w:cs="Arial" w:eastAsia="Arial" w:hAnsi="Arial"/>
                <w:sz w:val="14"/>
                <w:szCs w:val="14"/>
                <w:color w:val="auto"/>
              </w:rPr>
              <w:t>Vulcan</w:t>
            </w:r>
          </w:p>
        </w:tc>
        <w:tc>
          <w:tcPr>
            <w:tcW w:w="1480" w:type="dxa"/>
            <w:vAlign w:val="bottom"/>
          </w:tcPr>
          <w:p>
            <w:pPr>
              <w:jc w:val="right"/>
              <w:ind w:right="57"/>
              <w:spacing w:after="0"/>
              <w:rPr>
                <w:sz w:val="20"/>
                <w:szCs w:val="20"/>
                <w:color w:val="auto"/>
              </w:rPr>
            </w:pPr>
            <w:r>
              <w:rPr>
                <w:rFonts w:ascii="Arial" w:cs="Arial" w:eastAsia="Arial" w:hAnsi="Arial"/>
                <w:sz w:val="14"/>
                <w:szCs w:val="14"/>
                <w:color w:val="auto"/>
              </w:rPr>
              <w:t>2007</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2008</w:t>
            </w:r>
          </w:p>
        </w:tc>
        <w:tc>
          <w:tcPr>
            <w:tcW w:w="760" w:type="dxa"/>
            <w:vAlign w:val="bottom"/>
          </w:tcPr>
          <w:p>
            <w:pPr>
              <w:jc w:val="center"/>
              <w:spacing w:after="0"/>
              <w:rPr>
                <w:sz w:val="20"/>
                <w:szCs w:val="20"/>
                <w:color w:val="auto"/>
              </w:rPr>
            </w:pPr>
            <w:r>
              <w:rPr>
                <w:rFonts w:ascii="Arial" w:cs="Arial" w:eastAsia="Arial" w:hAnsi="Arial"/>
                <w:sz w:val="14"/>
                <w:szCs w:val="14"/>
                <w:color w:val="auto"/>
              </w:rPr>
              <w:t>2009</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2010</w:t>
            </w:r>
          </w:p>
        </w:tc>
        <w:tc>
          <w:tcPr>
            <w:tcW w:w="560" w:type="dxa"/>
            <w:vAlign w:val="bottom"/>
          </w:tcPr>
          <w:p>
            <w:pPr>
              <w:jc w:val="right"/>
              <w:spacing w:after="0"/>
              <w:rPr>
                <w:sz w:val="20"/>
                <w:szCs w:val="20"/>
                <w:color w:val="auto"/>
              </w:rPr>
            </w:pPr>
            <w:r>
              <w:rPr>
                <w:rFonts w:ascii="Arial" w:cs="Arial" w:eastAsia="Arial" w:hAnsi="Arial"/>
                <w:sz w:val="14"/>
                <w:szCs w:val="14"/>
                <w:color w:val="auto"/>
              </w:rPr>
              <w:t>2011</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Note 1: Vulcan’s SG&amp;A excludes R&amp;D for comparative purposes. Please see SG&amp;A reconciliation in the appendix.</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Note 2: Martin Marietta EBITDA per employee divided by Vulcan EBITDA per employee.</w:t>
      </w:r>
    </w:p>
    <w:p>
      <w:pPr>
        <w:spacing w:after="0" w:line="231" w:lineRule="auto"/>
        <w:rPr>
          <w:sz w:val="20"/>
          <w:szCs w:val="20"/>
          <w:color w:val="auto"/>
        </w:rPr>
      </w:pPr>
      <w:r>
        <w:rPr>
          <w:rFonts w:ascii="Arial" w:cs="Arial" w:eastAsia="Arial" w:hAnsi="Arial"/>
          <w:sz w:val="11"/>
          <w:szCs w:val="11"/>
          <w:color w:val="auto"/>
        </w:rPr>
        <w:t>Note 3: 2011 headcount for Martin Marietta adjusted to exclude impact of asset swap transaction closed in December 2011, with a net impact of approximately 450 employees.</w:t>
      </w:r>
    </w:p>
    <w:p>
      <w:pPr>
        <w:spacing w:after="0"/>
        <w:rPr>
          <w:sz w:val="20"/>
          <w:szCs w:val="20"/>
          <w:color w:val="auto"/>
        </w:rPr>
      </w:pPr>
      <w:r>
        <w:rPr>
          <w:rFonts w:ascii="Arial" w:cs="Arial" w:eastAsia="Arial" w:hAnsi="Arial"/>
          <w:sz w:val="11"/>
          <w:szCs w:val="11"/>
          <w:color w:val="auto"/>
        </w:rPr>
        <w:t>Source: Company filings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23</w:t>
      </w:r>
    </w:p>
    <w:p>
      <w:pPr>
        <w:sectPr>
          <w:pgSz w:w="11900" w:h="16838" w:orient="portrait"/>
          <w:cols w:equalWidth="0" w:num="1">
            <w:col w:w="9520"/>
          </w:cols>
          <w:pgMar w:left="1320" w:top="440" w:right="1059" w:bottom="1440" w:gutter="0" w:footer="0" w:header="0"/>
        </w:sectPr>
      </w:pPr>
    </w:p>
    <w:bookmarkStart w:id="24" w:name="page25"/>
    <w:bookmarkEnd w:id="24"/>
    <w:p>
      <w:pPr>
        <w:ind w:left="52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Relevant Metrics Show Martin Marietta has Clearly Outperformed</w:t>
      </w:r>
    </w:p>
    <w:p>
      <w:pPr>
        <w:ind w:left="520" w:hanging="414"/>
        <w:spacing w:after="0" w:line="181" w:lineRule="auto"/>
        <w:tabs>
          <w:tab w:leader="none" w:pos="520" w:val="left"/>
        </w:tabs>
        <w:numPr>
          <w:ilvl w:val="0"/>
          <w:numId w:val="22"/>
        </w:numPr>
        <w:rPr>
          <w:rFonts w:ascii="Arial" w:cs="Arial" w:eastAsia="Arial" w:hAnsi="Arial"/>
          <w:sz w:val="52"/>
          <w:szCs w:val="52"/>
          <w:color w:val="FFFFFF"/>
          <w:vertAlign w:val="superscript"/>
        </w:rPr>
      </w:pPr>
      <w:r>
        <w:rPr>
          <w:rFonts w:ascii="Arial" w:cs="Arial" w:eastAsia="Arial" w:hAnsi="Arial"/>
          <w:sz w:val="29"/>
          <w:szCs w:val="29"/>
          <w:color w:val="auto"/>
        </w:rPr>
        <w:t>Vulcan</w:t>
      </w:r>
    </w:p>
    <w:p>
      <w:pPr>
        <w:spacing w:after="0" w:line="165" w:lineRule="exact"/>
        <w:rPr>
          <w:sz w:val="20"/>
          <w:szCs w:val="20"/>
          <w:color w:val="auto"/>
        </w:rPr>
      </w:pPr>
    </w:p>
    <w:p>
      <w:pPr>
        <w:ind w:left="920"/>
        <w:spacing w:after="0"/>
        <w:tabs>
          <w:tab w:leader="none" w:pos="5860" w:val="left"/>
        </w:tabs>
        <w:rPr>
          <w:sz w:val="20"/>
          <w:szCs w:val="20"/>
          <w:color w:val="auto"/>
        </w:rPr>
      </w:pPr>
      <w:r>
        <w:rPr>
          <w:rFonts w:ascii="Arial" w:cs="Arial" w:eastAsia="Arial" w:hAnsi="Arial"/>
          <w:sz w:val="21"/>
          <w:szCs w:val="21"/>
          <w:b w:val="1"/>
          <w:bCs w:val="1"/>
          <w:color w:val="004E7A"/>
        </w:rPr>
        <w:t>Gross Profit (% of Net Sales)</w:t>
      </w:r>
      <w:r>
        <w:rPr>
          <w:sz w:val="20"/>
          <w:szCs w:val="20"/>
          <w:color w:val="auto"/>
        </w:rPr>
        <w:tab/>
      </w:r>
      <w:r>
        <w:rPr>
          <w:rFonts w:ascii="Arial" w:cs="Arial" w:eastAsia="Arial" w:hAnsi="Arial"/>
          <w:sz w:val="21"/>
          <w:szCs w:val="21"/>
          <w:b w:val="1"/>
          <w:bCs w:val="1"/>
          <w:color w:val="004E7A"/>
        </w:rPr>
        <w:t>Adj. SG&amp;A (% of Net Sales) 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40"/>
        <w:spacing w:after="0"/>
        <w:tabs>
          <w:tab w:leader="none" w:pos="5800" w:val="left"/>
        </w:tabs>
        <w:rPr>
          <w:sz w:val="20"/>
          <w:szCs w:val="20"/>
          <w:color w:val="auto"/>
        </w:rPr>
      </w:pPr>
      <w:r>
        <w:rPr>
          <w:rFonts w:ascii="Arial" w:cs="Arial" w:eastAsia="Arial" w:hAnsi="Arial"/>
          <w:sz w:val="21"/>
          <w:szCs w:val="21"/>
          <w:b w:val="1"/>
          <w:bCs w:val="1"/>
          <w:color w:val="004E7A"/>
        </w:rPr>
        <w:t>Adj. EBIT (% of Net Sales) ²</w:t>
      </w:r>
      <w:r>
        <w:rPr>
          <w:sz w:val="20"/>
          <w:szCs w:val="20"/>
          <w:color w:val="auto"/>
        </w:rPr>
        <w:tab/>
      </w:r>
      <w:r>
        <w:rPr>
          <w:rFonts w:ascii="Arial" w:cs="Arial" w:eastAsia="Arial" w:hAnsi="Arial"/>
          <w:sz w:val="20"/>
          <w:szCs w:val="20"/>
          <w:b w:val="1"/>
          <w:bCs w:val="1"/>
          <w:color w:val="004E7A"/>
        </w:rPr>
        <w:t>Net Income (% of Net Sales) ³</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40"/>
        <w:spacing w:after="0"/>
        <w:rPr>
          <w:sz w:val="20"/>
          <w:szCs w:val="20"/>
          <w:color w:val="auto"/>
        </w:rPr>
      </w:pPr>
      <w:r>
        <w:rPr>
          <w:rFonts w:ascii="Arial" w:cs="Arial" w:eastAsia="Arial" w:hAnsi="Arial"/>
          <w:sz w:val="23"/>
          <w:szCs w:val="23"/>
          <w:b w:val="1"/>
          <w:bCs w:val="1"/>
          <w:color w:val="FFFFFF"/>
        </w:rPr>
        <w:t>Confronted with the same downturn in the construction market,</w:t>
      </w:r>
    </w:p>
    <w:p>
      <w:pPr>
        <w:spacing w:after="0" w:line="41"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FFFFFF"/>
        </w:rPr>
        <w:t>Martin Marietta has outperformed Vulcan</w:t>
      </w:r>
    </w:p>
    <w:p>
      <w:pPr>
        <w:spacing w:after="0" w:line="233"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Vulcan’s SG&amp;A excludes R&amp;D for comparative purposes. Please see SG&amp;A reconciliation in the appendix.</w:t>
      </w:r>
    </w:p>
    <w:p>
      <w:pPr>
        <w:spacing w:after="0" w:line="7"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Please see EBIT reconciliation in the appendix.</w:t>
      </w:r>
    </w:p>
    <w:p>
      <w:pPr>
        <w:spacing w:after="0" w:line="7" w:lineRule="exact"/>
        <w:rPr>
          <w:sz w:val="20"/>
          <w:szCs w:val="20"/>
          <w:color w:val="auto"/>
        </w:rPr>
      </w:pPr>
    </w:p>
    <w:p>
      <w:pPr>
        <w:spacing w:after="0"/>
        <w:tabs>
          <w:tab w:leader="none" w:pos="400" w:val="left"/>
        </w:tabs>
        <w:rPr>
          <w:sz w:val="20"/>
          <w:szCs w:val="20"/>
          <w:color w:val="auto"/>
        </w:rPr>
      </w:pPr>
      <w:r>
        <w:rPr>
          <w:rFonts w:ascii="Arial" w:cs="Arial" w:eastAsia="Arial" w:hAnsi="Arial"/>
          <w:sz w:val="10"/>
          <w:szCs w:val="10"/>
          <w:color w:val="auto"/>
        </w:rPr>
        <w:t>Note 3:</w:t>
      </w:r>
      <w:r>
        <w:rPr>
          <w:sz w:val="20"/>
          <w:szCs w:val="20"/>
          <w:color w:val="auto"/>
        </w:rPr>
        <w:tab/>
      </w:r>
      <w:r>
        <w:rPr>
          <w:rFonts w:ascii="Arial" w:cs="Arial" w:eastAsia="Arial" w:hAnsi="Arial"/>
          <w:sz w:val="9"/>
          <w:szCs w:val="9"/>
          <w:color w:val="auto"/>
        </w:rPr>
        <w:t>Reflects net income from continuing operations.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24</w:t>
      </w:r>
    </w:p>
    <w:p>
      <w:pPr>
        <w:sectPr>
          <w:pgSz w:w="11900" w:h="16838" w:orient="portrait"/>
          <w:cols w:equalWidth="0" w:num="1">
            <w:col w:w="9520"/>
          </w:cols>
          <w:pgMar w:left="1320" w:top="396" w:right="10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35"/>
          <w:szCs w:val="35"/>
          <w:color w:val="004E7A"/>
        </w:rPr>
        <w:t>Revisiting the Compelling Nature of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25</w:t>
      </w:r>
    </w:p>
    <w:p>
      <w:pPr>
        <w:sectPr>
          <w:pgSz w:w="11900" w:h="16838" w:orient="portrait"/>
          <w:cols w:equalWidth="0" w:num="1">
            <w:col w:w="9400"/>
          </w:cols>
          <w:pgMar w:left="1440" w:top="1440" w:right="1059" w:bottom="1440" w:gutter="0" w:footer="0" w:header="0"/>
        </w:sectPr>
      </w:pPr>
    </w:p>
    <w:bookmarkStart w:id="26" w:name="page27"/>
    <w:bookmarkEnd w:id="26"/>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Undeniable Strategic Logic for a Combination</w:t>
      </w:r>
    </w:p>
    <w:p>
      <w:pPr>
        <w:sectPr>
          <w:pgSz w:w="11900" w:h="16838" w:orient="portrait"/>
          <w:cols w:equalWidth="0" w:num="1">
            <w:col w:w="9500"/>
          </w:cols>
          <w:pgMar w:left="1340" w:top="63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FFFFFF"/>
        </w:rPr>
        <w:t>Aggregates</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FFFFFF"/>
        </w:rPr>
        <w:t>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23"/>
          <w:szCs w:val="23"/>
          <w:b w:val="1"/>
          <w:bCs w:val="1"/>
          <w:color w:val="FFFFFF"/>
        </w:rPr>
        <w:t>Synergies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00"/>
        <w:spacing w:after="0"/>
        <w:rPr>
          <w:sz w:val="20"/>
          <w:szCs w:val="20"/>
          <w:color w:val="auto"/>
        </w:rPr>
      </w:pPr>
      <w:r>
        <w:rPr>
          <w:rFonts w:ascii="Arial" w:cs="Arial" w:eastAsia="Arial" w:hAnsi="Arial"/>
          <w:sz w:val="23"/>
          <w:szCs w:val="23"/>
          <w:b w:val="1"/>
          <w:bCs w:val="1"/>
          <w:color w:val="FFFFFF"/>
        </w:rPr>
        <w:t>Positioned for</w:t>
      </w:r>
    </w:p>
    <w:p>
      <w:pPr>
        <w:spacing w:after="0" w:line="41" w:lineRule="exact"/>
        <w:rPr>
          <w:sz w:val="20"/>
          <w:szCs w:val="20"/>
          <w:color w:val="auto"/>
        </w:rPr>
      </w:pPr>
    </w:p>
    <w:p>
      <w:pPr>
        <w:jc w:val="center"/>
        <w:ind w:left="280"/>
        <w:spacing w:after="0"/>
        <w:rPr>
          <w:sz w:val="20"/>
          <w:szCs w:val="20"/>
          <w:color w:val="auto"/>
        </w:rPr>
      </w:pPr>
      <w:r>
        <w:rPr>
          <w:rFonts w:ascii="Arial" w:cs="Arial" w:eastAsia="Arial" w:hAnsi="Arial"/>
          <w:sz w:val="23"/>
          <w:szCs w:val="23"/>
          <w:b w:val="1"/>
          <w:bCs w:val="1"/>
          <w:color w:val="FFFFFF"/>
        </w:rPr>
        <w:t>Growth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60"/>
        <w:spacing w:after="0"/>
        <w:rPr>
          <w:sz w:val="20"/>
          <w:szCs w:val="20"/>
          <w:color w:val="auto"/>
        </w:rPr>
      </w:pPr>
      <w:r>
        <w:rPr>
          <w:rFonts w:ascii="Arial" w:cs="Arial" w:eastAsia="Arial" w:hAnsi="Arial"/>
          <w:sz w:val="23"/>
          <w:szCs w:val="23"/>
          <w:b w:val="1"/>
          <w:bCs w:val="1"/>
          <w:color w:val="FFFFFF"/>
        </w:rPr>
        <w:t>Value Creation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Martin Marietta believes that a combination:</w:t>
      </w:r>
    </w:p>
    <w:p>
      <w:pPr>
        <w:spacing w:after="0" w:line="158" w:lineRule="exact"/>
        <w:rPr>
          <w:sz w:val="20"/>
          <w:szCs w:val="20"/>
          <w:color w:val="auto"/>
        </w:rPr>
      </w:pPr>
    </w:p>
    <w:p>
      <w:pPr>
        <w:ind w:left="360" w:hanging="317"/>
        <w:spacing w:after="0"/>
        <w:tabs>
          <w:tab w:leader="none" w:pos="360" w:val="left"/>
        </w:tabs>
        <w:numPr>
          <w:ilvl w:val="0"/>
          <w:numId w:val="23"/>
        </w:numPr>
        <w:rPr>
          <w:rFonts w:ascii="Arial" w:cs="Arial" w:eastAsia="Arial" w:hAnsi="Arial"/>
          <w:sz w:val="27"/>
          <w:szCs w:val="27"/>
          <w:color w:val="auto"/>
        </w:rPr>
      </w:pPr>
      <w:r>
        <w:rPr>
          <w:rFonts w:ascii="Arial" w:cs="Arial" w:eastAsia="Arial" w:hAnsi="Arial"/>
          <w:sz w:val="21"/>
          <w:szCs w:val="21"/>
          <w:color w:val="auto"/>
        </w:rPr>
        <w:t>Creates a “world-class”  U.S.-based aggregates leader</w:t>
      </w:r>
    </w:p>
    <w:p>
      <w:pPr>
        <w:spacing w:after="0" w:line="21" w:lineRule="exact"/>
        <w:rPr>
          <w:rFonts w:ascii="Arial" w:cs="Arial" w:eastAsia="Arial" w:hAnsi="Arial"/>
          <w:sz w:val="27"/>
          <w:szCs w:val="27"/>
          <w:color w:val="auto"/>
        </w:rPr>
      </w:pPr>
    </w:p>
    <w:p>
      <w:pPr>
        <w:ind w:left="820" w:hanging="312"/>
        <w:spacing w:after="0" w:line="192" w:lineRule="auto"/>
        <w:tabs>
          <w:tab w:leader="none" w:pos="820" w:val="left"/>
        </w:tabs>
        <w:numPr>
          <w:ilvl w:val="1"/>
          <w:numId w:val="23"/>
        </w:numPr>
        <w:rPr>
          <w:rFonts w:ascii="Arial" w:cs="Arial" w:eastAsia="Arial" w:hAnsi="Arial"/>
          <w:sz w:val="23"/>
          <w:szCs w:val="23"/>
          <w:color w:val="auto"/>
        </w:rPr>
      </w:pPr>
      <w:r>
        <w:rPr>
          <w:rFonts w:ascii="Arial" w:cs="Arial" w:eastAsia="Arial" w:hAnsi="Arial"/>
          <w:sz w:val="18"/>
          <w:szCs w:val="18"/>
          <w:color w:val="auto"/>
        </w:rPr>
        <w:t>Significantly increased scale</w:t>
      </w:r>
    </w:p>
    <w:p>
      <w:pPr>
        <w:spacing w:after="0" w:line="43" w:lineRule="exact"/>
        <w:rPr>
          <w:rFonts w:ascii="Arial" w:cs="Arial" w:eastAsia="Arial" w:hAnsi="Arial"/>
          <w:sz w:val="23"/>
          <w:szCs w:val="23"/>
          <w:color w:val="auto"/>
        </w:rPr>
      </w:pPr>
    </w:p>
    <w:p>
      <w:pPr>
        <w:ind w:left="820" w:hanging="312"/>
        <w:spacing w:after="0" w:line="192" w:lineRule="auto"/>
        <w:tabs>
          <w:tab w:leader="none" w:pos="820" w:val="left"/>
        </w:tabs>
        <w:numPr>
          <w:ilvl w:val="1"/>
          <w:numId w:val="23"/>
        </w:numPr>
        <w:rPr>
          <w:rFonts w:ascii="Arial" w:cs="Arial" w:eastAsia="Arial" w:hAnsi="Arial"/>
          <w:sz w:val="23"/>
          <w:szCs w:val="23"/>
          <w:color w:val="auto"/>
        </w:rPr>
      </w:pPr>
      <w:r>
        <w:rPr>
          <w:rFonts w:ascii="Arial" w:cs="Arial" w:eastAsia="Arial" w:hAnsi="Arial"/>
          <w:sz w:val="18"/>
          <w:szCs w:val="18"/>
          <w:color w:val="auto"/>
        </w:rPr>
        <w:t>Complementary geographic footprint</w:t>
      </w:r>
    </w:p>
    <w:p>
      <w:pPr>
        <w:spacing w:after="0" w:line="43" w:lineRule="exact"/>
        <w:rPr>
          <w:rFonts w:ascii="Arial" w:cs="Arial" w:eastAsia="Arial" w:hAnsi="Arial"/>
          <w:sz w:val="23"/>
          <w:szCs w:val="23"/>
          <w:color w:val="auto"/>
        </w:rPr>
      </w:pPr>
    </w:p>
    <w:p>
      <w:pPr>
        <w:ind w:left="820" w:right="960" w:hanging="312"/>
        <w:spacing w:after="0" w:line="215" w:lineRule="auto"/>
        <w:tabs>
          <w:tab w:leader="none" w:pos="820" w:val="left"/>
        </w:tabs>
        <w:numPr>
          <w:ilvl w:val="1"/>
          <w:numId w:val="23"/>
        </w:numPr>
        <w:rPr>
          <w:rFonts w:ascii="Arial" w:cs="Arial" w:eastAsia="Arial" w:hAnsi="Arial"/>
          <w:sz w:val="23"/>
          <w:szCs w:val="23"/>
          <w:color w:val="auto"/>
        </w:rPr>
      </w:pPr>
      <w:r>
        <w:rPr>
          <w:rFonts w:ascii="Arial" w:cs="Arial" w:eastAsia="Arial" w:hAnsi="Arial"/>
          <w:sz w:val="18"/>
          <w:szCs w:val="18"/>
          <w:color w:val="auto"/>
        </w:rPr>
        <w:t>Outstanding combined asset base, including 28 billion tons of mineral reserves</w:t>
      </w:r>
    </w:p>
    <w:p>
      <w:pPr>
        <w:spacing w:after="0" w:line="200" w:lineRule="exact"/>
        <w:rPr>
          <w:rFonts w:ascii="Arial" w:cs="Arial" w:eastAsia="Arial" w:hAnsi="Arial"/>
          <w:sz w:val="23"/>
          <w:szCs w:val="23"/>
          <w:color w:val="auto"/>
        </w:rPr>
      </w:pPr>
    </w:p>
    <w:p>
      <w:pPr>
        <w:spacing w:after="0" w:line="200" w:lineRule="exact"/>
        <w:rPr>
          <w:rFonts w:ascii="Arial" w:cs="Arial" w:eastAsia="Arial" w:hAnsi="Arial"/>
          <w:sz w:val="23"/>
          <w:szCs w:val="23"/>
          <w:color w:val="auto"/>
        </w:rPr>
      </w:pPr>
    </w:p>
    <w:p>
      <w:pPr>
        <w:spacing w:after="0" w:line="244" w:lineRule="exact"/>
        <w:rPr>
          <w:rFonts w:ascii="Arial" w:cs="Arial" w:eastAsia="Arial" w:hAnsi="Arial"/>
          <w:sz w:val="23"/>
          <w:szCs w:val="23"/>
          <w:color w:val="auto"/>
        </w:rPr>
      </w:pPr>
    </w:p>
    <w:p>
      <w:pPr>
        <w:ind w:left="360" w:right="440" w:hanging="317"/>
        <w:spacing w:after="0" w:line="215" w:lineRule="auto"/>
        <w:tabs>
          <w:tab w:leader="none" w:pos="360" w:val="left"/>
        </w:tabs>
        <w:numPr>
          <w:ilvl w:val="0"/>
          <w:numId w:val="23"/>
        </w:numPr>
        <w:rPr>
          <w:rFonts w:ascii="Arial" w:cs="Arial" w:eastAsia="Arial" w:hAnsi="Arial"/>
          <w:sz w:val="27"/>
          <w:szCs w:val="27"/>
          <w:color w:val="auto"/>
        </w:rPr>
      </w:pPr>
      <w:r>
        <w:rPr>
          <w:rFonts w:ascii="Arial" w:cs="Arial" w:eastAsia="Arial" w:hAnsi="Arial"/>
          <w:sz w:val="21"/>
          <w:szCs w:val="21"/>
          <w:color w:val="auto"/>
        </w:rPr>
        <w:t>Generatessignificantly greater cost reduction through synergiesthan Vulcan is likely to achieve on its own</w:t>
      </w:r>
    </w:p>
    <w:p>
      <w:pPr>
        <w:spacing w:after="0" w:line="23" w:lineRule="exact"/>
        <w:rPr>
          <w:rFonts w:ascii="Arial" w:cs="Arial" w:eastAsia="Arial" w:hAnsi="Arial"/>
          <w:sz w:val="27"/>
          <w:szCs w:val="27"/>
          <w:color w:val="auto"/>
        </w:rPr>
      </w:pPr>
    </w:p>
    <w:p>
      <w:pPr>
        <w:ind w:left="820" w:right="1380" w:hanging="312"/>
        <w:spacing w:after="0" w:line="215" w:lineRule="auto"/>
        <w:tabs>
          <w:tab w:leader="none" w:pos="820" w:val="left"/>
        </w:tabs>
        <w:numPr>
          <w:ilvl w:val="1"/>
          <w:numId w:val="23"/>
        </w:numPr>
        <w:rPr>
          <w:rFonts w:ascii="Arial" w:cs="Arial" w:eastAsia="Arial" w:hAnsi="Arial"/>
          <w:sz w:val="23"/>
          <w:szCs w:val="23"/>
          <w:color w:val="auto"/>
        </w:rPr>
      </w:pPr>
      <w:r>
        <w:rPr>
          <w:rFonts w:ascii="Arial" w:cs="Arial" w:eastAsia="Arial" w:hAnsi="Arial"/>
          <w:sz w:val="18"/>
          <w:szCs w:val="18"/>
          <w:color w:val="auto"/>
        </w:rPr>
        <w:t xml:space="preserve">$200 –250M annual cost synergies vs. Vulcan’s unsubstantiated “hope plan” </w:t>
      </w:r>
      <w:r>
        <w:rPr>
          <w:rFonts w:ascii="Arial" w:cs="Arial" w:eastAsia="Arial" w:hAnsi="Arial"/>
          <w:sz w:val="12"/>
          <w:szCs w:val="12"/>
          <w:color w:val="auto"/>
        </w:rPr>
        <w:t>1</w:t>
      </w:r>
    </w:p>
    <w:p>
      <w:pPr>
        <w:spacing w:after="0" w:line="200" w:lineRule="exact"/>
        <w:rPr>
          <w:rFonts w:ascii="Arial" w:cs="Arial" w:eastAsia="Arial" w:hAnsi="Arial"/>
          <w:sz w:val="23"/>
          <w:szCs w:val="23"/>
          <w:color w:val="auto"/>
        </w:rPr>
      </w:pPr>
    </w:p>
    <w:p>
      <w:pPr>
        <w:spacing w:after="0" w:line="200" w:lineRule="exact"/>
        <w:rPr>
          <w:rFonts w:ascii="Arial" w:cs="Arial" w:eastAsia="Arial" w:hAnsi="Arial"/>
          <w:sz w:val="23"/>
          <w:szCs w:val="23"/>
          <w:color w:val="auto"/>
        </w:rPr>
      </w:pPr>
    </w:p>
    <w:p>
      <w:pPr>
        <w:spacing w:after="0" w:line="256" w:lineRule="exact"/>
        <w:rPr>
          <w:rFonts w:ascii="Arial" w:cs="Arial" w:eastAsia="Arial" w:hAnsi="Arial"/>
          <w:sz w:val="23"/>
          <w:szCs w:val="23"/>
          <w:color w:val="auto"/>
        </w:rPr>
      </w:pPr>
    </w:p>
    <w:p>
      <w:pPr>
        <w:ind w:left="360" w:right="920" w:hanging="317"/>
        <w:spacing w:after="0" w:line="215" w:lineRule="auto"/>
        <w:tabs>
          <w:tab w:leader="none" w:pos="360" w:val="left"/>
        </w:tabs>
        <w:numPr>
          <w:ilvl w:val="0"/>
          <w:numId w:val="23"/>
        </w:numPr>
        <w:rPr>
          <w:rFonts w:ascii="Arial" w:cs="Arial" w:eastAsia="Arial" w:hAnsi="Arial"/>
          <w:sz w:val="27"/>
          <w:szCs w:val="27"/>
          <w:color w:val="auto"/>
        </w:rPr>
      </w:pPr>
      <w:r>
        <w:rPr>
          <w:rFonts w:ascii="Arial" w:cs="Arial" w:eastAsia="Arial" w:hAnsi="Arial"/>
          <w:sz w:val="21"/>
          <w:szCs w:val="21"/>
          <w:color w:val="auto"/>
        </w:rPr>
        <w:t>Presents greater growth opportunities than either company on a standalone basis</w:t>
      </w:r>
    </w:p>
    <w:p>
      <w:pPr>
        <w:spacing w:after="0" w:line="200" w:lineRule="exact"/>
        <w:rPr>
          <w:rFonts w:ascii="Arial" w:cs="Arial" w:eastAsia="Arial" w:hAnsi="Arial"/>
          <w:sz w:val="27"/>
          <w:szCs w:val="27"/>
          <w:color w:val="auto"/>
        </w:rPr>
      </w:pPr>
    </w:p>
    <w:p>
      <w:pPr>
        <w:spacing w:after="0" w:line="200" w:lineRule="exact"/>
        <w:rPr>
          <w:rFonts w:ascii="Arial" w:cs="Arial" w:eastAsia="Arial" w:hAnsi="Arial"/>
          <w:sz w:val="27"/>
          <w:szCs w:val="27"/>
          <w:color w:val="auto"/>
        </w:rPr>
      </w:pPr>
    </w:p>
    <w:p>
      <w:pPr>
        <w:spacing w:after="0" w:line="388" w:lineRule="exact"/>
        <w:rPr>
          <w:rFonts w:ascii="Arial" w:cs="Arial" w:eastAsia="Arial" w:hAnsi="Arial"/>
          <w:sz w:val="27"/>
          <w:szCs w:val="27"/>
          <w:color w:val="auto"/>
        </w:rPr>
      </w:pPr>
    </w:p>
    <w:p>
      <w:pPr>
        <w:ind w:left="360" w:hanging="317"/>
        <w:spacing w:after="0"/>
        <w:tabs>
          <w:tab w:leader="none" w:pos="360" w:val="left"/>
        </w:tabs>
        <w:numPr>
          <w:ilvl w:val="0"/>
          <w:numId w:val="23"/>
        </w:numPr>
        <w:rPr>
          <w:rFonts w:ascii="Arial" w:cs="Arial" w:eastAsia="Arial" w:hAnsi="Arial"/>
          <w:sz w:val="27"/>
          <w:szCs w:val="27"/>
          <w:color w:val="auto"/>
        </w:rPr>
      </w:pPr>
      <w:r>
        <w:rPr>
          <w:rFonts w:ascii="Arial" w:cs="Arial" w:eastAsia="Arial" w:hAnsi="Arial"/>
          <w:sz w:val="21"/>
          <w:szCs w:val="21"/>
          <w:color w:val="auto"/>
        </w:rPr>
        <w:t>Creates significant value for both companies’ shareholders</w:t>
      </w:r>
    </w:p>
    <w:p>
      <w:pPr>
        <w:spacing w:after="0" w:line="200" w:lineRule="exact"/>
        <w:rPr>
          <w:sz w:val="20"/>
          <w:szCs w:val="20"/>
          <w:color w:val="auto"/>
        </w:rPr>
      </w:pPr>
    </w:p>
    <w:p>
      <w:pPr>
        <w:sectPr>
          <w:pgSz w:w="11900" w:h="16838" w:orient="portrait"/>
          <w:cols w:equalWidth="0" w:num="2">
            <w:col w:w="1880" w:space="380"/>
            <w:col w:w="7240"/>
          </w:cols>
          <w:pgMar w:left="1340" w:top="633" w:right="105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Please refer to note 2 on page 6.</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26</w:t>
      </w:r>
    </w:p>
    <w:p>
      <w:pPr>
        <w:sectPr>
          <w:pgSz w:w="11900" w:h="16838" w:orient="portrait"/>
          <w:cols w:equalWidth="0" w:num="1">
            <w:col w:w="9500"/>
          </w:cols>
          <w:pgMar w:left="1340" w:top="633" w:right="10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Combined Company Will Have the Most Extensive Aggregates Footprint</w:t>
      </w:r>
    </w:p>
    <w:p>
      <w:pPr>
        <w:sectPr>
          <w:pgSz w:w="11900" w:h="16838" w:orient="portrait"/>
          <w:cols w:equalWidth="0" w:num="1">
            <w:col w:w="9580"/>
          </w:cols>
          <w:pgMar w:left="1340" w:top="633"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0"/>
        <w:spacing w:after="0"/>
        <w:rPr>
          <w:sz w:val="20"/>
          <w:szCs w:val="20"/>
          <w:color w:val="auto"/>
        </w:rPr>
      </w:pPr>
      <w:r>
        <w:rPr>
          <w:rFonts w:ascii="Arial" w:cs="Arial" w:eastAsia="Arial" w:hAnsi="Arial"/>
          <w:sz w:val="10"/>
          <w:szCs w:val="10"/>
          <w:b w:val="1"/>
          <w:bCs w:val="1"/>
          <w:color w:val="FFFFFF"/>
        </w:rPr>
        <w:t>WA</w:t>
      </w:r>
    </w:p>
    <w:p>
      <w:pPr>
        <w:spacing w:after="0" w:line="107" w:lineRule="exact"/>
        <w:rPr>
          <w:sz w:val="20"/>
          <w:szCs w:val="20"/>
          <w:color w:val="auto"/>
        </w:rPr>
      </w:pPr>
    </w:p>
    <w:tbl>
      <w:tblPr>
        <w:tblLayout w:type="fixed"/>
        <w:tblInd w:w="840" w:type="dxa"/>
        <w:tblCellMar>
          <w:top w:w="0" w:type="dxa"/>
          <w:left w:w="0" w:type="dxa"/>
          <w:bottom w:w="0" w:type="dxa"/>
          <w:right w:w="0" w:type="dxa"/>
        </w:tblCellMar>
      </w:tblPr>
      <w:tr>
        <w:trPr>
          <w:trHeight w:val="132"/>
        </w:trPr>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ind w:left="140"/>
              <w:spacing w:after="0"/>
              <w:rPr>
                <w:sz w:val="20"/>
                <w:szCs w:val="20"/>
                <w:color w:val="auto"/>
              </w:rPr>
            </w:pPr>
            <w:r>
              <w:rPr>
                <w:rFonts w:ascii="Arial" w:cs="Arial" w:eastAsia="Arial" w:hAnsi="Arial"/>
                <w:sz w:val="10"/>
                <w:szCs w:val="10"/>
                <w:b w:val="1"/>
                <w:bCs w:val="1"/>
                <w:color w:val="auto"/>
              </w:rPr>
              <w:t>MT</w:t>
            </w:r>
          </w:p>
        </w:tc>
        <w:tc>
          <w:tcPr>
            <w:tcW w:w="0" w:type="dxa"/>
            <w:vAlign w:val="bottom"/>
          </w:tcPr>
          <w:p>
            <w:pPr>
              <w:spacing w:after="0"/>
              <w:rPr>
                <w:sz w:val="1"/>
                <w:szCs w:val="1"/>
                <w:color w:val="auto"/>
              </w:rPr>
            </w:pPr>
          </w:p>
        </w:tc>
      </w:tr>
      <w:tr>
        <w:trPr>
          <w:trHeight w:val="200"/>
        </w:trPr>
        <w:tc>
          <w:tcPr>
            <w:tcW w:w="1000" w:type="dxa"/>
            <w:vAlign w:val="bottom"/>
          </w:tcPr>
          <w:p>
            <w:pPr>
              <w:ind w:left="140"/>
              <w:spacing w:after="0"/>
              <w:rPr>
                <w:sz w:val="20"/>
                <w:szCs w:val="20"/>
                <w:color w:val="auto"/>
              </w:rPr>
            </w:pPr>
            <w:r>
              <w:rPr>
                <w:rFonts w:ascii="Arial" w:cs="Arial" w:eastAsia="Arial" w:hAnsi="Arial"/>
                <w:sz w:val="10"/>
                <w:szCs w:val="10"/>
                <w:b w:val="1"/>
                <w:bCs w:val="1"/>
                <w:color w:val="auto"/>
              </w:rPr>
              <w:t>OR</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00" w:type="dxa"/>
            <w:vAlign w:val="bottom"/>
          </w:tcPr>
          <w:p>
            <w:pPr>
              <w:ind w:left="780"/>
              <w:spacing w:after="0"/>
              <w:rPr>
                <w:sz w:val="20"/>
                <w:szCs w:val="20"/>
                <w:color w:val="auto"/>
              </w:rPr>
            </w:pPr>
            <w:r>
              <w:rPr>
                <w:rFonts w:ascii="Arial" w:cs="Arial" w:eastAsia="Arial" w:hAnsi="Arial"/>
                <w:sz w:val="10"/>
                <w:szCs w:val="10"/>
                <w:b w:val="1"/>
                <w:bCs w:val="1"/>
                <w:color w:val="auto"/>
              </w:rPr>
              <w:t>ID</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ind w:left="200"/>
              <w:spacing w:after="0"/>
              <w:rPr>
                <w:sz w:val="20"/>
                <w:szCs w:val="20"/>
                <w:color w:val="auto"/>
              </w:rPr>
            </w:pPr>
            <w:r>
              <w:rPr>
                <w:rFonts w:ascii="Arial" w:cs="Arial" w:eastAsia="Arial" w:hAnsi="Arial"/>
                <w:sz w:val="10"/>
                <w:szCs w:val="10"/>
                <w:b w:val="1"/>
                <w:bCs w:val="1"/>
                <w:color w:val="FFFFFF"/>
              </w:rPr>
              <w:t>WY</w:t>
            </w:r>
          </w:p>
        </w:tc>
        <w:tc>
          <w:tcPr>
            <w:tcW w:w="0" w:type="dxa"/>
            <w:vAlign w:val="bottom"/>
          </w:tcPr>
          <w:p>
            <w:pPr>
              <w:spacing w:after="0"/>
              <w:rPr>
                <w:sz w:val="1"/>
                <w:szCs w:val="1"/>
                <w:color w:val="auto"/>
              </w:rPr>
            </w:pPr>
          </w:p>
        </w:tc>
      </w:tr>
      <w:tr>
        <w:trPr>
          <w:trHeight w:val="288"/>
        </w:trPr>
        <w:tc>
          <w:tcPr>
            <w:tcW w:w="1000" w:type="dxa"/>
            <w:vAlign w:val="bottom"/>
          </w:tcPr>
          <w:p>
            <w:pPr>
              <w:ind w:left="400"/>
              <w:spacing w:after="0"/>
              <w:rPr>
                <w:sz w:val="20"/>
                <w:szCs w:val="20"/>
                <w:color w:val="auto"/>
              </w:rPr>
            </w:pPr>
            <w:r>
              <w:rPr>
                <w:rFonts w:ascii="Arial" w:cs="Arial" w:eastAsia="Arial" w:hAnsi="Arial"/>
                <w:sz w:val="10"/>
                <w:szCs w:val="10"/>
                <w:b w:val="1"/>
                <w:bCs w:val="1"/>
                <w:color w:val="FFFFFF"/>
              </w:rPr>
              <w:t>NV</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0" w:type="dxa"/>
            <w:vAlign w:val="bottom"/>
            <w:vMerge w:val="restart"/>
          </w:tcPr>
          <w:p>
            <w:pPr>
              <w:spacing w:after="0"/>
              <w:rPr>
                <w:sz w:val="20"/>
                <w:szCs w:val="20"/>
                <w:color w:val="auto"/>
              </w:rPr>
            </w:pPr>
            <w:r>
              <w:rPr>
                <w:rFonts w:ascii="Arial" w:cs="Arial" w:eastAsia="Arial" w:hAnsi="Arial"/>
                <w:sz w:val="10"/>
                <w:szCs w:val="10"/>
                <w:b w:val="1"/>
                <w:bCs w:val="1"/>
                <w:color w:val="FFFFFF"/>
              </w:rPr>
              <w:t>CA</w:t>
            </w:r>
          </w:p>
        </w:tc>
        <w:tc>
          <w:tcPr>
            <w:tcW w:w="260" w:type="dxa"/>
            <w:vAlign w:val="bottom"/>
          </w:tcPr>
          <w:p>
            <w:pPr>
              <w:spacing w:after="0"/>
              <w:rPr>
                <w:sz w:val="20"/>
                <w:szCs w:val="20"/>
                <w:color w:val="auto"/>
              </w:rPr>
            </w:pPr>
            <w:r>
              <w:rPr>
                <w:rFonts w:ascii="Arial" w:cs="Arial" w:eastAsia="Arial" w:hAnsi="Arial"/>
                <w:sz w:val="10"/>
                <w:szCs w:val="10"/>
                <w:b w:val="1"/>
                <w:bCs w:val="1"/>
                <w:color w:val="FFFFFF"/>
              </w:rPr>
              <w:t>UT</w:t>
            </w:r>
          </w:p>
        </w:tc>
        <w:tc>
          <w:tcPr>
            <w:tcW w:w="500" w:type="dxa"/>
            <w:vAlign w:val="bottom"/>
            <w:vMerge w:val="restart"/>
          </w:tcPr>
          <w:p>
            <w:pPr>
              <w:ind w:left="340"/>
              <w:spacing w:after="0"/>
              <w:rPr>
                <w:sz w:val="20"/>
                <w:szCs w:val="20"/>
                <w:color w:val="auto"/>
              </w:rPr>
            </w:pPr>
            <w:r>
              <w:rPr>
                <w:rFonts w:ascii="Arial" w:cs="Arial" w:eastAsia="Arial" w:hAnsi="Arial"/>
                <w:sz w:val="10"/>
                <w:szCs w:val="10"/>
                <w:b w:val="1"/>
                <w:bCs w:val="1"/>
                <w:color w:val="FFFFFF"/>
                <w:w w:val="93"/>
              </w:rPr>
              <w:t>CO</w:t>
            </w:r>
          </w:p>
        </w:tc>
        <w:tc>
          <w:tcPr>
            <w:tcW w:w="0" w:type="dxa"/>
            <w:vAlign w:val="bottom"/>
          </w:tcPr>
          <w:p>
            <w:pPr>
              <w:spacing w:after="0"/>
              <w:rPr>
                <w:sz w:val="1"/>
                <w:szCs w:val="1"/>
                <w:color w:val="auto"/>
              </w:rPr>
            </w:pPr>
          </w:p>
        </w:tc>
      </w:tr>
      <w:tr>
        <w:trPr>
          <w:trHeight w:val="67"/>
        </w:trPr>
        <w:tc>
          <w:tcPr>
            <w:tcW w:w="10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0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6"/>
        </w:trPr>
        <w:tc>
          <w:tcPr>
            <w:tcW w:w="1000" w:type="dxa"/>
            <w:vAlign w:val="bottom"/>
          </w:tcPr>
          <w:p>
            <w:pPr>
              <w:ind w:left="860"/>
              <w:spacing w:after="0"/>
              <w:rPr>
                <w:sz w:val="20"/>
                <w:szCs w:val="20"/>
                <w:color w:val="auto"/>
              </w:rPr>
            </w:pPr>
            <w:r>
              <w:rPr>
                <w:rFonts w:ascii="Arial" w:cs="Arial" w:eastAsia="Arial" w:hAnsi="Arial"/>
                <w:sz w:val="10"/>
                <w:szCs w:val="10"/>
                <w:b w:val="1"/>
                <w:bCs w:val="1"/>
                <w:color w:val="FFFFFF"/>
                <w:w w:val="89"/>
              </w:rPr>
              <w:t>AZ</w:t>
            </w:r>
          </w:p>
        </w:tc>
        <w:tc>
          <w:tcPr>
            <w:tcW w:w="260" w:type="dxa"/>
            <w:vAlign w:val="bottom"/>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0"/>
                <w:szCs w:val="10"/>
                <w:b w:val="1"/>
                <w:bCs w:val="1"/>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460" w:right="140"/>
        <w:spacing w:after="0" w:line="418" w:lineRule="auto"/>
        <w:rPr>
          <w:sz w:val="20"/>
          <w:szCs w:val="20"/>
          <w:color w:val="auto"/>
        </w:rPr>
      </w:pPr>
      <w:r>
        <w:rPr>
          <w:rFonts w:ascii="Arial" w:cs="Arial" w:eastAsia="Arial" w:hAnsi="Arial"/>
          <w:sz w:val="13"/>
          <w:szCs w:val="13"/>
          <w:color w:val="auto"/>
        </w:rPr>
        <w:t>States with Martin Marietta locations States with Vulcan locations</w:t>
      </w:r>
    </w:p>
    <w:p>
      <w:pPr>
        <w:ind w:left="460"/>
        <w:spacing w:after="0" w:line="462" w:lineRule="auto"/>
        <w:rPr>
          <w:sz w:val="20"/>
          <w:szCs w:val="20"/>
          <w:color w:val="auto"/>
        </w:rPr>
      </w:pPr>
      <w:r>
        <w:rPr>
          <w:rFonts w:ascii="Arial" w:cs="Arial" w:eastAsia="Arial" w:hAnsi="Arial"/>
          <w:sz w:val="13"/>
          <w:szCs w:val="13"/>
          <w:color w:val="auto"/>
        </w:rPr>
        <w:t>States with both companies’ locations Locations served by Martin Marietta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5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ND</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ind w:left="380"/>
              <w:spacing w:after="0"/>
              <w:rPr>
                <w:sz w:val="20"/>
                <w:szCs w:val="20"/>
                <w:color w:val="auto"/>
              </w:rPr>
            </w:pPr>
            <w:r>
              <w:rPr>
                <w:rFonts w:ascii="Arial" w:cs="Arial" w:eastAsia="Arial" w:hAnsi="Arial"/>
                <w:sz w:val="10"/>
                <w:szCs w:val="10"/>
                <w:b w:val="1"/>
                <w:bCs w:val="1"/>
                <w:color w:val="auto"/>
                <w:w w:val="93"/>
              </w:rPr>
              <w:t>ME</w:t>
            </w:r>
          </w:p>
        </w:tc>
        <w:tc>
          <w:tcPr>
            <w:tcW w:w="0" w:type="dxa"/>
            <w:vAlign w:val="bottom"/>
          </w:tcPr>
          <w:p>
            <w:pPr>
              <w:spacing w:after="0"/>
              <w:rPr>
                <w:sz w:val="1"/>
                <w:szCs w:val="1"/>
                <w:color w:val="auto"/>
              </w:rPr>
            </w:pPr>
          </w:p>
        </w:tc>
      </w:tr>
      <w:tr>
        <w:trPr>
          <w:trHeight w:val="44"/>
        </w:trPr>
        <w:tc>
          <w:tcPr>
            <w:tcW w:w="5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Arial" w:cs="Arial" w:eastAsia="Arial" w:hAnsi="Arial"/>
                <w:sz w:val="10"/>
                <w:szCs w:val="10"/>
                <w:b w:val="1"/>
                <w:bCs w:val="1"/>
                <w:color w:val="FFFFFF"/>
              </w:rPr>
              <w:t>MN</w:t>
            </w: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0"/>
                <w:szCs w:val="10"/>
                <w:b w:val="1"/>
                <w:bCs w:val="1"/>
                <w:color w:val="auto"/>
              </w:rPr>
              <w:t>VT</w:t>
            </w:r>
          </w:p>
        </w:tc>
        <w:tc>
          <w:tcPr>
            <w:tcW w:w="0" w:type="dxa"/>
            <w:vAlign w:val="bottom"/>
          </w:tcPr>
          <w:p>
            <w:pPr>
              <w:spacing w:after="0"/>
              <w:rPr>
                <w:sz w:val="1"/>
                <w:szCs w:val="1"/>
                <w:color w:val="auto"/>
              </w:rPr>
            </w:pPr>
          </w:p>
        </w:tc>
      </w:tr>
      <w:tr>
        <w:trPr>
          <w:trHeight w:val="130"/>
        </w:trPr>
        <w:tc>
          <w:tcPr>
            <w:tcW w:w="5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SD</w:t>
            </w:r>
          </w:p>
        </w:tc>
        <w:tc>
          <w:tcPr>
            <w:tcW w:w="960" w:type="dxa"/>
            <w:vAlign w:val="bottom"/>
            <w:vMerge w:val="restart"/>
          </w:tcPr>
          <w:p>
            <w:pPr>
              <w:ind w:left="600"/>
              <w:spacing w:after="0"/>
              <w:rPr>
                <w:sz w:val="20"/>
                <w:szCs w:val="20"/>
                <w:color w:val="auto"/>
              </w:rPr>
            </w:pPr>
            <w:r>
              <w:rPr>
                <w:rFonts w:ascii="Arial" w:cs="Arial" w:eastAsia="Arial" w:hAnsi="Arial"/>
                <w:sz w:val="10"/>
                <w:szCs w:val="10"/>
                <w:b w:val="1"/>
                <w:bCs w:val="1"/>
                <w:color w:val="FFFFFF"/>
              </w:rPr>
              <w:t>WI</w:t>
            </w: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ind w:left="200"/>
              <w:spacing w:after="0"/>
              <w:rPr>
                <w:sz w:val="20"/>
                <w:szCs w:val="20"/>
                <w:color w:val="auto"/>
              </w:rPr>
            </w:pPr>
            <w:r>
              <w:rPr>
                <w:rFonts w:ascii="Arial" w:cs="Arial" w:eastAsia="Arial" w:hAnsi="Arial"/>
                <w:sz w:val="10"/>
                <w:szCs w:val="10"/>
                <w:b w:val="1"/>
                <w:bCs w:val="1"/>
                <w:color w:val="auto"/>
              </w:rPr>
              <w:t>NH</w:t>
            </w:r>
          </w:p>
        </w:tc>
        <w:tc>
          <w:tcPr>
            <w:tcW w:w="0" w:type="dxa"/>
            <w:vAlign w:val="bottom"/>
          </w:tcPr>
          <w:p>
            <w:pPr>
              <w:spacing w:after="0"/>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NY</w:t>
            </w:r>
          </w:p>
        </w:tc>
        <w:tc>
          <w:tcPr>
            <w:tcW w:w="540" w:type="dxa"/>
            <w:vAlign w:val="bottom"/>
          </w:tcPr>
          <w:p>
            <w:pPr>
              <w:ind w:left="220"/>
              <w:spacing w:after="0"/>
              <w:rPr>
                <w:sz w:val="20"/>
                <w:szCs w:val="20"/>
                <w:color w:val="auto"/>
              </w:rPr>
            </w:pPr>
            <w:r>
              <w:rPr>
                <w:rFonts w:ascii="Arial" w:cs="Arial" w:eastAsia="Arial" w:hAnsi="Arial"/>
                <w:sz w:val="10"/>
                <w:szCs w:val="10"/>
                <w:b w:val="1"/>
                <w:bCs w:val="1"/>
                <w:color w:val="auto"/>
              </w:rPr>
              <w:t>MA</w:t>
            </w:r>
          </w:p>
        </w:tc>
        <w:tc>
          <w:tcPr>
            <w:tcW w:w="0" w:type="dxa"/>
            <w:vAlign w:val="bottom"/>
          </w:tcPr>
          <w:p>
            <w:pPr>
              <w:spacing w:after="0"/>
              <w:rPr>
                <w:sz w:val="1"/>
                <w:szCs w:val="1"/>
                <w:color w:val="auto"/>
              </w:rPr>
            </w:pPr>
          </w:p>
        </w:tc>
      </w:tr>
      <w:tr>
        <w:trPr>
          <w:trHeight w:val="211"/>
        </w:trPr>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Arial" w:cs="Arial" w:eastAsia="Arial" w:hAnsi="Arial"/>
                <w:sz w:val="10"/>
                <w:szCs w:val="10"/>
                <w:b w:val="1"/>
                <w:bCs w:val="1"/>
                <w:color w:val="auto"/>
              </w:rPr>
              <w:t>MI</w:t>
            </w:r>
          </w:p>
        </w:tc>
        <w:tc>
          <w:tcPr>
            <w:tcW w:w="940" w:type="dxa"/>
            <w:vAlign w:val="bottom"/>
          </w:tcPr>
          <w:p>
            <w:pPr>
              <w:spacing w:after="0"/>
              <w:rPr>
                <w:sz w:val="18"/>
                <w:szCs w:val="18"/>
                <w:color w:val="auto"/>
              </w:rPr>
            </w:pPr>
          </w:p>
        </w:tc>
        <w:tc>
          <w:tcPr>
            <w:tcW w:w="540" w:type="dxa"/>
            <w:vAlign w:val="bottom"/>
          </w:tcPr>
          <w:p>
            <w:pPr>
              <w:ind w:left="180"/>
              <w:spacing w:after="0" w:line="211" w:lineRule="exact"/>
              <w:rPr>
                <w:sz w:val="20"/>
                <w:szCs w:val="20"/>
                <w:color w:val="auto"/>
              </w:rPr>
            </w:pPr>
            <w:r>
              <w:rPr>
                <w:rFonts w:ascii="Arial" w:cs="Arial" w:eastAsia="Arial" w:hAnsi="Arial"/>
                <w:sz w:val="10"/>
                <w:szCs w:val="10"/>
                <w:b w:val="1"/>
                <w:bCs w:val="1"/>
                <w:color w:val="auto"/>
              </w:rPr>
              <w:t xml:space="preserve">CT </w:t>
            </w:r>
            <w:r>
              <w:rPr>
                <w:rFonts w:ascii="Arial" w:cs="Arial" w:eastAsia="Arial" w:hAnsi="Arial"/>
                <w:sz w:val="19"/>
                <w:szCs w:val="19"/>
                <w:b w:val="1"/>
                <w:bCs w:val="1"/>
                <w:color w:val="auto"/>
                <w:vertAlign w:val="subscript"/>
              </w:rPr>
              <w:t>RI</w:t>
            </w:r>
          </w:p>
        </w:tc>
        <w:tc>
          <w:tcPr>
            <w:tcW w:w="0" w:type="dxa"/>
            <w:vAlign w:val="bottom"/>
          </w:tcPr>
          <w:p>
            <w:pPr>
              <w:spacing w:after="0"/>
              <w:rPr>
                <w:sz w:val="1"/>
                <w:szCs w:val="1"/>
                <w:color w:val="auto"/>
              </w:rPr>
            </w:pPr>
          </w:p>
        </w:tc>
      </w:tr>
      <w:tr>
        <w:trPr>
          <w:trHeight w:val="155"/>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FFFFFF"/>
              </w:rPr>
              <w:t>NE</w:t>
            </w:r>
          </w:p>
        </w:tc>
        <w:tc>
          <w:tcPr>
            <w:tcW w:w="960" w:type="dxa"/>
            <w:vAlign w:val="bottom"/>
          </w:tcPr>
          <w:p>
            <w:pPr>
              <w:ind w:left="240"/>
              <w:spacing w:after="0"/>
              <w:rPr>
                <w:sz w:val="20"/>
                <w:szCs w:val="20"/>
                <w:color w:val="auto"/>
              </w:rPr>
            </w:pPr>
            <w:r>
              <w:rPr>
                <w:rFonts w:ascii="Arial" w:cs="Arial" w:eastAsia="Arial" w:hAnsi="Arial"/>
                <w:sz w:val="10"/>
                <w:szCs w:val="10"/>
                <w:b w:val="1"/>
                <w:bCs w:val="1"/>
                <w:color w:val="FFFFFF"/>
              </w:rPr>
              <w:t>IA</w:t>
            </w:r>
          </w:p>
        </w:tc>
        <w:tc>
          <w:tcPr>
            <w:tcW w:w="420" w:type="dxa"/>
            <w:vAlign w:val="bottom"/>
          </w:tcPr>
          <w:p>
            <w:pPr>
              <w:spacing w:after="0"/>
              <w:rPr>
                <w:sz w:val="13"/>
                <w:szCs w:val="13"/>
                <w:color w:val="auto"/>
              </w:rPr>
            </w:pPr>
          </w:p>
        </w:tc>
        <w:tc>
          <w:tcPr>
            <w:tcW w:w="940" w:type="dxa"/>
            <w:vAlign w:val="bottom"/>
          </w:tcPr>
          <w:p>
            <w:pPr>
              <w:jc w:val="right"/>
              <w:ind w:right="190"/>
              <w:spacing w:after="0"/>
              <w:rPr>
                <w:sz w:val="20"/>
                <w:szCs w:val="20"/>
                <w:color w:val="auto"/>
              </w:rPr>
            </w:pPr>
            <w:r>
              <w:rPr>
                <w:rFonts w:ascii="Arial" w:cs="Arial" w:eastAsia="Arial" w:hAnsi="Arial"/>
                <w:sz w:val="10"/>
                <w:szCs w:val="10"/>
                <w:b w:val="1"/>
                <w:bCs w:val="1"/>
                <w:color w:val="FFFFFF"/>
              </w:rPr>
              <w:t>PA</w:t>
            </w:r>
          </w:p>
        </w:tc>
        <w:tc>
          <w:tcPr>
            <w:tcW w:w="540" w:type="dxa"/>
            <w:vAlign w:val="bottom"/>
          </w:tcPr>
          <w:p>
            <w:pPr>
              <w:spacing w:after="0"/>
              <w:rPr>
                <w:sz w:val="20"/>
                <w:szCs w:val="20"/>
                <w:color w:val="auto"/>
              </w:rPr>
            </w:pPr>
            <w:r>
              <w:rPr>
                <w:rFonts w:ascii="Arial" w:cs="Arial" w:eastAsia="Arial" w:hAnsi="Arial"/>
                <w:sz w:val="10"/>
                <w:szCs w:val="10"/>
                <w:b w:val="1"/>
                <w:bCs w:val="1"/>
                <w:color w:val="auto"/>
              </w:rPr>
              <w:t>NJ</w:t>
            </w:r>
          </w:p>
        </w:tc>
        <w:tc>
          <w:tcPr>
            <w:tcW w:w="0" w:type="dxa"/>
            <w:vAlign w:val="bottom"/>
          </w:tcPr>
          <w:p>
            <w:pPr>
              <w:spacing w:after="0"/>
              <w:rPr>
                <w:sz w:val="1"/>
                <w:szCs w:val="1"/>
                <w:color w:val="auto"/>
              </w:rPr>
            </w:pPr>
          </w:p>
        </w:tc>
      </w:tr>
      <w:tr>
        <w:trPr>
          <w:trHeight w:val="66"/>
        </w:trPr>
        <w:tc>
          <w:tcPr>
            <w:tcW w:w="5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vMerge w:val="restart"/>
          </w:tcPr>
          <w:p>
            <w:pPr>
              <w:jc w:val="right"/>
              <w:ind w:right="710"/>
              <w:spacing w:after="0"/>
              <w:rPr>
                <w:sz w:val="20"/>
                <w:szCs w:val="20"/>
                <w:color w:val="auto"/>
              </w:rPr>
            </w:pPr>
            <w:r>
              <w:rPr>
                <w:rFonts w:ascii="Arial" w:cs="Arial" w:eastAsia="Arial" w:hAnsi="Arial"/>
                <w:sz w:val="10"/>
                <w:szCs w:val="10"/>
                <w:b w:val="1"/>
                <w:bCs w:val="1"/>
                <w:color w:val="FFFFFF"/>
              </w:rPr>
              <w:t>OH</w:t>
            </w:r>
          </w:p>
        </w:tc>
        <w:tc>
          <w:tcPr>
            <w:tcW w:w="54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DE</w:t>
            </w:r>
          </w:p>
        </w:tc>
        <w:tc>
          <w:tcPr>
            <w:tcW w:w="0" w:type="dxa"/>
            <w:vAlign w:val="bottom"/>
          </w:tcPr>
          <w:p>
            <w:pPr>
              <w:spacing w:after="0"/>
              <w:rPr>
                <w:sz w:val="1"/>
                <w:szCs w:val="1"/>
                <w:color w:val="auto"/>
              </w:rPr>
            </w:pPr>
          </w:p>
        </w:tc>
      </w:tr>
      <w:tr>
        <w:trPr>
          <w:trHeight w:val="67"/>
        </w:trPr>
        <w:tc>
          <w:tcPr>
            <w:tcW w:w="500" w:type="dxa"/>
            <w:vAlign w:val="bottom"/>
          </w:tcPr>
          <w:p>
            <w:pPr>
              <w:spacing w:after="0"/>
              <w:rPr>
                <w:sz w:val="5"/>
                <w:szCs w:val="5"/>
                <w:color w:val="auto"/>
              </w:rPr>
            </w:pPr>
          </w:p>
        </w:tc>
        <w:tc>
          <w:tcPr>
            <w:tcW w:w="960" w:type="dxa"/>
            <w:vAlign w:val="bottom"/>
            <w:vMerge w:val="restart"/>
          </w:tcPr>
          <w:p>
            <w:pPr>
              <w:ind w:left="720"/>
              <w:spacing w:after="0"/>
              <w:rPr>
                <w:sz w:val="20"/>
                <w:szCs w:val="20"/>
                <w:color w:val="auto"/>
              </w:rPr>
            </w:pPr>
            <w:r>
              <w:rPr>
                <w:rFonts w:ascii="Arial" w:cs="Arial" w:eastAsia="Arial" w:hAnsi="Arial"/>
                <w:sz w:val="10"/>
                <w:szCs w:val="10"/>
                <w:b w:val="1"/>
                <w:bCs w:val="1"/>
                <w:color w:val="FFFFFF"/>
              </w:rPr>
              <w:t>IL</w:t>
            </w:r>
          </w:p>
        </w:tc>
        <w:tc>
          <w:tcPr>
            <w:tcW w:w="420" w:type="dxa"/>
            <w:vAlign w:val="bottom"/>
            <w:vMerge w:val="restart"/>
          </w:tcPr>
          <w:p>
            <w:pPr>
              <w:ind w:left="120"/>
              <w:spacing w:after="0"/>
              <w:rPr>
                <w:sz w:val="20"/>
                <w:szCs w:val="20"/>
                <w:color w:val="auto"/>
              </w:rPr>
            </w:pPr>
            <w:r>
              <w:rPr>
                <w:rFonts w:ascii="Arial" w:cs="Arial" w:eastAsia="Arial" w:hAnsi="Arial"/>
                <w:sz w:val="10"/>
                <w:szCs w:val="10"/>
                <w:b w:val="1"/>
                <w:bCs w:val="1"/>
                <w:color w:val="FFFFFF"/>
              </w:rPr>
              <w:t>IN</w:t>
            </w:r>
          </w:p>
        </w:tc>
        <w:tc>
          <w:tcPr>
            <w:tcW w:w="9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5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940" w:type="dxa"/>
            <w:vAlign w:val="bottom"/>
            <w:vMerge w:val="restart"/>
          </w:tcPr>
          <w:p>
            <w:pPr>
              <w:jc w:val="right"/>
              <w:ind w:right="450"/>
              <w:spacing w:after="0"/>
              <w:rPr>
                <w:sz w:val="20"/>
                <w:szCs w:val="20"/>
                <w:color w:val="auto"/>
              </w:rPr>
            </w:pPr>
            <w:r>
              <w:rPr>
                <w:rFonts w:ascii="Arial" w:cs="Arial" w:eastAsia="Arial" w:hAnsi="Arial"/>
                <w:sz w:val="10"/>
                <w:szCs w:val="10"/>
                <w:b w:val="1"/>
                <w:bCs w:val="1"/>
                <w:color w:val="FFFFFF"/>
              </w:rPr>
              <w:t>WV</w:t>
            </w: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MD</w:t>
            </w:r>
          </w:p>
        </w:tc>
        <w:tc>
          <w:tcPr>
            <w:tcW w:w="0" w:type="dxa"/>
            <w:vAlign w:val="bottom"/>
          </w:tcPr>
          <w:p>
            <w:pPr>
              <w:spacing w:after="0"/>
              <w:rPr>
                <w:sz w:val="1"/>
                <w:szCs w:val="1"/>
                <w:color w:val="auto"/>
              </w:rPr>
            </w:pPr>
          </w:p>
        </w:tc>
      </w:tr>
      <w:tr>
        <w:trPr>
          <w:trHeight w:val="55"/>
        </w:trPr>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500" w:type="dxa"/>
            <w:vAlign w:val="bottom"/>
            <w:vMerge w:val="restart"/>
          </w:tcPr>
          <w:p>
            <w:pPr>
              <w:ind w:left="140"/>
              <w:spacing w:after="0"/>
              <w:rPr>
                <w:sz w:val="20"/>
                <w:szCs w:val="20"/>
                <w:color w:val="auto"/>
              </w:rPr>
            </w:pPr>
            <w:r>
              <w:rPr>
                <w:rFonts w:ascii="Arial" w:cs="Arial" w:eastAsia="Arial" w:hAnsi="Arial"/>
                <w:sz w:val="10"/>
                <w:szCs w:val="10"/>
                <w:b w:val="1"/>
                <w:bCs w:val="1"/>
                <w:color w:val="FFFFFF"/>
              </w:rPr>
              <w:t>KS</w:t>
            </w: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500" w:type="dxa"/>
            <w:vAlign w:val="bottom"/>
            <w:vMerge w:val="continue"/>
          </w:tcPr>
          <w:p>
            <w:pPr>
              <w:spacing w:after="0"/>
              <w:rPr>
                <w:sz w:val="10"/>
                <w:szCs w:val="10"/>
                <w:color w:val="auto"/>
              </w:rPr>
            </w:pPr>
          </w:p>
        </w:tc>
        <w:tc>
          <w:tcPr>
            <w:tcW w:w="960" w:type="dxa"/>
            <w:vAlign w:val="bottom"/>
            <w:vMerge w:val="restart"/>
          </w:tcPr>
          <w:p>
            <w:pPr>
              <w:ind w:left="320"/>
              <w:spacing w:after="0"/>
              <w:rPr>
                <w:sz w:val="20"/>
                <w:szCs w:val="20"/>
                <w:color w:val="auto"/>
              </w:rPr>
            </w:pPr>
            <w:r>
              <w:rPr>
                <w:rFonts w:ascii="Arial" w:cs="Arial" w:eastAsia="Arial" w:hAnsi="Arial"/>
                <w:sz w:val="10"/>
                <w:szCs w:val="10"/>
                <w:b w:val="1"/>
                <w:bCs w:val="1"/>
                <w:color w:val="FFFFFF"/>
              </w:rPr>
              <w:t>MO</w:t>
            </w:r>
          </w:p>
        </w:tc>
        <w:tc>
          <w:tcPr>
            <w:tcW w:w="420" w:type="dxa"/>
            <w:vAlign w:val="bottom"/>
            <w:vMerge w:val="restart"/>
          </w:tcPr>
          <w:p>
            <w:pPr>
              <w:ind w:left="280"/>
              <w:spacing w:after="0"/>
              <w:rPr>
                <w:sz w:val="20"/>
                <w:szCs w:val="20"/>
                <w:color w:val="auto"/>
              </w:rPr>
            </w:pPr>
            <w:r>
              <w:rPr>
                <w:rFonts w:ascii="Arial" w:cs="Arial" w:eastAsia="Arial" w:hAnsi="Arial"/>
                <w:sz w:val="10"/>
                <w:szCs w:val="10"/>
                <w:b w:val="1"/>
                <w:bCs w:val="1"/>
                <w:color w:val="FFFFFF"/>
                <w:w w:val="86"/>
              </w:rPr>
              <w:t>KY</w:t>
            </w:r>
          </w:p>
        </w:tc>
        <w:tc>
          <w:tcPr>
            <w:tcW w:w="940" w:type="dxa"/>
            <w:vAlign w:val="bottom"/>
          </w:tcPr>
          <w:p>
            <w:pPr>
              <w:jc w:val="right"/>
              <w:ind w:right="210"/>
              <w:spacing w:after="0"/>
              <w:rPr>
                <w:sz w:val="20"/>
                <w:szCs w:val="20"/>
                <w:color w:val="auto"/>
              </w:rPr>
            </w:pPr>
            <w:r>
              <w:rPr>
                <w:rFonts w:ascii="Arial" w:cs="Arial" w:eastAsia="Arial" w:hAnsi="Arial"/>
                <w:sz w:val="10"/>
                <w:szCs w:val="10"/>
                <w:b w:val="1"/>
                <w:bCs w:val="1"/>
                <w:color w:val="FFFFFF"/>
              </w:rPr>
              <w:t>VA</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0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5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0"/>
                <w:szCs w:val="10"/>
                <w:b w:val="1"/>
                <w:bCs w:val="1"/>
                <w:color w:val="FFFFFF"/>
              </w:rPr>
              <w:t>NC</w:t>
            </w: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vMerge w:val="restart"/>
          </w:tcPr>
          <w:p>
            <w:pPr>
              <w:ind w:left="80"/>
              <w:spacing w:after="0"/>
              <w:rPr>
                <w:sz w:val="20"/>
                <w:szCs w:val="20"/>
                <w:color w:val="auto"/>
              </w:rPr>
            </w:pPr>
            <w:r>
              <w:rPr>
                <w:rFonts w:ascii="Arial" w:cs="Arial" w:eastAsia="Arial" w:hAnsi="Arial"/>
                <w:sz w:val="10"/>
                <w:szCs w:val="10"/>
                <w:b w:val="1"/>
                <w:bCs w:val="1"/>
                <w:color w:val="FFFFFF"/>
              </w:rPr>
              <w:t>TN</w:t>
            </w:r>
          </w:p>
        </w:tc>
        <w:tc>
          <w:tcPr>
            <w:tcW w:w="9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500" w:type="dxa"/>
            <w:vAlign w:val="bottom"/>
            <w:vMerge w:val="restart"/>
          </w:tcPr>
          <w:p>
            <w:pPr>
              <w:ind w:left="240"/>
              <w:spacing w:after="0"/>
              <w:rPr>
                <w:sz w:val="20"/>
                <w:szCs w:val="20"/>
                <w:color w:val="auto"/>
              </w:rPr>
            </w:pPr>
            <w:r>
              <w:rPr>
                <w:rFonts w:ascii="Arial" w:cs="Arial" w:eastAsia="Arial" w:hAnsi="Arial"/>
                <w:sz w:val="10"/>
                <w:szCs w:val="10"/>
                <w:b w:val="1"/>
                <w:bCs w:val="1"/>
                <w:color w:val="FFFFFF"/>
              </w:rPr>
              <w:t>OK</w:t>
            </w:r>
          </w:p>
        </w:tc>
        <w:tc>
          <w:tcPr>
            <w:tcW w:w="9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500" w:type="dxa"/>
            <w:vAlign w:val="bottom"/>
            <w:vMerge w:val="continue"/>
          </w:tcPr>
          <w:p>
            <w:pPr>
              <w:spacing w:after="0"/>
              <w:rPr>
                <w:sz w:val="6"/>
                <w:szCs w:val="6"/>
                <w:color w:val="auto"/>
              </w:rPr>
            </w:pPr>
          </w:p>
        </w:tc>
        <w:tc>
          <w:tcPr>
            <w:tcW w:w="960" w:type="dxa"/>
            <w:vAlign w:val="bottom"/>
            <w:vMerge w:val="restart"/>
          </w:tcPr>
          <w:p>
            <w:pPr>
              <w:ind w:left="380"/>
              <w:spacing w:after="0"/>
              <w:rPr>
                <w:sz w:val="20"/>
                <w:szCs w:val="20"/>
                <w:color w:val="auto"/>
              </w:rPr>
            </w:pPr>
            <w:r>
              <w:rPr>
                <w:rFonts w:ascii="Arial" w:cs="Arial" w:eastAsia="Arial" w:hAnsi="Arial"/>
                <w:sz w:val="10"/>
                <w:szCs w:val="10"/>
                <w:b w:val="1"/>
                <w:bCs w:val="1"/>
                <w:color w:val="FFFFFF"/>
              </w:rPr>
              <w:t>AR</w:t>
            </w:r>
          </w:p>
        </w:tc>
        <w:tc>
          <w:tcPr>
            <w:tcW w:w="420" w:type="dxa"/>
            <w:vAlign w:val="bottom"/>
          </w:tcPr>
          <w:p>
            <w:pPr>
              <w:spacing w:after="0"/>
              <w:rPr>
                <w:sz w:val="6"/>
                <w:szCs w:val="6"/>
                <w:color w:val="auto"/>
              </w:rPr>
            </w:pPr>
          </w:p>
        </w:tc>
        <w:tc>
          <w:tcPr>
            <w:tcW w:w="940" w:type="dxa"/>
            <w:vAlign w:val="bottom"/>
            <w:vMerge w:val="restart"/>
          </w:tcPr>
          <w:p>
            <w:pPr>
              <w:jc w:val="right"/>
              <w:ind w:right="350"/>
              <w:spacing w:after="0"/>
              <w:rPr>
                <w:sz w:val="20"/>
                <w:szCs w:val="20"/>
                <w:color w:val="auto"/>
              </w:rPr>
            </w:pPr>
            <w:r>
              <w:rPr>
                <w:rFonts w:ascii="Arial" w:cs="Arial" w:eastAsia="Arial" w:hAnsi="Arial"/>
                <w:sz w:val="10"/>
                <w:szCs w:val="10"/>
                <w:b w:val="1"/>
                <w:bCs w:val="1"/>
                <w:color w:val="FFFFFF"/>
              </w:rPr>
              <w:t>SC</w:t>
            </w: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960" w:type="dxa"/>
            <w:vAlign w:val="bottom"/>
            <w:vMerge w:val="restart"/>
          </w:tcPr>
          <w:p>
            <w:pPr>
              <w:ind w:left="740"/>
              <w:spacing w:after="0"/>
              <w:rPr>
                <w:sz w:val="20"/>
                <w:szCs w:val="20"/>
                <w:color w:val="auto"/>
              </w:rPr>
            </w:pPr>
            <w:r>
              <w:rPr>
                <w:rFonts w:ascii="Arial" w:cs="Arial" w:eastAsia="Arial" w:hAnsi="Arial"/>
                <w:sz w:val="10"/>
                <w:szCs w:val="10"/>
                <w:b w:val="1"/>
                <w:bCs w:val="1"/>
                <w:color w:val="FFFFFF"/>
              </w:rPr>
              <w:t>MS</w:t>
            </w:r>
          </w:p>
        </w:tc>
        <w:tc>
          <w:tcPr>
            <w:tcW w:w="420" w:type="dxa"/>
            <w:vAlign w:val="bottom"/>
          </w:tcPr>
          <w:p>
            <w:pPr>
              <w:ind w:left="140"/>
              <w:spacing w:after="0"/>
              <w:rPr>
                <w:sz w:val="20"/>
                <w:szCs w:val="20"/>
                <w:color w:val="auto"/>
              </w:rPr>
            </w:pPr>
            <w:r>
              <w:rPr>
                <w:rFonts w:ascii="Arial" w:cs="Arial" w:eastAsia="Arial" w:hAnsi="Arial"/>
                <w:sz w:val="10"/>
                <w:szCs w:val="10"/>
                <w:b w:val="1"/>
                <w:bCs w:val="1"/>
                <w:color w:val="FFFFFF"/>
              </w:rPr>
              <w:t>AL</w:t>
            </w:r>
          </w:p>
        </w:tc>
        <w:tc>
          <w:tcPr>
            <w:tcW w:w="940" w:type="dxa"/>
            <w:vAlign w:val="bottom"/>
          </w:tcPr>
          <w:p>
            <w:pPr>
              <w:jc w:val="right"/>
              <w:ind w:right="650"/>
              <w:spacing w:after="0"/>
              <w:rPr>
                <w:sz w:val="20"/>
                <w:szCs w:val="20"/>
                <w:color w:val="auto"/>
              </w:rPr>
            </w:pPr>
            <w:r>
              <w:rPr>
                <w:rFonts w:ascii="Arial" w:cs="Arial" w:eastAsia="Arial" w:hAnsi="Arial"/>
                <w:sz w:val="10"/>
                <w:szCs w:val="10"/>
                <w:b w:val="1"/>
                <w:bCs w:val="1"/>
                <w:color w:val="FFFFFF"/>
              </w:rPr>
              <w:t>GA</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5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500" w:type="dxa"/>
            <w:vAlign w:val="bottom"/>
            <w:vMerge w:val="restart"/>
          </w:tcPr>
          <w:p>
            <w:pPr>
              <w:ind w:left="20"/>
              <w:spacing w:after="0"/>
              <w:rPr>
                <w:sz w:val="20"/>
                <w:szCs w:val="20"/>
                <w:color w:val="auto"/>
              </w:rPr>
            </w:pPr>
            <w:r>
              <w:rPr>
                <w:rFonts w:ascii="Arial" w:cs="Arial" w:eastAsia="Arial" w:hAnsi="Arial"/>
                <w:sz w:val="10"/>
                <w:szCs w:val="10"/>
                <w:b w:val="1"/>
                <w:bCs w:val="1"/>
                <w:color w:val="FFFFFF"/>
              </w:rPr>
              <w:t>TX</w:t>
            </w:r>
          </w:p>
        </w:tc>
        <w:tc>
          <w:tcPr>
            <w:tcW w:w="960" w:type="dxa"/>
            <w:vAlign w:val="bottom"/>
          </w:tcPr>
          <w:p>
            <w:pPr>
              <w:ind w:left="420"/>
              <w:spacing w:after="0"/>
              <w:rPr>
                <w:sz w:val="20"/>
                <w:szCs w:val="20"/>
                <w:color w:val="auto"/>
              </w:rPr>
            </w:pPr>
            <w:r>
              <w:rPr>
                <w:rFonts w:ascii="Arial" w:cs="Arial" w:eastAsia="Arial" w:hAnsi="Arial"/>
                <w:sz w:val="10"/>
                <w:szCs w:val="10"/>
                <w:b w:val="1"/>
                <w:bCs w:val="1"/>
                <w:color w:val="auto"/>
              </w:rPr>
              <w:t>LA</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50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350"/>
              <w:spacing w:after="0"/>
              <w:rPr>
                <w:sz w:val="20"/>
                <w:szCs w:val="20"/>
                <w:color w:val="auto"/>
              </w:rPr>
            </w:pPr>
            <w:r>
              <w:rPr>
                <w:rFonts w:ascii="Arial" w:cs="Arial" w:eastAsia="Arial" w:hAnsi="Arial"/>
                <w:sz w:val="10"/>
                <w:szCs w:val="10"/>
                <w:b w:val="1"/>
                <w:bCs w:val="1"/>
                <w:color w:val="FFFFFF"/>
              </w:rPr>
              <w:t>FL</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560"/>
        <w:spacing w:after="0"/>
        <w:rPr>
          <w:sz w:val="20"/>
          <w:szCs w:val="20"/>
          <w:color w:val="auto"/>
        </w:rPr>
      </w:pPr>
      <w:r>
        <w:rPr>
          <w:rFonts w:ascii="Arial" w:cs="Arial" w:eastAsia="Arial" w:hAnsi="Arial"/>
          <w:sz w:val="10"/>
          <w:szCs w:val="10"/>
          <w:color w:val="auto"/>
        </w:rPr>
        <w:t>Bahamas</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0"/>
          <w:szCs w:val="10"/>
          <w:color w:val="auto"/>
        </w:rPr>
        <w:t>Yucatán</w:t>
      </w:r>
    </w:p>
    <w:p>
      <w:pPr>
        <w:spacing w:after="0" w:line="18" w:lineRule="exact"/>
        <w:rPr>
          <w:sz w:val="20"/>
          <w:szCs w:val="20"/>
          <w:color w:val="auto"/>
        </w:rPr>
      </w:pPr>
    </w:p>
    <w:p>
      <w:pPr>
        <w:ind w:left="1600"/>
        <w:spacing w:after="0"/>
        <w:rPr>
          <w:sz w:val="20"/>
          <w:szCs w:val="20"/>
          <w:color w:val="auto"/>
        </w:rPr>
      </w:pPr>
      <w:r>
        <w:rPr>
          <w:rFonts w:ascii="Arial" w:cs="Arial" w:eastAsia="Arial" w:hAnsi="Arial"/>
          <w:sz w:val="10"/>
          <w:szCs w:val="10"/>
          <w:color w:val="auto"/>
        </w:rPr>
        <w:t>Peninsula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color w:val="auto"/>
        </w:rPr>
        <w:t>Nova Scotia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U.S. aggregates producers</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 xml:space="preserve">(by shipments) </w:t>
      </w:r>
      <w:r>
        <w:rPr>
          <w:rFonts w:ascii="Arial" w:cs="Arial" w:eastAsia="Arial" w:hAnsi="Arial"/>
          <w:sz w:val="11"/>
          <w:szCs w:val="11"/>
          <w:b w:val="1"/>
          <w:bCs w:val="1"/>
          <w:color w:val="auto"/>
        </w:rPr>
        <w:t>¹</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8"/>
          <w:szCs w:val="8"/>
          <w:b w:val="1"/>
          <w:bCs w:val="1"/>
          <w:color w:val="auto"/>
        </w:rPr>
        <w:t>2,3</w:t>
      </w:r>
    </w:p>
    <w:p>
      <w:pPr>
        <w:spacing w:after="0" w:line="200" w:lineRule="exact"/>
        <w:rPr>
          <w:sz w:val="20"/>
          <w:szCs w:val="20"/>
          <w:color w:val="auto"/>
        </w:rPr>
      </w:pPr>
    </w:p>
    <w:p>
      <w:pPr>
        <w:spacing w:after="0" w:line="373" w:lineRule="exact"/>
        <w:rPr>
          <w:sz w:val="20"/>
          <w:szCs w:val="20"/>
          <w:color w:val="auto"/>
        </w:rPr>
      </w:pPr>
    </w:p>
    <w:p>
      <w:pPr>
        <w:ind w:left="1560"/>
        <w:spacing w:after="0"/>
        <w:rPr>
          <w:sz w:val="20"/>
          <w:szCs w:val="20"/>
          <w:color w:val="auto"/>
        </w:rPr>
      </w:pPr>
      <w:r>
        <w:rPr>
          <w:rFonts w:ascii="Arial" w:cs="Arial" w:eastAsia="Arial" w:hAnsi="Arial"/>
          <w:sz w:val="8"/>
          <w:szCs w:val="8"/>
          <w:b w:val="1"/>
          <w:bCs w:val="1"/>
          <w:color w:val="auto"/>
        </w:rPr>
        <w:t>4</w:t>
      </w:r>
    </w:p>
    <w:p>
      <w:pPr>
        <w:spacing w:after="0" w:line="2172" w:lineRule="exact"/>
        <w:rPr>
          <w:sz w:val="20"/>
          <w:szCs w:val="20"/>
          <w:color w:val="auto"/>
        </w:rPr>
      </w:pPr>
    </w:p>
    <w:p>
      <w:pPr>
        <w:sectPr>
          <w:pgSz w:w="11900" w:h="16838" w:orient="portrait"/>
          <w:cols w:equalWidth="0" w:num="3">
            <w:col w:w="2740" w:space="400"/>
            <w:col w:w="3360" w:space="680"/>
            <w:col w:w="2400"/>
          </w:cols>
          <w:pgMar w:left="1340" w:top="633" w:right="979" w:bottom="1440" w:gutter="0" w:footer="0" w:header="0"/>
          <w:type w:val="continuous"/>
        </w:sectPr>
      </w:pPr>
    </w:p>
    <w:p>
      <w:pPr>
        <w:spacing w:after="0" w:line="279" w:lineRule="exact"/>
        <w:rPr>
          <w:sz w:val="20"/>
          <w:szCs w:val="20"/>
          <w:color w:val="auto"/>
        </w:rPr>
      </w:pPr>
    </w:p>
    <w:p>
      <w:pPr>
        <w:ind w:left="1060"/>
        <w:spacing w:after="0"/>
        <w:rPr>
          <w:sz w:val="20"/>
          <w:szCs w:val="20"/>
          <w:color w:val="auto"/>
        </w:rPr>
      </w:pPr>
      <w:r>
        <w:rPr>
          <w:rFonts w:ascii="Arial" w:cs="Arial" w:eastAsia="Arial" w:hAnsi="Arial"/>
          <w:sz w:val="23"/>
          <w:szCs w:val="23"/>
          <w:b w:val="1"/>
          <w:bCs w:val="1"/>
          <w:color w:val="FFFFFF"/>
        </w:rPr>
        <w:t>Combined company has extensive geographic coverage and diversity</w:t>
      </w:r>
    </w:p>
    <w:p>
      <w:pPr>
        <w:spacing w:after="0" w:line="194"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0"/>
          <w:szCs w:val="10"/>
          <w:color w:val="auto"/>
        </w:rPr>
        <w:t>Note 1:</w:t>
        <w:tab/>
        <w:t>Fiscal year 2011 annual shipments measured in millions of short tons and based on publicly available information. Excludes divestitures.</w:t>
      </w:r>
    </w:p>
    <w:p>
      <w:pPr>
        <w:spacing w:after="0" w:line="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0"/>
          <w:szCs w:val="10"/>
          <w:color w:val="auto"/>
        </w:rPr>
        <w:t>Note 2:</w:t>
      </w:r>
      <w:r>
        <w:rPr>
          <w:sz w:val="20"/>
          <w:szCs w:val="20"/>
          <w:color w:val="auto"/>
        </w:rPr>
        <w:tab/>
      </w:r>
      <w:r>
        <w:rPr>
          <w:rFonts w:ascii="Arial" w:cs="Arial" w:eastAsia="Arial" w:hAnsi="Arial"/>
          <w:sz w:val="9"/>
          <w:szCs w:val="9"/>
          <w:color w:val="auto"/>
        </w:rPr>
        <w:t>Martin Marietta includes shipments from Nova Scotia and the Bahamas which are primarily used to service the U.S.</w:t>
      </w:r>
    </w:p>
    <w:p>
      <w:pPr>
        <w:spacing w:after="0" w:line="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0"/>
          <w:szCs w:val="10"/>
          <w:color w:val="auto"/>
        </w:rPr>
        <w:t>Note 3:</w:t>
      </w:r>
      <w:r>
        <w:rPr>
          <w:sz w:val="20"/>
          <w:szCs w:val="20"/>
          <w:color w:val="auto"/>
        </w:rPr>
        <w:tab/>
      </w:r>
      <w:r>
        <w:rPr>
          <w:rFonts w:ascii="Arial" w:cs="Arial" w:eastAsia="Arial" w:hAnsi="Arial"/>
          <w:sz w:val="9"/>
          <w:szCs w:val="9"/>
          <w:color w:val="auto"/>
        </w:rPr>
        <w:t>Vulcan includes shipments from the Yucatán Peninsula and the Bahamas.</w:t>
      </w:r>
    </w:p>
    <w:p>
      <w:pPr>
        <w:spacing w:after="0" w:line="18"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0"/>
          <w:szCs w:val="10"/>
          <w:color w:val="auto"/>
        </w:rPr>
        <w:t>Note 4:</w:t>
      </w:r>
      <w:r>
        <w:rPr>
          <w:sz w:val="20"/>
          <w:szCs w:val="20"/>
          <w:color w:val="auto"/>
        </w:rPr>
        <w:tab/>
      </w:r>
      <w:r>
        <w:rPr>
          <w:rFonts w:ascii="Arial" w:cs="Arial" w:eastAsia="Arial" w:hAnsi="Arial"/>
          <w:sz w:val="9"/>
          <w:szCs w:val="9"/>
          <w:color w:val="auto"/>
        </w:rPr>
        <w:t>Heidelberg reports North American aggregates volumes, which includes production sites in western Canada.</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0"/>
          <w:szCs w:val="10"/>
          <w:color w:val="auto"/>
        </w:rPr>
        <w:t>Source: Company filings</w:t>
      </w:r>
    </w:p>
    <w:p>
      <w:pPr>
        <w:spacing w:after="0" w:line="166"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B4996E"/>
        </w:rPr>
        <w:t>27</w:t>
      </w:r>
    </w:p>
    <w:p>
      <w:pPr>
        <w:sectPr>
          <w:pgSz w:w="11900" w:h="16838" w:orient="portrait"/>
          <w:cols w:equalWidth="0" w:num="1">
            <w:col w:w="9580"/>
          </w:cols>
          <w:pgMar w:left="1340" w:top="633" w:right="9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Creates a “World-Class” U.S.-Based Aggregates Leader</w:t>
      </w:r>
    </w:p>
    <w:p>
      <w:pPr>
        <w:spacing w:after="0" w:line="200" w:lineRule="exact"/>
        <w:rPr>
          <w:sz w:val="20"/>
          <w:szCs w:val="20"/>
          <w:color w:val="auto"/>
        </w:rPr>
      </w:pPr>
    </w:p>
    <w:p>
      <w:pPr>
        <w:spacing w:after="0" w:line="271" w:lineRule="exact"/>
        <w:rPr>
          <w:sz w:val="20"/>
          <w:szCs w:val="20"/>
          <w:color w:val="auto"/>
        </w:rPr>
      </w:pPr>
    </w:p>
    <w:p>
      <w:pPr>
        <w:ind w:left="2740"/>
        <w:spacing w:after="0"/>
        <w:rPr>
          <w:sz w:val="20"/>
          <w:szCs w:val="20"/>
          <w:color w:val="auto"/>
        </w:rPr>
      </w:pPr>
      <w:r>
        <w:rPr>
          <w:rFonts w:ascii="Arial" w:cs="Arial" w:eastAsia="Arial" w:hAnsi="Arial"/>
          <w:sz w:val="27"/>
          <w:szCs w:val="27"/>
          <w:b w:val="1"/>
          <w:bCs w:val="1"/>
          <w:color w:val="004E7A"/>
        </w:rPr>
        <w:t>Aggregates Shipments by Tonnage</w:t>
      </w:r>
    </w:p>
    <w:p>
      <w:pPr>
        <w:spacing w:after="0" w:line="233" w:lineRule="exact"/>
        <w:rPr>
          <w:sz w:val="20"/>
          <w:szCs w:val="20"/>
          <w:color w:val="auto"/>
        </w:rPr>
      </w:pPr>
    </w:p>
    <w:p>
      <w:pPr>
        <w:ind w:left="1980"/>
        <w:spacing w:after="0"/>
        <w:tabs>
          <w:tab w:leader="none" w:pos="6980" w:val="left"/>
        </w:tabs>
        <w:rPr>
          <w:sz w:val="20"/>
          <w:szCs w:val="20"/>
          <w:color w:val="auto"/>
        </w:rPr>
      </w:pPr>
      <w:r>
        <w:rPr>
          <w:rFonts w:ascii="Arial" w:cs="Arial" w:eastAsia="Arial" w:hAnsi="Arial"/>
          <w:sz w:val="27"/>
          <w:szCs w:val="27"/>
          <w:b w:val="1"/>
          <w:bCs w:val="1"/>
          <w:color w:val="004E7A"/>
        </w:rPr>
        <w:t>U.S.</w:t>
      </w:r>
      <w:r>
        <w:rPr>
          <w:sz w:val="20"/>
          <w:szCs w:val="20"/>
          <w:color w:val="auto"/>
        </w:rPr>
        <w:tab/>
      </w:r>
      <w:r>
        <w:rPr>
          <w:rFonts w:ascii="Arial" w:cs="Arial" w:eastAsia="Arial" w:hAnsi="Arial"/>
          <w:sz w:val="27"/>
          <w:szCs w:val="27"/>
          <w:b w:val="1"/>
          <w:bCs w:val="1"/>
          <w:color w:val="004E7A"/>
        </w:rPr>
        <w:t>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80"/>
        <w:spacing w:after="0"/>
        <w:rPr>
          <w:sz w:val="20"/>
          <w:szCs w:val="20"/>
          <w:color w:val="auto"/>
        </w:rPr>
      </w:pPr>
      <w:r>
        <w:rPr>
          <w:rFonts w:ascii="Arial" w:cs="Arial" w:eastAsia="Arial" w:hAnsi="Arial"/>
          <w:sz w:val="23"/>
          <w:szCs w:val="23"/>
          <w:b w:val="1"/>
          <w:bCs w:val="1"/>
          <w:color w:val="FFFFFF"/>
        </w:rPr>
        <w:t>Combinationcreates the “must own” U.S. heavy building materials stock</w:t>
      </w:r>
    </w:p>
    <w:p>
      <w:pPr>
        <w:sectPr>
          <w:pgSz w:w="11900" w:h="16838" w:orient="portrait"/>
          <w:cols w:equalWidth="0" w:num="1">
            <w:col w:w="9500"/>
          </w:cols>
          <w:pgMar w:left="1340" w:top="634" w:right="10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0"/>
          <w:szCs w:val="10"/>
          <w:color w:val="auto"/>
        </w:rPr>
        <w:t>Note:</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Note 1:</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Note 2:</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Note 3:</w:t>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Source: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color w:val="auto"/>
        </w:rPr>
        <w:t>Fiscal year 2011 annual shipments measured in millions of short tons and based on publicly available information. Excludes divestitures.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Vulcan includes shipments from the Yucatán Peninsula and the Bahamas.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Martin Marietta includes shipments from Nova Scotia and the Bahamas which are primarily used to service the U.S.</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Heidelberg reports North American aggregates volumes, which includes production sites in Western Canada.</w:t>
      </w: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Company filings</w:t>
      </w:r>
    </w:p>
    <w:p>
      <w:pPr>
        <w:spacing w:after="0" w:line="155" w:lineRule="exact"/>
        <w:rPr>
          <w:sz w:val="20"/>
          <w:szCs w:val="20"/>
          <w:color w:val="auto"/>
        </w:rPr>
      </w:pPr>
    </w:p>
    <w:p>
      <w:pPr>
        <w:sectPr>
          <w:pgSz w:w="11900" w:h="16838" w:orient="portrait"/>
          <w:cols w:equalWidth="0" w:num="2">
            <w:col w:w="340" w:space="80"/>
            <w:col w:w="9080"/>
          </w:cols>
          <w:pgMar w:left="1340" w:top="634" w:right="1059" w:bottom="1440" w:gutter="0" w:footer="0" w:header="0"/>
          <w:type w:val="continuous"/>
        </w:sectPr>
      </w:pPr>
    </w:p>
    <w:p>
      <w:pPr>
        <w:jc w:val="right"/>
        <w:spacing w:after="0"/>
        <w:rPr>
          <w:sz w:val="20"/>
          <w:szCs w:val="20"/>
          <w:color w:val="auto"/>
        </w:rPr>
      </w:pPr>
      <w:r>
        <w:rPr>
          <w:rFonts w:ascii="Arial" w:cs="Arial" w:eastAsia="Arial" w:hAnsi="Arial"/>
          <w:sz w:val="14"/>
          <w:szCs w:val="14"/>
          <w:color w:val="B4996E"/>
        </w:rPr>
        <w:t>28</w:t>
      </w:r>
    </w:p>
    <w:p>
      <w:pPr>
        <w:sectPr>
          <w:pgSz w:w="11900" w:h="16838" w:orient="portrait"/>
          <w:cols w:equalWidth="0" w:num="1">
            <w:col w:w="9500"/>
          </w:cols>
          <w:pgMar w:left="1340" w:top="634" w:right="10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Realization of $200 - 250M in Annual Cost Synergies</w:t>
      </w:r>
    </w:p>
    <w:p>
      <w:pPr>
        <w:sectPr>
          <w:pgSz w:w="11900" w:h="16838" w:orient="portrait"/>
          <w:cols w:equalWidth="0" w:num="1">
            <w:col w:w="9500"/>
          </w:cols>
          <w:pgMar w:left="1340" w:top="634"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FFFFFF"/>
        </w:rPr>
        <w:t>$50 – 60M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FFFFFF"/>
        </w:rPr>
        <w:t>$50 – 60M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7"/>
        <w:spacing w:after="0"/>
        <w:rPr>
          <w:sz w:val="20"/>
          <w:szCs w:val="20"/>
          <w:color w:val="auto"/>
        </w:rPr>
      </w:pPr>
      <w:r>
        <w:rPr>
          <w:rFonts w:ascii="Arial" w:cs="Arial" w:eastAsia="Arial" w:hAnsi="Arial"/>
          <w:sz w:val="21"/>
          <w:szCs w:val="21"/>
          <w:b w:val="1"/>
          <w:bCs w:val="1"/>
          <w:color w:val="FFFFFF"/>
        </w:rPr>
        <w:t>Improved Purchasing Efficiencies from Greater Scale</w:t>
      </w:r>
    </w:p>
    <w:p>
      <w:pPr>
        <w:spacing w:after="0" w:line="158" w:lineRule="exact"/>
        <w:rPr>
          <w:sz w:val="20"/>
          <w:szCs w:val="20"/>
          <w:color w:val="auto"/>
        </w:rPr>
      </w:pPr>
    </w:p>
    <w:p>
      <w:pPr>
        <w:ind w:left="127" w:hanging="127"/>
        <w:spacing w:after="0"/>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Goods and services</w:t>
      </w:r>
    </w:p>
    <w:p>
      <w:pPr>
        <w:spacing w:after="0" w:line="25" w:lineRule="exact"/>
        <w:rPr>
          <w:rFonts w:ascii="Arial" w:cs="Arial" w:eastAsia="Arial" w:hAnsi="Arial"/>
          <w:sz w:val="18"/>
          <w:szCs w:val="18"/>
          <w:color w:val="auto"/>
        </w:rPr>
      </w:pPr>
    </w:p>
    <w:p>
      <w:pPr>
        <w:ind w:left="127" w:hanging="127"/>
        <w:spacing w:after="0"/>
        <w:tabs>
          <w:tab w:leader="none" w:pos="1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 network</w:t>
      </w:r>
    </w:p>
    <w:p>
      <w:pPr>
        <w:spacing w:after="0" w:line="200" w:lineRule="exact"/>
        <w:rPr>
          <w:sz w:val="20"/>
          <w:szCs w:val="20"/>
          <w:color w:val="auto"/>
        </w:rPr>
      </w:pPr>
    </w:p>
    <w:p>
      <w:pPr>
        <w:spacing w:after="0" w:line="257" w:lineRule="exact"/>
        <w:rPr>
          <w:sz w:val="20"/>
          <w:szCs w:val="20"/>
          <w:color w:val="auto"/>
        </w:rPr>
      </w:pPr>
    </w:p>
    <w:p>
      <w:pPr>
        <w:ind w:left="1147"/>
        <w:spacing w:after="0"/>
        <w:rPr>
          <w:sz w:val="20"/>
          <w:szCs w:val="20"/>
          <w:color w:val="auto"/>
        </w:rPr>
      </w:pPr>
      <w:r>
        <w:rPr>
          <w:rFonts w:ascii="Arial" w:cs="Arial" w:eastAsia="Arial" w:hAnsi="Arial"/>
          <w:sz w:val="21"/>
          <w:szCs w:val="21"/>
          <w:b w:val="1"/>
          <w:bCs w:val="1"/>
          <w:color w:val="FFFFFF"/>
        </w:rPr>
        <w:t>Duplicative Operating Functions</w:t>
      </w:r>
    </w:p>
    <w:p>
      <w:pPr>
        <w:spacing w:after="0" w:line="169" w:lineRule="exact"/>
        <w:rPr>
          <w:sz w:val="20"/>
          <w:szCs w:val="20"/>
          <w:color w:val="auto"/>
        </w:rPr>
      </w:pPr>
    </w:p>
    <w:p>
      <w:pPr>
        <w:ind w:left="127" w:hanging="127"/>
        <w:spacing w:after="0"/>
        <w:tabs>
          <w:tab w:leader="none" w:pos="1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Realigned organizational structure</w:t>
      </w:r>
    </w:p>
    <w:p>
      <w:pPr>
        <w:spacing w:after="0" w:line="25" w:lineRule="exact"/>
        <w:rPr>
          <w:rFonts w:ascii="Arial" w:cs="Arial" w:eastAsia="Arial" w:hAnsi="Arial"/>
          <w:sz w:val="18"/>
          <w:szCs w:val="18"/>
          <w:color w:val="auto"/>
        </w:rPr>
      </w:pPr>
    </w:p>
    <w:p>
      <w:pPr>
        <w:ind w:left="127" w:right="1260" w:hanging="127"/>
        <w:spacing w:after="0" w:line="263" w:lineRule="auto"/>
        <w:tabs>
          <w:tab w:leader="none" w:pos="1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facility, sales force and production overhead integration</w:t>
      </w:r>
    </w:p>
    <w:p>
      <w:pPr>
        <w:spacing w:after="0" w:line="200" w:lineRule="exact"/>
        <w:rPr>
          <w:sz w:val="20"/>
          <w:szCs w:val="20"/>
          <w:color w:val="auto"/>
        </w:rPr>
      </w:pPr>
    </w:p>
    <w:p>
      <w:pPr>
        <w:sectPr>
          <w:pgSz w:w="11900" w:h="16838" w:orient="portrait"/>
          <w:cols w:equalWidth="0" w:num="2">
            <w:col w:w="2813" w:space="720"/>
            <w:col w:w="5967"/>
          </w:cols>
          <w:pgMar w:left="1340" w:top="634" w:right="1059" w:bottom="1440" w:gutter="0" w:footer="0" w:header="0"/>
          <w:type w:val="continuous"/>
        </w:sectPr>
      </w:pPr>
    </w:p>
    <w:p>
      <w:pPr>
        <w:spacing w:after="0" w:line="11" w:lineRule="exact"/>
        <w:rPr>
          <w:sz w:val="20"/>
          <w:szCs w:val="20"/>
          <w:color w:val="auto"/>
        </w:rPr>
      </w:pPr>
    </w:p>
    <w:p>
      <w:pPr>
        <w:ind w:left="4900"/>
        <w:spacing w:after="0"/>
        <w:rPr>
          <w:sz w:val="20"/>
          <w:szCs w:val="20"/>
          <w:color w:val="auto"/>
        </w:rPr>
      </w:pPr>
      <w:r>
        <w:rPr>
          <w:rFonts w:ascii="Arial" w:cs="Arial" w:eastAsia="Arial" w:hAnsi="Arial"/>
          <w:sz w:val="21"/>
          <w:szCs w:val="21"/>
          <w:b w:val="1"/>
          <w:bCs w:val="1"/>
          <w:color w:val="FFFFFF"/>
        </w:rPr>
        <w:t>Duplicative SG&amp;A Functions</w:t>
      </w:r>
    </w:p>
    <w:p>
      <w:pPr>
        <w:spacing w:after="0" w:line="158"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 Management, facility, corporate overhead and information</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technology integration</w:t>
      </w:r>
    </w:p>
    <w:p>
      <w:pPr>
        <w:ind w:left="3540"/>
        <w:spacing w:after="0" w:line="223" w:lineRule="auto"/>
        <w:rPr>
          <w:sz w:val="20"/>
          <w:szCs w:val="20"/>
          <w:color w:val="auto"/>
        </w:rPr>
      </w:pPr>
      <w:r>
        <w:rPr>
          <w:rFonts w:ascii="Arial" w:cs="Arial" w:eastAsia="Arial" w:hAnsi="Arial"/>
          <w:sz w:val="18"/>
          <w:szCs w:val="18"/>
          <w:color w:val="auto"/>
        </w:rPr>
        <w:t>• Public company costs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FFFFFF"/>
        </w:rPr>
        <w:t>$100 – 130M</w:t>
      </w:r>
    </w:p>
    <w:p>
      <w:pPr>
        <w:spacing w:after="0" w:line="201"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Realization and Cost to Achieve</w:t>
      </w:r>
    </w:p>
    <w:p>
      <w:pPr>
        <w:spacing w:after="0" w:line="158" w:lineRule="exact"/>
        <w:rPr>
          <w:sz w:val="20"/>
          <w:szCs w:val="20"/>
          <w:color w:val="auto"/>
        </w:rPr>
      </w:pPr>
    </w:p>
    <w:p>
      <w:pPr>
        <w:ind w:left="3660" w:hanging="127"/>
        <w:spacing w:after="0"/>
        <w:tabs>
          <w:tab w:leader="none" w:pos="3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Synergies expected to be realized over two to three years</w:t>
      </w:r>
    </w:p>
    <w:p>
      <w:pPr>
        <w:spacing w:after="0" w:line="25" w:lineRule="exact"/>
        <w:rPr>
          <w:rFonts w:ascii="Arial" w:cs="Arial" w:eastAsia="Arial" w:hAnsi="Arial"/>
          <w:sz w:val="18"/>
          <w:szCs w:val="18"/>
          <w:color w:val="auto"/>
        </w:rPr>
      </w:pPr>
    </w:p>
    <w:p>
      <w:pPr>
        <w:ind w:left="3660" w:right="740" w:hanging="127"/>
        <w:spacing w:after="0" w:line="263" w:lineRule="auto"/>
        <w:tabs>
          <w:tab w:leader="none" w:pos="3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One-time costs to achieve synergies expected to be equal to one times fully achieved annual synergies</w:t>
      </w:r>
    </w:p>
    <w:p>
      <w:pPr>
        <w:spacing w:after="0" w:line="39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FFFFFF"/>
        </w:rPr>
        <w:t>Realization of cost synergies creates significant shareholder value</w:t>
      </w:r>
    </w:p>
    <w:p>
      <w:pPr>
        <w:spacing w:after="0" w:line="205" w:lineRule="exact"/>
        <w:rPr>
          <w:sz w:val="20"/>
          <w:szCs w:val="20"/>
          <w:color w:val="auto"/>
        </w:rPr>
      </w:pPr>
    </w:p>
    <w:p>
      <w:pPr>
        <w:ind w:left="560"/>
        <w:spacing w:after="0"/>
        <w:tabs>
          <w:tab w:leader="none" w:pos="940" w:val="left"/>
        </w:tabs>
        <w:rPr>
          <w:sz w:val="20"/>
          <w:szCs w:val="20"/>
          <w:color w:val="auto"/>
        </w:rPr>
      </w:pPr>
      <w:r>
        <w:rPr>
          <w:rFonts w:ascii="Arial" w:cs="Arial" w:eastAsia="Arial" w:hAnsi="Arial"/>
          <w:sz w:val="10"/>
          <w:szCs w:val="10"/>
          <w:color w:val="auto"/>
        </w:rPr>
        <w:t>Note:</w:t>
      </w:r>
      <w:r>
        <w:rPr>
          <w:sz w:val="20"/>
          <w:szCs w:val="20"/>
          <w:color w:val="auto"/>
        </w:rPr>
        <w:tab/>
      </w:r>
      <w:r>
        <w:rPr>
          <w:rFonts w:ascii="Arial" w:cs="Arial" w:eastAsia="Arial" w:hAnsi="Arial"/>
          <w:sz w:val="10"/>
          <w:szCs w:val="10"/>
          <w:color w:val="auto"/>
        </w:rPr>
        <w:t>Please refer to note 2 on page 6.</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29</w:t>
      </w:r>
    </w:p>
    <w:p>
      <w:pPr>
        <w:sectPr>
          <w:pgSz w:w="11900" w:h="16838" w:orient="portrait"/>
          <w:cols w:equalWidth="0" w:num="1">
            <w:col w:w="9500"/>
          </w:cols>
          <w:pgMar w:left="1340" w:top="634" w:right="10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9"/>
          <w:szCs w:val="29"/>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Significant Shareholder Value Creation</w:t>
      </w:r>
    </w:p>
    <w:p>
      <w:pPr>
        <w:sectPr>
          <w:pgSz w:w="11900" w:h="16838" w:orient="portrait"/>
          <w:cols w:equalWidth="0" w:num="1">
            <w:col w:w="9500"/>
          </w:cols>
          <w:pgMar w:left="1340" w:top="633"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
        <w:spacing w:after="0"/>
        <w:rPr>
          <w:sz w:val="20"/>
          <w:szCs w:val="20"/>
          <w:color w:val="auto"/>
        </w:rPr>
      </w:pPr>
      <w:r>
        <w:rPr>
          <w:rFonts w:ascii="Arial" w:cs="Arial" w:eastAsia="Arial" w:hAnsi="Arial"/>
          <w:sz w:val="27"/>
          <w:szCs w:val="27"/>
          <w:b w:val="1"/>
          <w:bCs w:val="1"/>
          <w:color w:val="FFFFFF"/>
        </w:rPr>
        <w:t>Estimated</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27"/>
          <w:szCs w:val="27"/>
          <w:b w:val="1"/>
          <w:bCs w:val="1"/>
          <w:color w:val="FFFFFF"/>
        </w:rPr>
        <w:t>$200 - $250 million</w:t>
      </w:r>
    </w:p>
    <w:p>
      <w:pPr>
        <w:ind w:left="100"/>
        <w:spacing w:after="0" w:line="197" w:lineRule="auto"/>
        <w:rPr>
          <w:sz w:val="20"/>
          <w:szCs w:val="20"/>
          <w:color w:val="auto"/>
        </w:rPr>
      </w:pPr>
      <w:r>
        <w:rPr>
          <w:rFonts w:ascii="Arial" w:cs="Arial" w:eastAsia="Arial" w:hAnsi="Arial"/>
          <w:sz w:val="26"/>
          <w:szCs w:val="26"/>
          <w:b w:val="1"/>
          <w:bCs w:val="1"/>
          <w:color w:val="FFFFFF"/>
        </w:rPr>
        <w:t>in annual synergies</w:t>
      </w:r>
      <w:r>
        <w:rPr>
          <w:rFonts w:ascii="Arial" w:cs="Arial" w:eastAsia="Arial" w:hAnsi="Arial"/>
          <w:sz w:val="34"/>
          <w:szCs w:val="34"/>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27"/>
          <w:szCs w:val="27"/>
          <w:color w:val="auto"/>
        </w:rPr>
        <w:t>Meaningful dividend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100" w:right="420"/>
        <w:spacing w:after="0" w:line="248" w:lineRule="auto"/>
        <w:rPr>
          <w:sz w:val="20"/>
          <w:szCs w:val="20"/>
          <w:color w:val="auto"/>
        </w:rPr>
      </w:pPr>
      <w:r>
        <w:rPr>
          <w:rFonts w:ascii="Arial" w:cs="Arial" w:eastAsia="Arial" w:hAnsi="Arial"/>
          <w:sz w:val="27"/>
          <w:szCs w:val="27"/>
          <w:color w:val="auto"/>
        </w:rPr>
        <w:t>Balance sheet well-positioned for cyclical recovery and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27"/>
          <w:szCs w:val="27"/>
          <w:b w:val="1"/>
          <w:bCs w:val="1"/>
          <w:color w:val="auto"/>
        </w:rPr>
        <w:t>Significant</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shareholder</w:t>
      </w:r>
    </w:p>
    <w:p>
      <w:pPr>
        <w:spacing w:after="0" w:line="11"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value creation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right="340" w:firstLine="33"/>
        <w:spacing w:after="0" w:line="302" w:lineRule="auto"/>
        <w:rPr>
          <w:sz w:val="20"/>
          <w:szCs w:val="20"/>
          <w:color w:val="auto"/>
        </w:rPr>
      </w:pPr>
      <w:r>
        <w:rPr>
          <w:rFonts w:ascii="Arial" w:cs="Arial" w:eastAsia="Arial" w:hAnsi="Arial"/>
          <w:sz w:val="26"/>
          <w:szCs w:val="26"/>
          <w:b w:val="1"/>
          <w:bCs w:val="1"/>
          <w:color w:val="FFFFFF"/>
        </w:rPr>
        <w:t>Efficiencies gained from size and scale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0" w:right="440" w:hanging="453"/>
        <w:spacing w:after="0" w:line="248" w:lineRule="auto"/>
        <w:rPr>
          <w:sz w:val="20"/>
          <w:szCs w:val="20"/>
          <w:color w:val="auto"/>
        </w:rPr>
      </w:pPr>
      <w:r>
        <w:rPr>
          <w:rFonts w:ascii="Arial" w:cs="Arial" w:eastAsia="Arial" w:hAnsi="Arial"/>
          <w:sz w:val="27"/>
          <w:szCs w:val="27"/>
          <w:color w:val="auto"/>
        </w:rPr>
        <w:t>Continued focus on operational excellence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80" w:firstLine="177"/>
        <w:spacing w:after="0" w:line="275" w:lineRule="auto"/>
        <w:rPr>
          <w:sz w:val="20"/>
          <w:szCs w:val="20"/>
          <w:color w:val="auto"/>
        </w:rPr>
      </w:pPr>
      <w:r>
        <w:rPr>
          <w:rFonts w:ascii="Arial" w:cs="Arial" w:eastAsia="Arial" w:hAnsi="Arial"/>
          <w:sz w:val="26"/>
          <w:szCs w:val="26"/>
          <w:color w:val="auto"/>
        </w:rPr>
        <w:t>Stronger platform for long term growth</w:t>
      </w:r>
    </w:p>
    <w:p>
      <w:pPr>
        <w:spacing w:after="0" w:line="399" w:lineRule="exact"/>
        <w:rPr>
          <w:sz w:val="20"/>
          <w:szCs w:val="20"/>
          <w:color w:val="auto"/>
        </w:rPr>
      </w:pPr>
    </w:p>
    <w:p>
      <w:pPr>
        <w:sectPr>
          <w:pgSz w:w="11900" w:h="16838" w:orient="portrait"/>
          <w:cols w:equalWidth="0" w:num="3">
            <w:col w:w="3040" w:space="720"/>
            <w:col w:w="2180" w:space="720"/>
            <w:col w:w="2840"/>
          </w:cols>
          <w:pgMar w:left="1340" w:top="633"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10"/>
          <w:szCs w:val="10"/>
          <w:color w:val="auto"/>
        </w:rPr>
        <w:t>Note 1:</w:t>
      </w:r>
      <w:r>
        <w:rPr>
          <w:sz w:val="20"/>
          <w:szCs w:val="20"/>
          <w:color w:val="auto"/>
        </w:rPr>
        <w:tab/>
      </w:r>
      <w:r>
        <w:rPr>
          <w:rFonts w:ascii="Arial" w:cs="Arial" w:eastAsia="Arial" w:hAnsi="Arial"/>
          <w:sz w:val="9"/>
          <w:szCs w:val="9"/>
          <w:color w:val="auto"/>
        </w:rPr>
        <w:t>Please refer to note 2 on page 6.</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30</w:t>
      </w:r>
    </w:p>
    <w:p>
      <w:pPr>
        <w:sectPr>
          <w:pgSz w:w="11900" w:h="16838" w:orient="portrait"/>
          <w:cols w:equalWidth="0" w:num="1">
            <w:col w:w="9500"/>
          </w:cols>
          <w:pgMar w:left="1340" w:top="633" w:right="1059" w:bottom="1440" w:gutter="0" w:footer="0" w:header="0"/>
          <w:type w:val="continuous"/>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right="2120"/>
        <w:spacing w:after="0" w:line="265" w:lineRule="auto"/>
        <w:rPr>
          <w:sz w:val="20"/>
          <w:szCs w:val="20"/>
          <w:color w:val="auto"/>
        </w:rPr>
      </w:pPr>
      <w:r>
        <w:rPr>
          <w:rFonts w:ascii="Arial" w:cs="Arial" w:eastAsia="Arial" w:hAnsi="Arial"/>
          <w:sz w:val="35"/>
          <w:szCs w:val="35"/>
          <w:color w:val="004E7A"/>
        </w:rPr>
        <w:t>Martin Marietta is Committed to Making This Combination a Reality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31</w:t>
      </w:r>
    </w:p>
    <w:p>
      <w:pPr>
        <w:sectPr>
          <w:pgSz w:w="11900" w:h="16838" w:orient="portrait"/>
          <w:cols w:equalWidth="0" w:num="1">
            <w:col w:w="9400"/>
          </w:cols>
          <w:pgMar w:left="1440" w:top="1440" w:right="1059" w:bottom="1440" w:gutter="0" w:footer="0" w:header="0"/>
        </w:sectPr>
      </w:pPr>
    </w:p>
    <w:bookmarkStart w:id="32" w:name="page33"/>
    <w:bookmarkEnd w:id="32"/>
    <w:p>
      <w:pPr>
        <w:ind w:right="600"/>
        <w:spacing w:after="0" w:line="257" w:lineRule="auto"/>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The Election of Martin Marietta’s Independent Director Nominees is The Important Next Step for a Successful Transaction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20" w:right="900" w:hanging="324"/>
        <w:spacing w:after="0" w:line="248" w:lineRule="auto"/>
        <w:tabs>
          <w:tab w:leader="none" w:pos="920" w:val="left"/>
        </w:tabs>
        <w:numPr>
          <w:ilvl w:val="0"/>
          <w:numId w:val="27"/>
        </w:numPr>
        <w:rPr>
          <w:rFonts w:ascii="Arial" w:cs="Arial" w:eastAsia="Arial" w:hAnsi="Arial"/>
          <w:sz w:val="27"/>
          <w:szCs w:val="27"/>
          <w:color w:val="auto"/>
        </w:rPr>
      </w:pPr>
      <w:r>
        <w:rPr>
          <w:rFonts w:ascii="Arial" w:cs="Arial" w:eastAsia="Arial" w:hAnsi="Arial"/>
          <w:sz w:val="27"/>
          <w:szCs w:val="27"/>
          <w:color w:val="auto"/>
        </w:rPr>
        <w:t>Martin Marietta has nominated 4 independent director candidates to the Vulcan Board who would replace the 4 incumbent Vulcan directors seeking re-election</w:t>
      </w:r>
    </w:p>
    <w:p>
      <w:pPr>
        <w:spacing w:after="0" w:line="200" w:lineRule="exact"/>
        <w:rPr>
          <w:rFonts w:ascii="Arial" w:cs="Arial" w:eastAsia="Arial" w:hAnsi="Arial"/>
          <w:sz w:val="27"/>
          <w:szCs w:val="27"/>
          <w:color w:val="auto"/>
        </w:rPr>
      </w:pPr>
    </w:p>
    <w:p>
      <w:pPr>
        <w:spacing w:after="0" w:line="200" w:lineRule="exact"/>
        <w:rPr>
          <w:rFonts w:ascii="Arial" w:cs="Arial" w:eastAsia="Arial" w:hAnsi="Arial"/>
          <w:sz w:val="27"/>
          <w:szCs w:val="27"/>
          <w:color w:val="auto"/>
        </w:rPr>
      </w:pPr>
    </w:p>
    <w:p>
      <w:pPr>
        <w:spacing w:after="0" w:line="266" w:lineRule="exact"/>
        <w:rPr>
          <w:rFonts w:ascii="Arial" w:cs="Arial" w:eastAsia="Arial" w:hAnsi="Arial"/>
          <w:sz w:val="27"/>
          <w:szCs w:val="27"/>
          <w:color w:val="auto"/>
        </w:rPr>
      </w:pPr>
    </w:p>
    <w:p>
      <w:pPr>
        <w:ind w:left="920" w:right="780" w:hanging="324"/>
        <w:spacing w:after="0" w:line="251" w:lineRule="auto"/>
        <w:tabs>
          <w:tab w:leader="none" w:pos="920" w:val="left"/>
        </w:tabs>
        <w:numPr>
          <w:ilvl w:val="0"/>
          <w:numId w:val="27"/>
        </w:numPr>
        <w:rPr>
          <w:rFonts w:ascii="Arial" w:cs="Arial" w:eastAsia="Arial" w:hAnsi="Arial"/>
          <w:sz w:val="27"/>
          <w:szCs w:val="27"/>
          <w:color w:val="auto"/>
        </w:rPr>
      </w:pPr>
      <w:r>
        <w:rPr>
          <w:rFonts w:ascii="Arial" w:cs="Arial" w:eastAsia="Arial" w:hAnsi="Arial"/>
          <w:sz w:val="27"/>
          <w:szCs w:val="27"/>
          <w:color w:val="auto"/>
        </w:rPr>
        <w:t>Election of Martin Marietta’s independent nominees will bring a fresh perspective – including an open mind – to the Vulcan Boardroom on whether Vulcan should engage with Martin Marietta on its business combination</w:t>
      </w:r>
    </w:p>
    <w:p>
      <w:pPr>
        <w:spacing w:after="0" w:line="131" w:lineRule="exact"/>
        <w:rPr>
          <w:rFonts w:ascii="Arial" w:cs="Arial" w:eastAsia="Arial" w:hAnsi="Arial"/>
          <w:sz w:val="27"/>
          <w:szCs w:val="27"/>
          <w:color w:val="auto"/>
        </w:rPr>
      </w:pPr>
    </w:p>
    <w:p>
      <w:pPr>
        <w:ind w:left="1220" w:right="1040" w:hanging="325"/>
        <w:spacing w:after="0" w:line="251" w:lineRule="auto"/>
        <w:tabs>
          <w:tab w:leader="none" w:pos="1220" w:val="left"/>
        </w:tabs>
        <w:numPr>
          <w:ilvl w:val="1"/>
          <w:numId w:val="27"/>
        </w:numPr>
        <w:rPr>
          <w:rFonts w:ascii="Arial" w:cs="Arial" w:eastAsia="Arial" w:hAnsi="Arial"/>
          <w:sz w:val="27"/>
          <w:szCs w:val="27"/>
          <w:color w:val="auto"/>
        </w:rPr>
      </w:pPr>
      <w:r>
        <w:rPr>
          <w:rFonts w:ascii="Arial" w:cs="Arial" w:eastAsia="Arial" w:hAnsi="Arial"/>
          <w:sz w:val="27"/>
          <w:szCs w:val="27"/>
          <w:color w:val="auto"/>
        </w:rPr>
        <w:t>In contrast, a vote for the incumbent Board members is a vote for the status quo, encouraging the current Vulcan Board to continue to ignore value creating opportunities for shareholders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1380" w:right="800"/>
        <w:spacing w:after="0" w:line="291" w:lineRule="auto"/>
        <w:rPr>
          <w:sz w:val="20"/>
          <w:szCs w:val="20"/>
          <w:color w:val="auto"/>
        </w:rPr>
      </w:pPr>
      <w:r>
        <w:rPr>
          <w:rFonts w:ascii="Arial" w:cs="Arial" w:eastAsia="Arial" w:hAnsi="Arial"/>
          <w:sz w:val="23"/>
          <w:szCs w:val="23"/>
          <w:b w:val="1"/>
          <w:bCs w:val="1"/>
          <w:color w:val="FFFFFF"/>
        </w:rPr>
        <w:t>This election provides a critical opportunity to the Vulcan shareholders to show support for a combination of the two companies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32</w:t>
      </w:r>
    </w:p>
    <w:p>
      <w:pPr>
        <w:sectPr>
          <w:pgSz w:w="11900" w:h="16838" w:orient="portrait"/>
          <w:cols w:equalWidth="0" w:num="1">
            <w:col w:w="9500"/>
          </w:cols>
          <w:pgMar w:left="1340" w:top="456" w:right="1059" w:bottom="1440" w:gutter="0" w:footer="0" w:header="0"/>
        </w:sectPr>
      </w:pPr>
    </w:p>
    <w:bookmarkStart w:id="33" w:name="page34"/>
    <w:bookmarkEnd w:id="33"/>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Qualified and Independent Board Nominees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80" w:hanging="328"/>
        <w:spacing w:after="0"/>
        <w:tabs>
          <w:tab w:leader="none" w:pos="680" w:val="left"/>
        </w:tabs>
        <w:numPr>
          <w:ilvl w:val="0"/>
          <w:numId w:val="28"/>
        </w:numPr>
        <w:rPr>
          <w:rFonts w:ascii="Arial" w:cs="Arial" w:eastAsia="Arial" w:hAnsi="Arial"/>
          <w:sz w:val="26"/>
          <w:szCs w:val="26"/>
          <w:color w:val="auto"/>
        </w:rPr>
      </w:pPr>
      <w:r>
        <w:rPr>
          <w:rFonts w:ascii="Arial" w:cs="Arial" w:eastAsia="Arial" w:hAnsi="Arial"/>
          <w:sz w:val="26"/>
          <w:szCs w:val="26"/>
          <w:color w:val="auto"/>
        </w:rPr>
        <w:t>Martin Marietta has proposed qualified, independent Board nominees</w:t>
      </w:r>
    </w:p>
    <w:p>
      <w:pPr>
        <w:spacing w:after="0" w:line="199" w:lineRule="exact"/>
        <w:rPr>
          <w:rFonts w:ascii="Arial" w:cs="Arial" w:eastAsia="Arial" w:hAnsi="Arial"/>
          <w:sz w:val="26"/>
          <w:szCs w:val="26"/>
          <w:color w:val="auto"/>
        </w:rPr>
      </w:pPr>
    </w:p>
    <w:p>
      <w:pPr>
        <w:ind w:left="680" w:hanging="328"/>
        <w:spacing w:after="0"/>
        <w:tabs>
          <w:tab w:leader="none" w:pos="680" w:val="left"/>
        </w:tabs>
        <w:numPr>
          <w:ilvl w:val="0"/>
          <w:numId w:val="28"/>
        </w:numPr>
        <w:rPr>
          <w:rFonts w:ascii="Arial" w:cs="Arial" w:eastAsia="Arial" w:hAnsi="Arial"/>
          <w:sz w:val="27"/>
          <w:szCs w:val="27"/>
          <w:color w:val="auto"/>
        </w:rPr>
      </w:pPr>
      <w:r>
        <w:rPr>
          <w:rFonts w:ascii="Arial" w:cs="Arial" w:eastAsia="Arial" w:hAnsi="Arial"/>
          <w:sz w:val="27"/>
          <w:szCs w:val="27"/>
          <w:color w:val="auto"/>
        </w:rPr>
        <w:t>Each nominee has been carefully screened to ensure independence</w:t>
      </w:r>
    </w:p>
    <w:p>
      <w:pPr>
        <w:spacing w:after="0" w:line="18" w:lineRule="exact"/>
        <w:rPr>
          <w:rFonts w:ascii="Arial" w:cs="Arial" w:eastAsia="Arial" w:hAnsi="Arial"/>
          <w:sz w:val="27"/>
          <w:szCs w:val="27"/>
          <w:color w:val="auto"/>
        </w:rPr>
      </w:pPr>
    </w:p>
    <w:p>
      <w:pPr>
        <w:ind w:left="880"/>
        <w:spacing w:after="0"/>
        <w:rPr>
          <w:rFonts w:ascii="Arial" w:cs="Arial" w:eastAsia="Arial" w:hAnsi="Arial"/>
          <w:sz w:val="27"/>
          <w:szCs w:val="27"/>
          <w:color w:val="auto"/>
        </w:rPr>
      </w:pPr>
      <w:r>
        <w:rPr>
          <w:rFonts w:ascii="Arial" w:cs="Arial" w:eastAsia="Arial" w:hAnsi="Arial"/>
          <w:sz w:val="23"/>
          <w:szCs w:val="23"/>
          <w:color w:val="auto"/>
        </w:rPr>
        <w:t>–  No affiliation with Martin Marietta, Vulcan or any of their subsidiaries</w:t>
      </w:r>
    </w:p>
    <w:p>
      <w:pPr>
        <w:spacing w:after="0" w:line="204" w:lineRule="exact"/>
        <w:rPr>
          <w:rFonts w:ascii="Arial" w:cs="Arial" w:eastAsia="Arial" w:hAnsi="Arial"/>
          <w:sz w:val="27"/>
          <w:szCs w:val="27"/>
          <w:color w:val="auto"/>
        </w:rPr>
      </w:pPr>
    </w:p>
    <w:p>
      <w:pPr>
        <w:ind w:left="680" w:right="640" w:hanging="328"/>
        <w:spacing w:after="0" w:line="252" w:lineRule="auto"/>
        <w:tabs>
          <w:tab w:leader="none" w:pos="680" w:val="left"/>
        </w:tabs>
        <w:numPr>
          <w:ilvl w:val="0"/>
          <w:numId w:val="28"/>
        </w:numPr>
        <w:rPr>
          <w:rFonts w:ascii="Arial" w:cs="Arial" w:eastAsia="Arial" w:hAnsi="Arial"/>
          <w:sz w:val="27"/>
          <w:szCs w:val="27"/>
          <w:color w:val="auto"/>
        </w:rPr>
      </w:pPr>
      <w:r>
        <w:rPr>
          <w:rFonts w:ascii="Arial" w:cs="Arial" w:eastAsia="Arial" w:hAnsi="Arial"/>
          <w:sz w:val="27"/>
          <w:szCs w:val="27"/>
          <w:color w:val="auto"/>
        </w:rPr>
        <w:t>Board nominees have a broad set of skills and experience required to ensure the Board functions efficiently and provides appropriate oversight</w:t>
      </w:r>
    </w:p>
    <w:p>
      <w:pPr>
        <w:sectPr>
          <w:pgSz w:w="11900" w:h="16838" w:orient="portrait"/>
          <w:cols w:equalWidth="0" w:num="1">
            <w:col w:w="9500"/>
          </w:cols>
          <w:pgMar w:left="1340" w:top="633" w:right="10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900"/>
        <w:spacing w:after="0"/>
        <w:rPr>
          <w:sz w:val="20"/>
          <w:szCs w:val="20"/>
          <w:color w:val="auto"/>
        </w:rPr>
      </w:pPr>
      <w:r>
        <w:rPr>
          <w:rFonts w:ascii="Arial" w:cs="Arial" w:eastAsia="Arial" w:hAnsi="Arial"/>
          <w:sz w:val="21"/>
          <w:szCs w:val="21"/>
          <w:b w:val="1"/>
          <w:bCs w:val="1"/>
          <w:color w:val="004E7A"/>
        </w:rPr>
        <w:t>Skills</w:t>
      </w:r>
    </w:p>
    <w:p>
      <w:pPr>
        <w:spacing w:after="0" w:line="1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Corporate governance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Securities and disclosure</w:t>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Executive compensation</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Finance and accounting</w:t>
      </w:r>
    </w:p>
    <w:p>
      <w:pPr>
        <w:spacing w:after="0" w:line="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004E7A"/>
        </w:rPr>
        <w:t>Experience</w:t>
      </w:r>
    </w:p>
    <w:p>
      <w:pPr>
        <w:spacing w:after="0" w:line="125" w:lineRule="exact"/>
        <w:rPr>
          <w:sz w:val="20"/>
          <w:szCs w:val="20"/>
          <w:color w:val="auto"/>
        </w:rPr>
      </w:pPr>
    </w:p>
    <w:p>
      <w:pPr>
        <w:ind w:right="1940" w:hanging="200"/>
        <w:spacing w:after="0" w:line="250" w:lineRule="auto"/>
        <w:rPr>
          <w:sz w:val="20"/>
          <w:szCs w:val="20"/>
          <w:color w:val="auto"/>
        </w:rPr>
      </w:pPr>
      <w:r>
        <w:rPr>
          <w:rFonts w:ascii="Arial" w:cs="Arial" w:eastAsia="Arial" w:hAnsi="Arial"/>
          <w:sz w:val="18"/>
          <w:szCs w:val="18"/>
          <w:color w:val="auto"/>
        </w:rPr>
        <w:t>– Current and former directors of public companies</w:t>
      </w:r>
    </w:p>
    <w:p>
      <w:pPr>
        <w:spacing w:after="0" w:line="12" w:lineRule="exact"/>
        <w:rPr>
          <w:sz w:val="20"/>
          <w:szCs w:val="20"/>
          <w:color w:val="auto"/>
        </w:rPr>
      </w:pPr>
    </w:p>
    <w:p>
      <w:pPr>
        <w:ind w:right="2520" w:hanging="200"/>
        <w:spacing w:after="0" w:line="250" w:lineRule="auto"/>
        <w:rPr>
          <w:sz w:val="20"/>
          <w:szCs w:val="20"/>
          <w:color w:val="auto"/>
        </w:rPr>
      </w:pPr>
      <w:r>
        <w:rPr>
          <w:rFonts w:ascii="Arial" w:cs="Arial" w:eastAsia="Arial" w:hAnsi="Arial"/>
          <w:sz w:val="18"/>
          <w:szCs w:val="18"/>
          <w:color w:val="auto"/>
        </w:rPr>
        <w:t>– Financial and operating experience</w:t>
      </w:r>
    </w:p>
    <w:p>
      <w:pPr>
        <w:spacing w:after="0" w:line="1" w:lineRule="exact"/>
        <w:rPr>
          <w:sz w:val="20"/>
          <w:szCs w:val="20"/>
          <w:color w:val="auto"/>
        </w:rPr>
      </w:pPr>
    </w:p>
    <w:p>
      <w:pPr>
        <w:ind w:right="1760" w:hanging="200"/>
        <w:spacing w:after="0" w:line="250" w:lineRule="auto"/>
        <w:rPr>
          <w:sz w:val="20"/>
          <w:szCs w:val="20"/>
          <w:color w:val="auto"/>
        </w:rPr>
      </w:pPr>
      <w:r>
        <w:rPr>
          <w:rFonts w:ascii="Arial" w:cs="Arial" w:eastAsia="Arial" w:hAnsi="Arial"/>
          <w:sz w:val="18"/>
          <w:szCs w:val="18"/>
          <w:color w:val="auto"/>
        </w:rPr>
        <w:t>– Major corporate M&amp;A transaction experience</w:t>
      </w:r>
    </w:p>
    <w:p>
      <w:pPr>
        <w:spacing w:after="0" w:line="200" w:lineRule="exact"/>
        <w:rPr>
          <w:sz w:val="20"/>
          <w:szCs w:val="20"/>
          <w:color w:val="auto"/>
        </w:rPr>
      </w:pPr>
    </w:p>
    <w:p>
      <w:pPr>
        <w:sectPr>
          <w:pgSz w:w="11900" w:h="16838" w:orient="portrait"/>
          <w:cols w:equalWidth="0" w:num="2">
            <w:col w:w="4420" w:space="720"/>
            <w:col w:w="4360"/>
          </w:cols>
          <w:pgMar w:left="1340" w:top="633"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340"/>
        <w:spacing w:after="0"/>
        <w:rPr>
          <w:sz w:val="20"/>
          <w:szCs w:val="20"/>
          <w:color w:val="auto"/>
        </w:rPr>
      </w:pPr>
      <w:r>
        <w:rPr>
          <w:rFonts w:ascii="Arial" w:cs="Arial" w:eastAsia="Arial" w:hAnsi="Arial"/>
          <w:sz w:val="14"/>
          <w:szCs w:val="14"/>
          <w:color w:val="B4996E"/>
        </w:rPr>
        <w:t>33</w:t>
      </w:r>
    </w:p>
    <w:p>
      <w:pPr>
        <w:sectPr>
          <w:pgSz w:w="11900" w:h="16838" w:orient="portrait"/>
          <w:cols w:equalWidth="0" w:num="1">
            <w:col w:w="9500"/>
          </w:cols>
          <w:pgMar w:left="1340" w:top="633" w:right="10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Now is the Time for Vulcan Shareholders to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line="267" w:lineRule="auto"/>
        <w:rPr>
          <w:sz w:val="20"/>
          <w:szCs w:val="20"/>
          <w:color w:val="auto"/>
        </w:rPr>
      </w:pPr>
      <w:r>
        <w:rPr>
          <w:rFonts w:ascii="Arial" w:cs="Arial" w:eastAsia="Arial" w:hAnsi="Arial"/>
          <w:sz w:val="35"/>
          <w:szCs w:val="35"/>
          <w:b w:val="1"/>
          <w:bCs w:val="1"/>
          <w:color w:val="FFFFFF"/>
        </w:rPr>
        <w:t>Vote the blue proxy card or blue voting instruction form today and communicate your support for the proposal to the Vulcan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34</w:t>
      </w:r>
    </w:p>
    <w:p>
      <w:pPr>
        <w:sectPr>
          <w:pgSz w:w="11900" w:h="16838" w:orient="portrait"/>
          <w:cols w:equalWidth="0" w:num="1">
            <w:col w:w="9500"/>
          </w:cols>
          <w:pgMar w:left="1340" w:top="634" w:right="10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80"/>
        <w:spacing w:after="0"/>
        <w:rPr>
          <w:sz w:val="20"/>
          <w:szCs w:val="20"/>
          <w:color w:val="auto"/>
        </w:rPr>
      </w:pPr>
      <w:r>
        <w:rPr>
          <w:rFonts w:ascii="Arial" w:cs="Arial" w:eastAsia="Arial" w:hAnsi="Arial"/>
          <w:sz w:val="30"/>
          <w:szCs w:val="30"/>
          <w:b w:val="1"/>
          <w:bCs w:val="1"/>
          <w:color w:val="auto"/>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35</w:t>
      </w:r>
    </w:p>
    <w:p>
      <w:pPr>
        <w:sectPr>
          <w:pgSz w:w="11900" w:h="16838" w:orient="portrait"/>
          <w:cols w:equalWidth="0" w:num="1">
            <w:col w:w="9400"/>
          </w:cols>
          <w:pgMar w:left="1440" w:top="1440" w:right="1059" w:bottom="1440" w:gutter="0" w:footer="0" w:header="0"/>
        </w:sectPr>
      </w:pPr>
    </w:p>
    <w:bookmarkStart w:id="36" w:name="page37"/>
    <w:bookmarkEnd w:id="36"/>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Qualified Independent Board Nominees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3500" w:val="left"/>
          <w:tab w:leader="none" w:pos="7840" w:val="left"/>
        </w:tabs>
        <w:rPr>
          <w:sz w:val="20"/>
          <w:szCs w:val="20"/>
          <w:color w:val="auto"/>
        </w:rPr>
      </w:pPr>
      <w:r>
        <w:rPr>
          <w:rFonts w:ascii="Arial" w:cs="Arial" w:eastAsia="Arial" w:hAnsi="Arial"/>
          <w:sz w:val="21"/>
          <w:szCs w:val="21"/>
          <w:b w:val="1"/>
          <w:bCs w:val="1"/>
          <w:color w:val="FFFFFF"/>
        </w:rPr>
        <w:t>Board Nominees</w:t>
      </w:r>
      <w:r>
        <w:rPr>
          <w:sz w:val="20"/>
          <w:szCs w:val="20"/>
          <w:color w:val="auto"/>
        </w:rPr>
        <w:tab/>
      </w:r>
      <w:r>
        <w:rPr>
          <w:rFonts w:ascii="Arial" w:cs="Arial" w:eastAsia="Arial" w:hAnsi="Arial"/>
          <w:sz w:val="21"/>
          <w:szCs w:val="21"/>
          <w:b w:val="1"/>
          <w:bCs w:val="1"/>
          <w:color w:val="FFFFFF"/>
        </w:rPr>
        <w:t>Selected Qualifications</w:t>
      </w:r>
      <w:r>
        <w:rPr>
          <w:sz w:val="20"/>
          <w:szCs w:val="20"/>
          <w:color w:val="auto"/>
        </w:rPr>
        <w:tab/>
      </w:r>
      <w:r>
        <w:rPr>
          <w:rFonts w:ascii="Arial" w:cs="Arial" w:eastAsia="Arial" w:hAnsi="Arial"/>
          <w:sz w:val="20"/>
          <w:szCs w:val="20"/>
          <w:b w:val="1"/>
          <w:bCs w:val="1"/>
          <w:color w:val="FFFFFF"/>
        </w:rPr>
        <w:t>Expertise</w:t>
      </w:r>
    </w:p>
    <w:p>
      <w:pPr>
        <w:sectPr>
          <w:pgSz w:w="11900" w:h="16838" w:orient="portrait"/>
          <w:cols w:equalWidth="0" w:num="1">
            <w:col w:w="9500"/>
          </w:cols>
          <w:pgMar w:left="1340" w:top="633" w:right="1059" w:bottom="1440" w:gutter="0" w:footer="0" w:header="0"/>
        </w:sectPr>
      </w:pPr>
    </w:p>
    <w:p>
      <w:pPr>
        <w:spacing w:after="0" w:line="380" w:lineRule="exact"/>
        <w:rPr>
          <w:sz w:val="20"/>
          <w:szCs w:val="20"/>
          <w:color w:val="auto"/>
        </w:rPr>
      </w:pPr>
    </w:p>
    <w:p>
      <w:pPr>
        <w:ind w:left="2260" w:right="300" w:hanging="123"/>
        <w:spacing w:after="0" w:line="244" w:lineRule="auto"/>
        <w:tabs>
          <w:tab w:leader="none" w:pos="2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VP and Chief Administrative Officer of Time Warner, Inc. (1991-1998)</w:t>
      </w:r>
    </w:p>
    <w:p>
      <w:pPr>
        <w:ind w:left="40"/>
        <w:spacing w:after="0"/>
        <w:tabs>
          <w:tab w:leader="none" w:pos="2120" w:val="left"/>
        </w:tabs>
        <w:rPr>
          <w:sz w:val="20"/>
          <w:szCs w:val="20"/>
          <w:color w:val="auto"/>
        </w:rPr>
      </w:pPr>
      <w:r>
        <w:rPr>
          <w:rFonts w:ascii="Arial" w:cs="Arial" w:eastAsia="Arial" w:hAnsi="Arial"/>
          <w:sz w:val="18"/>
          <w:szCs w:val="18"/>
          <w:color w:val="auto"/>
        </w:rPr>
        <w:t>Philip R. Lochner, Jr.</w:t>
      </w:r>
      <w:r>
        <w:rPr>
          <w:sz w:val="20"/>
          <w:szCs w:val="20"/>
          <w:color w:val="auto"/>
        </w:rPr>
        <w:tab/>
      </w:r>
      <w:r>
        <w:rPr>
          <w:rFonts w:ascii="Arial" w:cs="Arial" w:eastAsia="Arial" w:hAnsi="Arial"/>
          <w:sz w:val="17"/>
          <w:szCs w:val="17"/>
          <w:color w:val="auto"/>
        </w:rPr>
        <w:t>- Commissioner of the SEC (1990-1991)</w:t>
      </w:r>
    </w:p>
    <w:p>
      <w:pPr>
        <w:spacing w:after="0" w:line="4" w:lineRule="exact"/>
        <w:rPr>
          <w:sz w:val="20"/>
          <w:szCs w:val="20"/>
          <w:color w:val="auto"/>
        </w:rPr>
      </w:pPr>
    </w:p>
    <w:p>
      <w:pPr>
        <w:ind w:left="2260" w:right="580" w:hanging="123"/>
        <w:spacing w:after="0" w:line="263" w:lineRule="auto"/>
        <w:tabs>
          <w:tab w:leader="none" w:pos="2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Currently serves as director on four publicly traded U.S. corporations</w:t>
      </w:r>
    </w:p>
    <w:p>
      <w:pPr>
        <w:spacing w:after="0" w:line="244" w:lineRule="exact"/>
        <w:rPr>
          <w:rFonts w:ascii="Arial" w:cs="Arial" w:eastAsia="Arial" w:hAnsi="Arial"/>
          <w:sz w:val="18"/>
          <w:szCs w:val="18"/>
          <w:color w:val="auto"/>
        </w:rPr>
      </w:pPr>
    </w:p>
    <w:p>
      <w:pPr>
        <w:ind w:left="2260" w:hanging="123"/>
        <w:spacing w:after="0"/>
        <w:tabs>
          <w:tab w:leader="none" w:pos="2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Senior VP of Finance and CFO of 7-ELEVEN, Inc. (2002-2006)</w:t>
      </w:r>
    </w:p>
    <w:p>
      <w:pPr>
        <w:spacing w:after="0" w:line="26" w:lineRule="exact"/>
        <w:rPr>
          <w:rFonts w:ascii="Arial" w:cs="Arial" w:eastAsia="Arial" w:hAnsi="Arial"/>
          <w:sz w:val="17"/>
          <w:szCs w:val="17"/>
          <w:color w:val="auto"/>
        </w:rPr>
      </w:pPr>
    </w:p>
    <w:p>
      <w:pPr>
        <w:ind w:left="2260" w:hanging="123"/>
        <w:spacing w:after="0"/>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VP of Finance and CFO of Covanta Energy</w:t>
      </w:r>
    </w:p>
    <w:p>
      <w:pPr>
        <w:spacing w:after="0" w:line="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8"/>
          <w:szCs w:val="18"/>
          <w:color w:val="auto"/>
        </w:rPr>
        <w:t>Edward W. Moneypenny</w:t>
      </w:r>
      <w:r>
        <w:rPr>
          <w:sz w:val="20"/>
          <w:szCs w:val="20"/>
          <w:color w:val="auto"/>
        </w:rPr>
        <w:tab/>
      </w:r>
      <w:r>
        <w:rPr>
          <w:rFonts w:ascii="Arial" w:cs="Arial" w:eastAsia="Arial" w:hAnsi="Arial"/>
          <w:sz w:val="17"/>
          <w:szCs w:val="17"/>
          <w:color w:val="auto"/>
        </w:rPr>
        <w:t>Corporation (2001)</w:t>
      </w:r>
    </w:p>
    <w:p>
      <w:pPr>
        <w:spacing w:after="0" w:line="4" w:lineRule="exact"/>
        <w:rPr>
          <w:sz w:val="20"/>
          <w:szCs w:val="20"/>
          <w:color w:val="auto"/>
        </w:rPr>
      </w:pPr>
    </w:p>
    <w:p>
      <w:pPr>
        <w:ind w:left="2260" w:right="220" w:hanging="123"/>
        <w:spacing w:after="0" w:line="250" w:lineRule="auto"/>
        <w:tabs>
          <w:tab w:leader="none" w:pos="2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CFO at two former Fortune 500 companies in the energy industry</w:t>
      </w:r>
    </w:p>
    <w:p>
      <w:pPr>
        <w:spacing w:after="0" w:line="267" w:lineRule="exact"/>
        <w:rPr>
          <w:rFonts w:ascii="Arial" w:cs="Arial" w:eastAsia="Arial" w:hAnsi="Arial"/>
          <w:sz w:val="18"/>
          <w:szCs w:val="18"/>
          <w:color w:val="auto"/>
        </w:rPr>
      </w:pPr>
    </w:p>
    <w:p>
      <w:pPr>
        <w:ind w:left="2260" w:hanging="123"/>
        <w:spacing w:after="0"/>
        <w:tabs>
          <w:tab w:leader="none" w:pos="2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Executive VP and CFO of Chemtura Corporation (2004-2007)</w:t>
      </w:r>
    </w:p>
    <w:p>
      <w:pPr>
        <w:spacing w:after="0" w:line="3" w:lineRule="exact"/>
        <w:rPr>
          <w:rFonts w:ascii="Arial" w:cs="Arial" w:eastAsia="Arial" w:hAnsi="Arial"/>
          <w:sz w:val="18"/>
          <w:szCs w:val="18"/>
          <w:color w:val="auto"/>
        </w:rPr>
      </w:pPr>
    </w:p>
    <w:p>
      <w:pPr>
        <w:ind w:left="2260" w:hanging="123"/>
        <w:spacing w:after="0"/>
        <w:tabs>
          <w:tab w:leader="none" w:pos="2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Senior VP and CFO of Westvaco Corporation and</w:t>
      </w:r>
    </w:p>
    <w:p>
      <w:pPr>
        <w:spacing w:after="0" w:line="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8"/>
          <w:szCs w:val="18"/>
          <w:color w:val="auto"/>
        </w:rPr>
        <w:t>Karen R. Osar</w:t>
      </w:r>
      <w:r>
        <w:rPr>
          <w:sz w:val="20"/>
          <w:szCs w:val="20"/>
          <w:color w:val="auto"/>
        </w:rPr>
        <w:tab/>
      </w:r>
      <w:r>
        <w:rPr>
          <w:rFonts w:ascii="Arial" w:cs="Arial" w:eastAsia="Arial" w:hAnsi="Arial"/>
          <w:sz w:val="17"/>
          <w:szCs w:val="17"/>
          <w:color w:val="auto"/>
        </w:rPr>
        <w:t>MeadWestvaco Corporation (1999-2003)</w:t>
      </w:r>
    </w:p>
    <w:p>
      <w:pPr>
        <w:spacing w:after="0" w:line="4" w:lineRule="exact"/>
        <w:rPr>
          <w:sz w:val="20"/>
          <w:szCs w:val="20"/>
          <w:color w:val="auto"/>
        </w:rPr>
      </w:pPr>
    </w:p>
    <w:p>
      <w:pPr>
        <w:ind w:left="2260" w:right="760" w:hanging="123"/>
        <w:spacing w:after="0" w:line="263" w:lineRule="auto"/>
        <w:tabs>
          <w:tab w:leader="none" w:pos="2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Previously Managing Director, investment banking, of JPMorgan Chase &amp; Co.</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2260" w:hanging="123"/>
        <w:spacing w:after="0"/>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Chairman of the Board of Capstone Infrastructure Corp.</w:t>
      </w:r>
    </w:p>
    <w:p>
      <w:pPr>
        <w:spacing w:after="0" w:line="3" w:lineRule="exact"/>
        <w:rPr>
          <w:rFonts w:ascii="Arial" w:cs="Arial" w:eastAsia="Arial" w:hAnsi="Arial"/>
          <w:sz w:val="18"/>
          <w:szCs w:val="18"/>
          <w:color w:val="auto"/>
        </w:rPr>
      </w:pPr>
    </w:p>
    <w:p>
      <w:pPr>
        <w:ind w:left="2260" w:hanging="123"/>
        <w:spacing w:after="0"/>
        <w:tabs>
          <w:tab w:leader="none" w:pos="2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prior experience as former director or trustee of</w:t>
      </w:r>
    </w:p>
    <w:p>
      <w:pPr>
        <w:spacing w:after="0" w:line="15"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18"/>
          <w:szCs w:val="18"/>
          <w:color w:val="auto"/>
        </w:rPr>
        <w:t>V. James Sardo</w:t>
      </w:r>
      <w:r>
        <w:rPr>
          <w:sz w:val="20"/>
          <w:szCs w:val="20"/>
          <w:color w:val="auto"/>
        </w:rPr>
        <w:tab/>
      </w:r>
      <w:r>
        <w:rPr>
          <w:rFonts w:ascii="Arial" w:cs="Arial" w:eastAsia="Arial" w:hAnsi="Arial"/>
          <w:sz w:val="17"/>
          <w:szCs w:val="17"/>
          <w:color w:val="auto"/>
        </w:rPr>
        <w:t>multiple institutions</w:t>
      </w:r>
    </w:p>
    <w:p>
      <w:pPr>
        <w:spacing w:after="0" w:line="4" w:lineRule="exact"/>
        <w:rPr>
          <w:sz w:val="20"/>
          <w:szCs w:val="20"/>
          <w:color w:val="auto"/>
        </w:rPr>
      </w:pPr>
    </w:p>
    <w:p>
      <w:pPr>
        <w:ind w:left="2240" w:right="1020" w:hanging="103"/>
        <w:spacing w:after="0" w:line="250" w:lineRule="auto"/>
        <w:tabs>
          <w:tab w:leader="none" w:pos="225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Interim CEO of Royal Group Technologies Limited (2005-2006)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Finance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Executive Compensation Corporate Governance Finance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Corporate Governance Operations</w:t>
      </w:r>
    </w:p>
    <w:p>
      <w:pPr>
        <w:spacing w:after="0" w:line="498" w:lineRule="exact"/>
        <w:rPr>
          <w:sz w:val="20"/>
          <w:szCs w:val="20"/>
          <w:color w:val="auto"/>
        </w:rPr>
      </w:pPr>
    </w:p>
    <w:p>
      <w:pPr>
        <w:sectPr>
          <w:pgSz w:w="11900" w:h="16838" w:orient="portrait"/>
          <w:cols w:equalWidth="0" w:num="2">
            <w:col w:w="7200" w:space="140"/>
            <w:col w:w="2160"/>
          </w:cols>
          <w:pgMar w:left="1340" w:top="633" w:right="1059" w:bottom="1440" w:gutter="0" w:footer="0" w:header="0"/>
          <w:type w:val="continuous"/>
        </w:sectPr>
      </w:pPr>
    </w:p>
    <w:p>
      <w:pPr>
        <w:spacing w:after="0" w:line="397" w:lineRule="exact"/>
        <w:rPr>
          <w:sz w:val="20"/>
          <w:szCs w:val="20"/>
          <w:color w:val="auto"/>
        </w:rPr>
      </w:pPr>
    </w:p>
    <w:p>
      <w:pPr>
        <w:ind w:left="9340"/>
        <w:spacing w:after="0"/>
        <w:rPr>
          <w:sz w:val="20"/>
          <w:szCs w:val="20"/>
          <w:color w:val="auto"/>
        </w:rPr>
      </w:pPr>
      <w:r>
        <w:rPr>
          <w:rFonts w:ascii="Arial" w:cs="Arial" w:eastAsia="Arial" w:hAnsi="Arial"/>
          <w:sz w:val="14"/>
          <w:szCs w:val="14"/>
          <w:color w:val="B4996E"/>
        </w:rPr>
        <w:t>36</w:t>
      </w:r>
    </w:p>
    <w:p>
      <w:pPr>
        <w:sectPr>
          <w:pgSz w:w="11900" w:h="16838" w:orient="portrait"/>
          <w:cols w:equalWidth="0" w:num="1">
            <w:col w:w="9500"/>
          </w:cols>
          <w:pgMar w:left="1340" w:top="633" w:right="1059"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Martin Marietta EBITDA &amp; EBIT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700" w:type="dxa"/>
            <w:vAlign w:val="bottom"/>
            <w:gridSpan w:val="4"/>
          </w:tcPr>
          <w:p>
            <w:pPr>
              <w:jc w:val="right"/>
              <w:ind w:right="139"/>
              <w:spacing w:after="0"/>
              <w:rPr>
                <w:sz w:val="20"/>
                <w:szCs w:val="20"/>
                <w:color w:val="auto"/>
              </w:rPr>
            </w:pPr>
            <w:r>
              <w:rPr>
                <w:rFonts w:ascii="Arial" w:cs="Arial" w:eastAsia="Arial" w:hAnsi="Arial"/>
                <w:sz w:val="12"/>
                <w:szCs w:val="12"/>
                <w:b w:val="1"/>
                <w:bCs w:val="1"/>
                <w:color w:val="auto"/>
              </w:rPr>
              <w:t>For the Quarter Ended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1"/>
        </w:trPr>
        <w:tc>
          <w:tcPr>
            <w:tcW w:w="2920" w:type="dxa"/>
            <w:vAlign w:val="bottom"/>
          </w:tcPr>
          <w:p>
            <w:pPr>
              <w:spacing w:after="0"/>
              <w:rPr>
                <w:sz w:val="20"/>
                <w:szCs w:val="20"/>
                <w:color w:val="auto"/>
              </w:rPr>
            </w:pPr>
            <w:r>
              <w:rPr>
                <w:rFonts w:ascii="Arial" w:cs="Arial" w:eastAsia="Arial" w:hAnsi="Arial"/>
                <w:sz w:val="12"/>
                <w:szCs w:val="12"/>
                <w:color w:val="auto"/>
              </w:rPr>
              <w:t>(dollars in millions)</w:t>
            </w:r>
          </w:p>
        </w:tc>
        <w:tc>
          <w:tcPr>
            <w:tcW w:w="340" w:type="dxa"/>
            <w:vAlign w:val="bottom"/>
          </w:tcPr>
          <w:p>
            <w:pPr>
              <w:spacing w:after="0"/>
              <w:rPr>
                <w:sz w:val="14"/>
                <w:szCs w:val="14"/>
                <w:color w:val="auto"/>
              </w:rPr>
            </w:pPr>
          </w:p>
        </w:tc>
        <w:tc>
          <w:tcPr>
            <w:tcW w:w="8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March 31,</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59"/>
              <w:spacing w:after="0"/>
              <w:rPr>
                <w:sz w:val="20"/>
                <w:szCs w:val="20"/>
                <w:color w:val="auto"/>
              </w:rPr>
            </w:pPr>
            <w:r>
              <w:rPr>
                <w:rFonts w:ascii="Arial" w:cs="Arial" w:eastAsia="Arial" w:hAnsi="Arial"/>
                <w:sz w:val="12"/>
                <w:szCs w:val="12"/>
                <w:b w:val="1"/>
                <w:bCs w:val="1"/>
                <w:color w:val="auto"/>
              </w:rPr>
              <w:t>LTM</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right"/>
              <w:ind w:right="239"/>
              <w:spacing w:after="0"/>
              <w:rPr>
                <w:sz w:val="20"/>
                <w:szCs w:val="20"/>
                <w:color w:val="auto"/>
              </w:rPr>
            </w:pPr>
            <w:r>
              <w:rPr>
                <w:rFonts w:ascii="Arial" w:cs="Arial" w:eastAsia="Arial" w:hAnsi="Arial"/>
                <w:sz w:val="12"/>
                <w:szCs w:val="12"/>
                <w:b w:val="1"/>
                <w:bCs w:val="1"/>
                <w:color w:val="auto"/>
              </w:rPr>
              <w:t>For the Year Ended December 31,</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b w:val="1"/>
                <w:bCs w:val="1"/>
                <w:color w:val="auto"/>
              </w:rPr>
              <w:t>2012</w:t>
            </w:r>
          </w:p>
        </w:tc>
        <w:tc>
          <w:tcPr>
            <w:tcW w:w="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2011</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b w:val="1"/>
                <w:bCs w:val="1"/>
                <w:color w:val="auto"/>
              </w:rPr>
              <w:t>3/31/2012</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2011</w:t>
            </w:r>
          </w:p>
        </w:tc>
        <w:tc>
          <w:tcPr>
            <w:tcW w:w="260" w:type="dxa"/>
            <w:vAlign w:val="bottom"/>
          </w:tcPr>
          <w:p>
            <w:pPr>
              <w:spacing w:after="0"/>
              <w:rPr>
                <w:sz w:val="14"/>
                <w:szCs w:val="14"/>
                <w:color w:val="auto"/>
              </w:rPr>
            </w:pPr>
          </w:p>
        </w:tc>
        <w:tc>
          <w:tcPr>
            <w:tcW w:w="600" w:type="dxa"/>
            <w:vAlign w:val="bottom"/>
          </w:tcPr>
          <w:p>
            <w:pPr>
              <w:ind w:left="240"/>
              <w:spacing w:after="0"/>
              <w:rPr>
                <w:sz w:val="20"/>
                <w:szCs w:val="20"/>
                <w:color w:val="auto"/>
              </w:rPr>
            </w:pPr>
            <w:r>
              <w:rPr>
                <w:rFonts w:ascii="Arial" w:cs="Arial" w:eastAsia="Arial" w:hAnsi="Arial"/>
                <w:sz w:val="12"/>
                <w:szCs w:val="12"/>
                <w:b w:val="1"/>
                <w:bCs w:val="1"/>
                <w:color w:val="auto"/>
              </w:rPr>
              <w:t>2010</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b w:val="1"/>
                <w:bCs w:val="1"/>
                <w:color w:val="auto"/>
              </w:rPr>
              <w:t>2009</w:t>
            </w:r>
          </w:p>
        </w:tc>
        <w:tc>
          <w:tcPr>
            <w:tcW w:w="300" w:type="dxa"/>
            <w:vAlign w:val="bottom"/>
          </w:tcPr>
          <w:p>
            <w:pPr>
              <w:spacing w:after="0"/>
              <w:rPr>
                <w:sz w:val="14"/>
                <w:szCs w:val="14"/>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2008</w:t>
            </w:r>
          </w:p>
        </w:tc>
        <w:tc>
          <w:tcPr>
            <w:tcW w:w="32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w w:val="97"/>
              </w:rPr>
              <w:t>2007</w:t>
            </w:r>
          </w:p>
        </w:tc>
      </w:tr>
      <w:tr>
        <w:trPr>
          <w:trHeight w:val="166"/>
        </w:trPr>
        <w:tc>
          <w:tcPr>
            <w:tcW w:w="2920" w:type="dxa"/>
            <w:vAlign w:val="bottom"/>
          </w:tcPr>
          <w:p>
            <w:pPr>
              <w:spacing w:after="0"/>
              <w:rPr>
                <w:sz w:val="20"/>
                <w:szCs w:val="20"/>
                <w:color w:val="auto"/>
              </w:rPr>
            </w:pPr>
            <w:r>
              <w:rPr>
                <w:rFonts w:ascii="Arial" w:cs="Arial" w:eastAsia="Arial" w:hAnsi="Arial"/>
                <w:sz w:val="12"/>
                <w:szCs w:val="12"/>
                <w:color w:val="auto"/>
              </w:rPr>
              <w:t>Net earnings attributable to entity</w:t>
            </w:r>
          </w:p>
        </w:tc>
        <w:tc>
          <w:tcPr>
            <w:tcW w:w="340" w:type="dxa"/>
            <w:vAlign w:val="bottom"/>
          </w:tcPr>
          <w:p>
            <w:pPr>
              <w:jc w:val="right"/>
              <w:ind w:right="139"/>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(36.7)</w:t>
            </w:r>
          </w:p>
        </w:tc>
        <w:tc>
          <w:tcPr>
            <w:tcW w:w="340" w:type="dxa"/>
            <w:vAlign w:val="bottom"/>
          </w:tcPr>
          <w:p>
            <w:pPr>
              <w:jc w:val="right"/>
              <w:ind w:right="159"/>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(17.4)</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63.1</w:t>
            </w:r>
          </w:p>
        </w:tc>
        <w:tc>
          <w:tcPr>
            <w:tcW w:w="3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82.4</w:t>
            </w:r>
          </w:p>
        </w:tc>
        <w:tc>
          <w:tcPr>
            <w:tcW w:w="26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97.0</w:t>
            </w:r>
          </w:p>
        </w:tc>
        <w:tc>
          <w:tcPr>
            <w:tcW w:w="32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85.5</w:t>
            </w:r>
          </w:p>
        </w:tc>
        <w:tc>
          <w:tcPr>
            <w:tcW w:w="30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176.3</w:t>
            </w:r>
          </w:p>
        </w:tc>
        <w:tc>
          <w:tcPr>
            <w:tcW w:w="3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262.7</w:t>
            </w:r>
          </w:p>
        </w:tc>
      </w:tr>
      <w:tr>
        <w:trPr>
          <w:trHeight w:val="166"/>
        </w:trPr>
        <w:tc>
          <w:tcPr>
            <w:tcW w:w="2920" w:type="dxa"/>
            <w:vAlign w:val="bottom"/>
          </w:tcPr>
          <w:p>
            <w:pPr>
              <w:spacing w:after="0"/>
              <w:rPr>
                <w:sz w:val="20"/>
                <w:szCs w:val="20"/>
                <w:color w:val="auto"/>
              </w:rPr>
            </w:pPr>
            <w:r>
              <w:rPr>
                <w:rFonts w:ascii="Arial" w:cs="Arial" w:eastAsia="Arial" w:hAnsi="Arial"/>
                <w:sz w:val="12"/>
                <w:szCs w:val="12"/>
                <w:color w:val="auto"/>
              </w:rPr>
              <w:t>Add back:</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7"/>
        </w:trPr>
        <w:tc>
          <w:tcPr>
            <w:tcW w:w="2920" w:type="dxa"/>
            <w:vAlign w:val="bottom"/>
          </w:tcPr>
          <w:p>
            <w:pPr>
              <w:ind w:left="160"/>
              <w:spacing w:after="0"/>
              <w:rPr>
                <w:sz w:val="20"/>
                <w:szCs w:val="20"/>
                <w:color w:val="auto"/>
              </w:rPr>
            </w:pPr>
            <w:r>
              <w:rPr>
                <w:rFonts w:ascii="Arial" w:cs="Arial" w:eastAsia="Arial" w:hAnsi="Arial"/>
                <w:sz w:val="12"/>
                <w:szCs w:val="12"/>
                <w:color w:val="auto"/>
              </w:rPr>
              <w:t>Interest expense</w:t>
            </w:r>
          </w:p>
        </w:tc>
        <w:tc>
          <w:tcPr>
            <w:tcW w:w="340" w:type="dxa"/>
            <w:vAlign w:val="bottom"/>
          </w:tcPr>
          <w:p>
            <w:pPr>
              <w:spacing w:after="0"/>
              <w:rPr>
                <w:sz w:val="15"/>
                <w:szCs w:val="15"/>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13.5</w:t>
            </w:r>
          </w:p>
        </w:tc>
        <w:tc>
          <w:tcPr>
            <w:tcW w:w="34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18.2</w:t>
            </w: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53.9</w:t>
            </w:r>
          </w:p>
        </w:tc>
        <w:tc>
          <w:tcPr>
            <w:tcW w:w="320" w:type="dxa"/>
            <w:vAlign w:val="bottom"/>
          </w:tcPr>
          <w:p>
            <w:pPr>
              <w:spacing w:after="0"/>
              <w:rPr>
                <w:sz w:val="15"/>
                <w:szCs w:val="15"/>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58.6</w:t>
            </w:r>
          </w:p>
        </w:tc>
        <w:tc>
          <w:tcPr>
            <w:tcW w:w="26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68.5</w:t>
            </w:r>
          </w:p>
        </w:tc>
        <w:tc>
          <w:tcPr>
            <w:tcW w:w="320" w:type="dxa"/>
            <w:vAlign w:val="bottom"/>
          </w:tcPr>
          <w:p>
            <w:pPr>
              <w:spacing w:after="0"/>
              <w:rPr>
                <w:sz w:val="15"/>
                <w:szCs w:val="15"/>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73.5</w:t>
            </w:r>
          </w:p>
        </w:tc>
        <w:tc>
          <w:tcPr>
            <w:tcW w:w="3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74.3</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60.9</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Income tax expense for controlling interests</w:t>
            </w:r>
          </w:p>
        </w:tc>
        <w:tc>
          <w:tcPr>
            <w:tcW w:w="34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(10.0)</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(6.4)</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19.6</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23.2</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29.3</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27.4</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77.3</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116.6</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Depreciation, depletion and amortization expense</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43.8</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42.9</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172.7</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171.8</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179.9</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177.7</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169.8</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150.4</w:t>
            </w:r>
          </w:p>
        </w:tc>
      </w:tr>
      <w:tr>
        <w:trPr>
          <w:trHeight w:val="166"/>
        </w:trPr>
        <w:tc>
          <w:tcPr>
            <w:tcW w:w="2920" w:type="dxa"/>
            <w:vAlign w:val="bottom"/>
          </w:tcPr>
          <w:p>
            <w:pPr>
              <w:spacing w:after="0"/>
              <w:rPr>
                <w:sz w:val="20"/>
                <w:szCs w:val="20"/>
                <w:color w:val="auto"/>
              </w:rPr>
            </w:pPr>
            <w:r>
              <w:rPr>
                <w:rFonts w:ascii="Arial" w:cs="Arial" w:eastAsia="Arial" w:hAnsi="Arial"/>
                <w:sz w:val="12"/>
                <w:szCs w:val="12"/>
                <w:b w:val="1"/>
                <w:bCs w:val="1"/>
                <w:color w:val="auto"/>
              </w:rPr>
              <w:t>EBITDA</w:t>
            </w:r>
          </w:p>
        </w:tc>
        <w:tc>
          <w:tcPr>
            <w:tcW w:w="34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39"/>
              <w:spacing w:after="0"/>
              <w:rPr>
                <w:sz w:val="20"/>
                <w:szCs w:val="20"/>
                <w:color w:val="auto"/>
              </w:rPr>
            </w:pPr>
            <w:r>
              <w:rPr>
                <w:rFonts w:ascii="Arial" w:cs="Arial" w:eastAsia="Arial" w:hAnsi="Arial"/>
                <w:sz w:val="12"/>
                <w:szCs w:val="12"/>
                <w:b w:val="1"/>
                <w:bCs w:val="1"/>
                <w:color w:val="auto"/>
              </w:rPr>
              <w:t>10.6</w:t>
            </w:r>
          </w:p>
        </w:tc>
        <w:tc>
          <w:tcPr>
            <w:tcW w:w="34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39"/>
              <w:spacing w:after="0"/>
              <w:rPr>
                <w:sz w:val="20"/>
                <w:szCs w:val="20"/>
                <w:color w:val="auto"/>
              </w:rPr>
            </w:pPr>
            <w:r>
              <w:rPr>
                <w:rFonts w:ascii="Arial" w:cs="Arial" w:eastAsia="Arial" w:hAnsi="Arial"/>
                <w:sz w:val="12"/>
                <w:szCs w:val="12"/>
                <w:b w:val="1"/>
                <w:bCs w:val="1"/>
                <w:color w:val="auto"/>
              </w:rPr>
              <w:t>37.3</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b w:val="1"/>
                <w:bCs w:val="1"/>
                <w:color w:val="auto"/>
              </w:rPr>
              <w:t>309.3</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b w:val="1"/>
                <w:bCs w:val="1"/>
                <w:color w:val="auto"/>
              </w:rPr>
              <w:t>336.0</w:t>
            </w:r>
          </w:p>
        </w:tc>
        <w:tc>
          <w:tcPr>
            <w:tcW w:w="260" w:type="dxa"/>
            <w:vAlign w:val="bottom"/>
          </w:tcPr>
          <w:p>
            <w:pPr>
              <w:jc w:val="right"/>
              <w:ind w:right="19"/>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39"/>
              <w:spacing w:after="0"/>
              <w:rPr>
                <w:sz w:val="20"/>
                <w:szCs w:val="20"/>
                <w:color w:val="auto"/>
              </w:rPr>
            </w:pPr>
            <w:r>
              <w:rPr>
                <w:rFonts w:ascii="Arial" w:cs="Arial" w:eastAsia="Arial" w:hAnsi="Arial"/>
                <w:sz w:val="12"/>
                <w:szCs w:val="12"/>
                <w:b w:val="1"/>
                <w:bCs w:val="1"/>
                <w:color w:val="auto"/>
              </w:rPr>
              <w:t>374.7</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b w:val="1"/>
                <w:bCs w:val="1"/>
                <w:color w:val="auto"/>
              </w:rPr>
              <w:t>364.1</w:t>
            </w:r>
          </w:p>
        </w:tc>
        <w:tc>
          <w:tcPr>
            <w:tcW w:w="30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59"/>
              <w:spacing w:after="0"/>
              <w:rPr>
                <w:sz w:val="20"/>
                <w:szCs w:val="20"/>
                <w:color w:val="auto"/>
              </w:rPr>
            </w:pPr>
            <w:r>
              <w:rPr>
                <w:rFonts w:ascii="Arial" w:cs="Arial" w:eastAsia="Arial" w:hAnsi="Arial"/>
                <w:sz w:val="12"/>
                <w:szCs w:val="12"/>
                <w:b w:val="1"/>
                <w:bCs w:val="1"/>
                <w:color w:val="auto"/>
              </w:rPr>
              <w:t>497.7</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590.6</w:t>
            </w:r>
          </w:p>
        </w:tc>
      </w:tr>
      <w:tr>
        <w:trPr>
          <w:trHeight w:val="333"/>
        </w:trPr>
        <w:tc>
          <w:tcPr>
            <w:tcW w:w="2920" w:type="dxa"/>
            <w:vAlign w:val="bottom"/>
          </w:tcPr>
          <w:p>
            <w:pPr>
              <w:spacing w:after="0"/>
              <w:rPr>
                <w:sz w:val="20"/>
                <w:szCs w:val="20"/>
                <w:color w:val="auto"/>
              </w:rPr>
            </w:pPr>
            <w:r>
              <w:rPr>
                <w:rFonts w:ascii="Arial" w:cs="Arial" w:eastAsia="Arial" w:hAnsi="Arial"/>
                <w:sz w:val="12"/>
                <w:szCs w:val="12"/>
                <w:color w:val="auto"/>
              </w:rPr>
              <w:t>Adjusted for:</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2920" w:type="dxa"/>
            <w:vAlign w:val="bottom"/>
          </w:tcPr>
          <w:p>
            <w:pPr>
              <w:ind w:left="160"/>
              <w:spacing w:after="0"/>
              <w:rPr>
                <w:sz w:val="20"/>
                <w:szCs w:val="20"/>
                <w:color w:val="auto"/>
              </w:rPr>
            </w:pPr>
            <w:r>
              <w:rPr>
                <w:rFonts w:ascii="Arial" w:cs="Arial" w:eastAsia="Arial" w:hAnsi="Arial"/>
                <w:sz w:val="12"/>
                <w:szCs w:val="12"/>
                <w:color w:val="auto"/>
              </w:rPr>
              <w:t>Legal settlement</w:t>
            </w:r>
          </w:p>
        </w:tc>
        <w:tc>
          <w:tcPr>
            <w:tcW w:w="340" w:type="dxa"/>
            <w:vAlign w:val="bottom"/>
          </w:tcPr>
          <w:p>
            <w:pPr>
              <w:spacing w:after="0"/>
              <w:rPr>
                <w:sz w:val="15"/>
                <w:szCs w:val="15"/>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11.9</w:t>
            </w:r>
          </w:p>
        </w:tc>
        <w:tc>
          <w:tcPr>
            <w:tcW w:w="3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Reversal of excess legal reserve</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600" w:type="dxa"/>
            <w:vAlign w:val="bottom"/>
          </w:tcPr>
          <w:p>
            <w:pPr>
              <w:ind w:left="240"/>
              <w:spacing w:after="0"/>
              <w:rPr>
                <w:sz w:val="20"/>
                <w:szCs w:val="20"/>
                <w:color w:val="auto"/>
              </w:rPr>
            </w:pPr>
            <w:r>
              <w:rPr>
                <w:rFonts w:ascii="Arial" w:cs="Arial" w:eastAsia="Arial" w:hAnsi="Arial"/>
                <w:sz w:val="12"/>
                <w:szCs w:val="12"/>
                <w:color w:val="auto"/>
              </w:rPr>
              <w:t>(5.0)</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Nonrecurring reduction in workforce charge</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5.4</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Charge for early retirement benefit</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4.4</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4.4</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Loss (gain) on sales of assets</w:t>
            </w:r>
          </w:p>
        </w:tc>
        <w:tc>
          <w:tcPr>
            <w:tcW w:w="34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0.5</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(5.5)</w:t>
            </w:r>
          </w:p>
        </w:tc>
        <w:tc>
          <w:tcPr>
            <w:tcW w:w="260" w:type="dxa"/>
            <w:vAlign w:val="bottom"/>
          </w:tcPr>
          <w:p>
            <w:pPr>
              <w:spacing w:after="0"/>
              <w:rPr>
                <w:sz w:val="14"/>
                <w:szCs w:val="14"/>
                <w:color w:val="auto"/>
              </w:rPr>
            </w:pPr>
          </w:p>
        </w:tc>
        <w:tc>
          <w:tcPr>
            <w:tcW w:w="600" w:type="dxa"/>
            <w:vAlign w:val="bottom"/>
          </w:tcPr>
          <w:p>
            <w:pPr>
              <w:ind w:left="240"/>
              <w:spacing w:after="0"/>
              <w:rPr>
                <w:sz w:val="20"/>
                <w:szCs w:val="20"/>
                <w:color w:val="auto"/>
              </w:rPr>
            </w:pPr>
            <w:r>
              <w:rPr>
                <w:rFonts w:ascii="Arial" w:cs="Arial" w:eastAsia="Arial" w:hAnsi="Arial"/>
                <w:sz w:val="12"/>
                <w:szCs w:val="12"/>
                <w:color w:val="auto"/>
              </w:rPr>
              <w:t>(4.5)</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3.0</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(12.8)</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7"/>
        </w:trPr>
        <w:tc>
          <w:tcPr>
            <w:tcW w:w="2920" w:type="dxa"/>
            <w:vAlign w:val="bottom"/>
          </w:tcPr>
          <w:p>
            <w:pPr>
              <w:ind w:left="160"/>
              <w:spacing w:after="0"/>
              <w:rPr>
                <w:sz w:val="20"/>
                <w:szCs w:val="20"/>
                <w:color w:val="auto"/>
              </w:rPr>
            </w:pPr>
            <w:r>
              <w:rPr>
                <w:rFonts w:ascii="Arial" w:cs="Arial" w:eastAsia="Arial" w:hAnsi="Arial"/>
                <w:sz w:val="12"/>
                <w:szCs w:val="12"/>
                <w:color w:val="auto"/>
              </w:rPr>
              <w:t>Transaction costs</w:t>
            </w:r>
          </w:p>
        </w:tc>
        <w:tc>
          <w:tcPr>
            <w:tcW w:w="340" w:type="dxa"/>
            <w:vAlign w:val="bottom"/>
          </w:tcPr>
          <w:p>
            <w:pPr>
              <w:spacing w:after="0"/>
              <w:rPr>
                <w:sz w:val="15"/>
                <w:szCs w:val="15"/>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25.9</w:t>
            </w:r>
          </w:p>
        </w:tc>
        <w:tc>
          <w:tcPr>
            <w:tcW w:w="340" w:type="dxa"/>
            <w:vAlign w:val="bottom"/>
          </w:tcPr>
          <w:p>
            <w:pPr>
              <w:spacing w:after="0"/>
              <w:rPr>
                <w:sz w:val="15"/>
                <w:szCs w:val="15"/>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1.0</w:t>
            </w:r>
          </w:p>
        </w:tc>
        <w:tc>
          <w:tcPr>
            <w:tcW w:w="200" w:type="dxa"/>
            <w:vAlign w:val="bottom"/>
          </w:tcPr>
          <w:p>
            <w:pPr>
              <w:spacing w:after="0"/>
              <w:rPr>
                <w:sz w:val="15"/>
                <w:szCs w:val="15"/>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43.5</w:t>
            </w:r>
          </w:p>
        </w:tc>
        <w:tc>
          <w:tcPr>
            <w:tcW w:w="320" w:type="dxa"/>
            <w:vAlign w:val="bottom"/>
          </w:tcPr>
          <w:p>
            <w:pPr>
              <w:spacing w:after="0"/>
              <w:rPr>
                <w:sz w:val="15"/>
                <w:szCs w:val="15"/>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18.6</w:t>
            </w:r>
          </w:p>
        </w:tc>
        <w:tc>
          <w:tcPr>
            <w:tcW w:w="26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1.2</w:t>
            </w:r>
          </w:p>
        </w:tc>
        <w:tc>
          <w:tcPr>
            <w:tcW w:w="320" w:type="dxa"/>
            <w:vAlign w:val="bottom"/>
          </w:tcPr>
          <w:p>
            <w:pPr>
              <w:spacing w:after="0"/>
              <w:rPr>
                <w:sz w:val="15"/>
                <w:szCs w:val="15"/>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2.2</w:t>
            </w:r>
          </w:p>
        </w:tc>
        <w:tc>
          <w:tcPr>
            <w:tcW w:w="300" w:type="dxa"/>
            <w:vAlign w:val="bottom"/>
          </w:tcPr>
          <w:p>
            <w:pPr>
              <w:spacing w:after="0"/>
              <w:rPr>
                <w:sz w:val="15"/>
                <w:szCs w:val="15"/>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3.6</w:t>
            </w: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Settlement expense for pension plan</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0.4</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0.4</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3.5</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2.8</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0.7</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Asset write-offs</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3.3</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Other nonoperating (income) expense</w:t>
            </w:r>
          </w:p>
        </w:tc>
        <w:tc>
          <w:tcPr>
            <w:tcW w:w="34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(1.8)</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(0.2)</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0.2</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0.2</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(1.1)</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2.0</w:t>
            </w:r>
          </w:p>
        </w:tc>
        <w:tc>
          <w:tcPr>
            <w:tcW w:w="32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Arial" w:cs="Arial" w:eastAsia="Arial" w:hAnsi="Arial"/>
                <w:sz w:val="12"/>
                <w:szCs w:val="12"/>
                <w:color w:val="auto"/>
              </w:rPr>
              <w:t>(7.3)</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Pretax loss (gain) on discontinued operations</w:t>
            </w:r>
          </w:p>
        </w:tc>
        <w:tc>
          <w:tcPr>
            <w:tcW w:w="34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0.7</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1.8</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(7.3)</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(6.2)</w:t>
            </w:r>
          </w:p>
        </w:tc>
        <w:tc>
          <w:tcPr>
            <w:tcW w:w="260" w:type="dxa"/>
            <w:vAlign w:val="bottom"/>
          </w:tcPr>
          <w:p>
            <w:pPr>
              <w:spacing w:after="0"/>
              <w:rPr>
                <w:sz w:val="14"/>
                <w:szCs w:val="14"/>
                <w:color w:val="auto"/>
              </w:rPr>
            </w:pPr>
          </w:p>
        </w:tc>
        <w:tc>
          <w:tcPr>
            <w:tcW w:w="600" w:type="dxa"/>
            <w:vAlign w:val="bottom"/>
          </w:tcPr>
          <w:p>
            <w:pPr>
              <w:ind w:left="240"/>
              <w:spacing w:after="0"/>
              <w:rPr>
                <w:sz w:val="20"/>
                <w:szCs w:val="20"/>
                <w:color w:val="auto"/>
              </w:rPr>
            </w:pPr>
            <w:r>
              <w:rPr>
                <w:rFonts w:ascii="Arial" w:cs="Arial" w:eastAsia="Arial" w:hAnsi="Arial"/>
                <w:sz w:val="12"/>
                <w:szCs w:val="12"/>
                <w:color w:val="auto"/>
              </w:rPr>
              <w:t>(0.3)</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(0.5)</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(10.1)</w:t>
            </w:r>
          </w:p>
        </w:tc>
        <w:tc>
          <w:tcPr>
            <w:tcW w:w="32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Arial" w:cs="Arial" w:eastAsia="Arial" w:hAnsi="Arial"/>
                <w:sz w:val="12"/>
                <w:szCs w:val="12"/>
                <w:color w:val="auto"/>
              </w:rPr>
              <w:t>(3.7)</w:t>
            </w: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Income attributable to noncontrolling interests</w:t>
            </w:r>
          </w:p>
        </w:tc>
        <w:tc>
          <w:tcPr>
            <w:tcW w:w="340" w:type="dxa"/>
            <w:vAlign w:val="bottom"/>
          </w:tcPr>
          <w:p>
            <w:pPr>
              <w:spacing w:after="0"/>
              <w:rPr>
                <w:sz w:val="14"/>
                <w:szCs w:val="14"/>
                <w:color w:val="auto"/>
              </w:rPr>
            </w:pPr>
          </w:p>
        </w:tc>
        <w:tc>
          <w:tcPr>
            <w:tcW w:w="520" w:type="dxa"/>
            <w:vAlign w:val="bottom"/>
          </w:tcPr>
          <w:p>
            <w:pPr>
              <w:jc w:val="right"/>
              <w:ind w:right="39"/>
              <w:spacing w:after="0"/>
              <w:rPr>
                <w:sz w:val="20"/>
                <w:szCs w:val="20"/>
                <w:color w:val="auto"/>
              </w:rPr>
            </w:pPr>
            <w:r>
              <w:rPr>
                <w:rFonts w:ascii="Arial" w:cs="Arial" w:eastAsia="Arial" w:hAnsi="Arial"/>
                <w:sz w:val="12"/>
                <w:szCs w:val="12"/>
                <w:color w:val="auto"/>
              </w:rPr>
              <w:t>(1.0)</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(0.3)</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1.2</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2.8</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3.7</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344"/>
        </w:trPr>
        <w:tc>
          <w:tcPr>
            <w:tcW w:w="292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34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19"/>
              <w:spacing w:after="0"/>
              <w:rPr>
                <w:sz w:val="20"/>
                <w:szCs w:val="20"/>
                <w:color w:val="auto"/>
              </w:rPr>
            </w:pPr>
            <w:r>
              <w:rPr>
                <w:rFonts w:ascii="Arial" w:cs="Arial" w:eastAsia="Arial" w:hAnsi="Arial"/>
                <w:sz w:val="12"/>
                <w:szCs w:val="12"/>
                <w:b w:val="1"/>
                <w:bCs w:val="1"/>
                <w:color w:val="auto"/>
              </w:rPr>
              <w:t>34.9</w:t>
            </w:r>
          </w:p>
        </w:tc>
        <w:tc>
          <w:tcPr>
            <w:tcW w:w="34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19"/>
              <w:spacing w:after="0"/>
              <w:rPr>
                <w:sz w:val="20"/>
                <w:szCs w:val="20"/>
                <w:color w:val="auto"/>
              </w:rPr>
            </w:pPr>
            <w:r>
              <w:rPr>
                <w:rFonts w:ascii="Arial" w:cs="Arial" w:eastAsia="Arial" w:hAnsi="Arial"/>
                <w:sz w:val="12"/>
                <w:szCs w:val="12"/>
                <w:b w:val="1"/>
                <w:bCs w:val="1"/>
                <w:color w:val="auto"/>
              </w:rPr>
              <w:t>36.6</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b w:val="1"/>
                <w:bCs w:val="1"/>
                <w:color w:val="auto"/>
              </w:rPr>
              <w:t>349.0</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2"/>
                <w:szCs w:val="12"/>
                <w:b w:val="1"/>
                <w:bCs w:val="1"/>
                <w:color w:val="auto"/>
              </w:rPr>
              <w:t>350.7</w:t>
            </w:r>
          </w:p>
        </w:tc>
        <w:tc>
          <w:tcPr>
            <w:tcW w:w="260" w:type="dxa"/>
            <w:vAlign w:val="bottom"/>
          </w:tcPr>
          <w:p>
            <w:pPr>
              <w:jc w:val="right"/>
              <w:ind w:right="19"/>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39"/>
              <w:spacing w:after="0"/>
              <w:rPr>
                <w:sz w:val="20"/>
                <w:szCs w:val="20"/>
                <w:color w:val="auto"/>
              </w:rPr>
            </w:pPr>
            <w:r>
              <w:rPr>
                <w:rFonts w:ascii="Arial" w:cs="Arial" w:eastAsia="Arial" w:hAnsi="Arial"/>
                <w:sz w:val="12"/>
                <w:szCs w:val="12"/>
                <w:b w:val="1"/>
                <w:bCs w:val="1"/>
                <w:color w:val="auto"/>
              </w:rPr>
              <w:t>371.5</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b w:val="1"/>
                <w:bCs w:val="1"/>
                <w:color w:val="auto"/>
              </w:rPr>
              <w:t>382.4</w:t>
            </w:r>
          </w:p>
        </w:tc>
        <w:tc>
          <w:tcPr>
            <w:tcW w:w="30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59"/>
              <w:spacing w:after="0"/>
              <w:rPr>
                <w:sz w:val="20"/>
                <w:szCs w:val="20"/>
                <w:color w:val="auto"/>
              </w:rPr>
            </w:pPr>
            <w:r>
              <w:rPr>
                <w:rFonts w:ascii="Arial" w:cs="Arial" w:eastAsia="Arial" w:hAnsi="Arial"/>
                <w:sz w:val="12"/>
                <w:szCs w:val="12"/>
                <w:b w:val="1"/>
                <w:bCs w:val="1"/>
                <w:color w:val="auto"/>
              </w:rPr>
              <w:t>495.6</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581.2</w:t>
            </w:r>
          </w:p>
        </w:tc>
      </w:tr>
      <w:tr>
        <w:trPr>
          <w:trHeight w:val="333"/>
        </w:trPr>
        <w:tc>
          <w:tcPr>
            <w:tcW w:w="2920" w:type="dxa"/>
            <w:vAlign w:val="bottom"/>
          </w:tcPr>
          <w:p>
            <w:pPr>
              <w:spacing w:after="0"/>
              <w:rPr>
                <w:sz w:val="20"/>
                <w:szCs w:val="20"/>
                <w:color w:val="auto"/>
              </w:rPr>
            </w:pPr>
            <w:r>
              <w:rPr>
                <w:rFonts w:ascii="Arial" w:cs="Arial" w:eastAsia="Arial" w:hAnsi="Arial"/>
                <w:sz w:val="12"/>
                <w:szCs w:val="12"/>
                <w:color w:val="auto"/>
              </w:rPr>
              <w:t>Less:</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6"/>
        </w:trPr>
        <w:tc>
          <w:tcPr>
            <w:tcW w:w="2920" w:type="dxa"/>
            <w:vAlign w:val="bottom"/>
          </w:tcPr>
          <w:p>
            <w:pPr>
              <w:ind w:left="160"/>
              <w:spacing w:after="0"/>
              <w:rPr>
                <w:sz w:val="20"/>
                <w:szCs w:val="20"/>
                <w:color w:val="auto"/>
              </w:rPr>
            </w:pPr>
            <w:r>
              <w:rPr>
                <w:rFonts w:ascii="Arial" w:cs="Arial" w:eastAsia="Arial" w:hAnsi="Arial"/>
                <w:sz w:val="12"/>
                <w:szCs w:val="12"/>
                <w:color w:val="auto"/>
              </w:rPr>
              <w:t>Depreciation, depletion and amortization expense</w:t>
            </w:r>
          </w:p>
        </w:tc>
        <w:tc>
          <w:tcPr>
            <w:tcW w:w="340" w:type="dxa"/>
            <w:vAlign w:val="bottom"/>
          </w:tcPr>
          <w:p>
            <w:pPr>
              <w:spacing w:after="0"/>
              <w:rPr>
                <w:sz w:val="14"/>
                <w:szCs w:val="14"/>
                <w:color w:val="auto"/>
              </w:rPr>
            </w:pPr>
          </w:p>
        </w:tc>
        <w:tc>
          <w:tcPr>
            <w:tcW w:w="520" w:type="dxa"/>
            <w:vAlign w:val="bottom"/>
          </w:tcPr>
          <w:p>
            <w:pPr>
              <w:jc w:val="right"/>
              <w:ind w:right="19"/>
              <w:spacing w:after="0"/>
              <w:rPr>
                <w:sz w:val="20"/>
                <w:szCs w:val="20"/>
                <w:color w:val="auto"/>
              </w:rPr>
            </w:pPr>
            <w:r>
              <w:rPr>
                <w:rFonts w:ascii="Arial" w:cs="Arial" w:eastAsia="Arial" w:hAnsi="Arial"/>
                <w:sz w:val="12"/>
                <w:szCs w:val="12"/>
                <w:color w:val="auto"/>
              </w:rPr>
              <w:t>43.8</w:t>
            </w:r>
          </w:p>
        </w:tc>
        <w:tc>
          <w:tcPr>
            <w:tcW w:w="34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2"/>
                <w:szCs w:val="12"/>
                <w:color w:val="auto"/>
              </w:rPr>
              <w:t>42.9</w:t>
            </w:r>
          </w:p>
        </w:tc>
        <w:tc>
          <w:tcPr>
            <w:tcW w:w="2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172.7</w:t>
            </w:r>
          </w:p>
        </w:tc>
        <w:tc>
          <w:tcPr>
            <w:tcW w:w="320" w:type="dxa"/>
            <w:vAlign w:val="bottom"/>
          </w:tcPr>
          <w:p>
            <w:pPr>
              <w:spacing w:after="0"/>
              <w:rPr>
                <w:sz w:val="14"/>
                <w:szCs w:val="14"/>
                <w:color w:val="auto"/>
              </w:rPr>
            </w:pPr>
          </w:p>
        </w:tc>
        <w:tc>
          <w:tcPr>
            <w:tcW w:w="540" w:type="dxa"/>
            <w:vAlign w:val="bottom"/>
          </w:tcPr>
          <w:p>
            <w:pPr>
              <w:jc w:val="right"/>
              <w:ind w:right="19"/>
              <w:spacing w:after="0"/>
              <w:rPr>
                <w:sz w:val="20"/>
                <w:szCs w:val="20"/>
                <w:color w:val="auto"/>
              </w:rPr>
            </w:pPr>
            <w:r>
              <w:rPr>
                <w:rFonts w:ascii="Arial" w:cs="Arial" w:eastAsia="Arial" w:hAnsi="Arial"/>
                <w:sz w:val="12"/>
                <w:szCs w:val="12"/>
                <w:color w:val="auto"/>
              </w:rPr>
              <w:t>171.8</w:t>
            </w:r>
          </w:p>
        </w:tc>
        <w:tc>
          <w:tcPr>
            <w:tcW w:w="260" w:type="dxa"/>
            <w:vAlign w:val="bottom"/>
          </w:tcPr>
          <w:p>
            <w:pPr>
              <w:spacing w:after="0"/>
              <w:rPr>
                <w:sz w:val="14"/>
                <w:szCs w:val="14"/>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179.9</w:t>
            </w:r>
          </w:p>
        </w:tc>
        <w:tc>
          <w:tcPr>
            <w:tcW w:w="320" w:type="dxa"/>
            <w:vAlign w:val="bottom"/>
          </w:tcPr>
          <w:p>
            <w:pPr>
              <w:spacing w:after="0"/>
              <w:rPr>
                <w:sz w:val="14"/>
                <w:szCs w:val="14"/>
                <w:color w:val="auto"/>
              </w:rPr>
            </w:pPr>
          </w:p>
        </w:tc>
        <w:tc>
          <w:tcPr>
            <w:tcW w:w="540" w:type="dxa"/>
            <w:vAlign w:val="bottom"/>
          </w:tcPr>
          <w:p>
            <w:pPr>
              <w:jc w:val="right"/>
              <w:ind w:right="39"/>
              <w:spacing w:after="0"/>
              <w:rPr>
                <w:sz w:val="20"/>
                <w:szCs w:val="20"/>
                <w:color w:val="auto"/>
              </w:rPr>
            </w:pPr>
            <w:r>
              <w:rPr>
                <w:rFonts w:ascii="Arial" w:cs="Arial" w:eastAsia="Arial" w:hAnsi="Arial"/>
                <w:sz w:val="12"/>
                <w:szCs w:val="12"/>
                <w:color w:val="auto"/>
              </w:rPr>
              <w:t>177.7</w:t>
            </w:r>
          </w:p>
        </w:tc>
        <w:tc>
          <w:tcPr>
            <w:tcW w:w="300" w:type="dxa"/>
            <w:vAlign w:val="bottom"/>
          </w:tcPr>
          <w:p>
            <w:pPr>
              <w:spacing w:after="0"/>
              <w:rPr>
                <w:sz w:val="14"/>
                <w:szCs w:val="14"/>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color w:val="auto"/>
              </w:rPr>
              <w:t>169.8</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150.4</w:t>
            </w:r>
          </w:p>
        </w:tc>
      </w:tr>
      <w:tr>
        <w:trPr>
          <w:trHeight w:val="166"/>
        </w:trPr>
        <w:tc>
          <w:tcPr>
            <w:tcW w:w="2920" w:type="dxa"/>
            <w:vAlign w:val="bottom"/>
          </w:tcPr>
          <w:p>
            <w:pPr>
              <w:spacing w:after="0"/>
              <w:rPr>
                <w:sz w:val="20"/>
                <w:szCs w:val="20"/>
                <w:color w:val="auto"/>
              </w:rPr>
            </w:pPr>
            <w:r>
              <w:rPr>
                <w:rFonts w:ascii="Arial" w:cs="Arial" w:eastAsia="Arial" w:hAnsi="Arial"/>
                <w:sz w:val="12"/>
                <w:szCs w:val="12"/>
                <w:b w:val="1"/>
                <w:bCs w:val="1"/>
                <w:color w:val="auto"/>
              </w:rPr>
              <w:t>Adjusted EBIT</w:t>
            </w:r>
          </w:p>
        </w:tc>
        <w:tc>
          <w:tcPr>
            <w:tcW w:w="34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jc w:val="right"/>
              <w:ind w:right="39"/>
              <w:spacing w:after="0"/>
              <w:rPr>
                <w:sz w:val="20"/>
                <w:szCs w:val="20"/>
                <w:color w:val="auto"/>
              </w:rPr>
            </w:pPr>
            <w:r>
              <w:rPr>
                <w:rFonts w:ascii="Arial" w:cs="Arial" w:eastAsia="Arial" w:hAnsi="Arial"/>
                <w:sz w:val="12"/>
                <w:szCs w:val="12"/>
                <w:b w:val="1"/>
                <w:bCs w:val="1"/>
                <w:color w:val="auto"/>
              </w:rPr>
              <w:t>(8.9)</w:t>
            </w:r>
          </w:p>
        </w:tc>
        <w:tc>
          <w:tcPr>
            <w:tcW w:w="34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jc w:val="right"/>
              <w:ind w:right="19"/>
              <w:spacing w:after="0"/>
              <w:rPr>
                <w:sz w:val="20"/>
                <w:szCs w:val="20"/>
                <w:color w:val="auto"/>
              </w:rPr>
            </w:pPr>
            <w:r>
              <w:rPr>
                <w:rFonts w:ascii="Arial" w:cs="Arial" w:eastAsia="Arial" w:hAnsi="Arial"/>
                <w:sz w:val="12"/>
                <w:szCs w:val="12"/>
                <w:b w:val="1"/>
                <w:bCs w:val="1"/>
                <w:color w:val="auto"/>
              </w:rPr>
              <w:t>(6.3)</w:t>
            </w:r>
          </w:p>
        </w:tc>
        <w:tc>
          <w:tcPr>
            <w:tcW w:w="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19"/>
              <w:spacing w:after="0"/>
              <w:rPr>
                <w:sz w:val="20"/>
                <w:szCs w:val="20"/>
                <w:color w:val="auto"/>
              </w:rPr>
            </w:pPr>
            <w:r>
              <w:rPr>
                <w:rFonts w:ascii="Arial" w:cs="Arial" w:eastAsia="Arial" w:hAnsi="Arial"/>
                <w:sz w:val="12"/>
                <w:szCs w:val="12"/>
                <w:b w:val="1"/>
                <w:bCs w:val="1"/>
                <w:color w:val="auto"/>
              </w:rPr>
              <w:t>176.3</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19"/>
              <w:spacing w:after="0"/>
              <w:rPr>
                <w:sz w:val="20"/>
                <w:szCs w:val="20"/>
                <w:color w:val="auto"/>
              </w:rPr>
            </w:pPr>
            <w:r>
              <w:rPr>
                <w:rFonts w:ascii="Arial" w:cs="Arial" w:eastAsia="Arial" w:hAnsi="Arial"/>
                <w:sz w:val="12"/>
                <w:szCs w:val="12"/>
                <w:b w:val="1"/>
                <w:bCs w:val="1"/>
                <w:color w:val="auto"/>
              </w:rPr>
              <w:t>178.9</w:t>
            </w:r>
          </w:p>
        </w:tc>
        <w:tc>
          <w:tcPr>
            <w:tcW w:w="260" w:type="dxa"/>
            <w:vAlign w:val="bottom"/>
          </w:tcPr>
          <w:p>
            <w:pPr>
              <w:jc w:val="right"/>
              <w:ind w:right="19"/>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jc w:val="right"/>
              <w:ind w:right="39"/>
              <w:spacing w:after="0"/>
              <w:rPr>
                <w:sz w:val="20"/>
                <w:szCs w:val="20"/>
                <w:color w:val="auto"/>
              </w:rPr>
            </w:pPr>
            <w:r>
              <w:rPr>
                <w:rFonts w:ascii="Arial" w:cs="Arial" w:eastAsia="Arial" w:hAnsi="Arial"/>
                <w:sz w:val="12"/>
                <w:szCs w:val="12"/>
                <w:b w:val="1"/>
                <w:bCs w:val="1"/>
                <w:color w:val="auto"/>
              </w:rPr>
              <w:t>191.6</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ind w:right="39"/>
              <w:spacing w:after="0"/>
              <w:rPr>
                <w:sz w:val="20"/>
                <w:szCs w:val="20"/>
                <w:color w:val="auto"/>
              </w:rPr>
            </w:pPr>
            <w:r>
              <w:rPr>
                <w:rFonts w:ascii="Arial" w:cs="Arial" w:eastAsia="Arial" w:hAnsi="Arial"/>
                <w:sz w:val="12"/>
                <w:szCs w:val="12"/>
                <w:b w:val="1"/>
                <w:bCs w:val="1"/>
                <w:color w:val="auto"/>
              </w:rPr>
              <w:t>204.7</w:t>
            </w:r>
          </w:p>
        </w:tc>
        <w:tc>
          <w:tcPr>
            <w:tcW w:w="300" w:type="dxa"/>
            <w:vAlign w:val="bottom"/>
          </w:tcPr>
          <w:p>
            <w:pPr>
              <w:jc w:val="right"/>
              <w:ind w:right="59"/>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jc w:val="right"/>
              <w:ind w:right="39"/>
              <w:spacing w:after="0"/>
              <w:rPr>
                <w:sz w:val="20"/>
                <w:szCs w:val="20"/>
                <w:color w:val="auto"/>
              </w:rPr>
            </w:pPr>
            <w:r>
              <w:rPr>
                <w:rFonts w:ascii="Arial" w:cs="Arial" w:eastAsia="Arial" w:hAnsi="Arial"/>
                <w:sz w:val="12"/>
                <w:szCs w:val="12"/>
                <w:b w:val="1"/>
                <w:bCs w:val="1"/>
                <w:color w:val="auto"/>
              </w:rPr>
              <w:t>325.8</w:t>
            </w:r>
          </w:p>
        </w:tc>
        <w:tc>
          <w:tcPr>
            <w:tcW w:w="320" w:type="dxa"/>
            <w:vAlign w:val="bottom"/>
          </w:tcPr>
          <w:p>
            <w:pPr>
              <w:jc w:val="right"/>
              <w:ind w:right="79"/>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430.8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0"/>
          <w:szCs w:val="10"/>
          <w:color w:val="auto"/>
        </w:rPr>
        <w:t>Note: Adjusted Q1 2012 and LTM EBITDA is preliminary and amounts may change upon finalization of Martin Marietta’s Q1 2012 earnings as reported on Form 10-Q.</w:t>
      </w:r>
    </w:p>
    <w:p>
      <w:pPr>
        <w:spacing w:after="0" w:line="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0"/>
          <w:szCs w:val="10"/>
          <w:color w:val="auto"/>
        </w:rPr>
        <w:t>Source:</w:t>
        <w:tab/>
        <w:t>Company filings</w:t>
      </w:r>
    </w:p>
    <w:p>
      <w:pPr>
        <w:spacing w:after="0" w:line="200" w:lineRule="exact"/>
        <w:rPr>
          <w:sz w:val="20"/>
          <w:szCs w:val="20"/>
          <w:color w:val="auto"/>
        </w:rPr>
      </w:pPr>
    </w:p>
    <w:p>
      <w:pPr>
        <w:ind w:left="9460"/>
        <w:spacing w:after="0"/>
        <w:rPr>
          <w:sz w:val="20"/>
          <w:szCs w:val="20"/>
          <w:color w:val="auto"/>
        </w:rPr>
      </w:pPr>
      <w:r>
        <w:rPr>
          <w:rFonts w:ascii="Arial" w:cs="Arial" w:eastAsia="Arial" w:hAnsi="Arial"/>
          <w:sz w:val="14"/>
          <w:szCs w:val="14"/>
          <w:color w:val="B4996E"/>
        </w:rPr>
        <w:t>37</w:t>
      </w:r>
    </w:p>
    <w:p>
      <w:pPr>
        <w:sectPr>
          <w:pgSz w:w="11900" w:h="16838" w:orient="portrait"/>
          <w:cols w:equalWidth="0" w:num="1">
            <w:col w:w="9680"/>
          </w:cols>
          <w:pgMar w:left="1220" w:top="656" w:right="999" w:bottom="1440" w:gutter="0" w:footer="0" w:header="0"/>
        </w:sectPr>
      </w:pPr>
    </w:p>
    <w:bookmarkStart w:id="38" w:name="page39"/>
    <w:bookmarkEnd w:id="38"/>
    <w:p>
      <w:pPr>
        <w:ind w:left="10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 EBITDA &amp; EBIT Reconciliation</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880" w:type="dxa"/>
            <w:vAlign w:val="bottom"/>
          </w:tcPr>
          <w:p>
            <w:pPr>
              <w:spacing w:after="0"/>
              <w:rPr>
                <w:sz w:val="11"/>
                <w:szCs w:val="11"/>
                <w:color w:val="auto"/>
              </w:rPr>
            </w:pPr>
          </w:p>
        </w:tc>
        <w:tc>
          <w:tcPr>
            <w:tcW w:w="1380" w:type="dxa"/>
            <w:vAlign w:val="bottom"/>
            <w:gridSpan w:val="3"/>
          </w:tcPr>
          <w:p>
            <w:pPr>
              <w:jc w:val="center"/>
              <w:spacing w:after="0"/>
              <w:rPr>
                <w:sz w:val="20"/>
                <w:szCs w:val="20"/>
                <w:color w:val="auto"/>
              </w:rPr>
            </w:pPr>
            <w:r>
              <w:rPr>
                <w:rFonts w:ascii="Arial" w:cs="Arial" w:eastAsia="Arial" w:hAnsi="Arial"/>
                <w:sz w:val="11"/>
                <w:szCs w:val="11"/>
                <w:b w:val="1"/>
                <w:bCs w:val="1"/>
                <w:color w:val="auto"/>
              </w:rPr>
              <w:t>For the Quarter Ended</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6"/>
        </w:trPr>
        <w:tc>
          <w:tcPr>
            <w:tcW w:w="2880" w:type="dxa"/>
            <w:vAlign w:val="bottom"/>
          </w:tcPr>
          <w:p>
            <w:pPr>
              <w:spacing w:after="0"/>
              <w:rPr>
                <w:sz w:val="20"/>
                <w:szCs w:val="20"/>
                <w:color w:val="auto"/>
              </w:rPr>
            </w:pPr>
            <w:r>
              <w:rPr>
                <w:rFonts w:ascii="Arial" w:cs="Arial" w:eastAsia="Arial" w:hAnsi="Arial"/>
                <w:sz w:val="11"/>
                <w:szCs w:val="11"/>
                <w:color w:val="auto"/>
              </w:rPr>
              <w:t>(dollars in millions)</w:t>
            </w:r>
          </w:p>
        </w:tc>
        <w:tc>
          <w:tcPr>
            <w:tcW w:w="980" w:type="dxa"/>
            <w:vAlign w:val="bottom"/>
            <w:gridSpan w:val="2"/>
          </w:tcPr>
          <w:p>
            <w:pPr>
              <w:jc w:val="center"/>
              <w:ind w:left="325"/>
              <w:spacing w:after="0"/>
              <w:rPr>
                <w:sz w:val="20"/>
                <w:szCs w:val="20"/>
                <w:color w:val="auto"/>
              </w:rPr>
            </w:pPr>
            <w:r>
              <w:rPr>
                <w:rFonts w:ascii="Arial" w:cs="Arial" w:eastAsia="Arial" w:hAnsi="Arial"/>
                <w:sz w:val="11"/>
                <w:szCs w:val="11"/>
                <w:b w:val="1"/>
                <w:bCs w:val="1"/>
                <w:color w:val="auto"/>
              </w:rPr>
              <w:t>March 31,</w:t>
            </w:r>
          </w:p>
        </w:tc>
        <w:tc>
          <w:tcPr>
            <w:tcW w:w="400" w:type="dxa"/>
            <w:vAlign w:val="bottom"/>
          </w:tcPr>
          <w:p>
            <w:pPr>
              <w:spacing w:after="0"/>
              <w:rPr>
                <w:sz w:val="12"/>
                <w:szCs w:val="12"/>
                <w:color w:val="auto"/>
              </w:rPr>
            </w:pPr>
          </w:p>
        </w:tc>
        <w:tc>
          <w:tcPr>
            <w:tcW w:w="700" w:type="dxa"/>
            <w:vAlign w:val="bottom"/>
          </w:tcPr>
          <w:p>
            <w:pPr>
              <w:jc w:val="right"/>
              <w:ind w:right="205"/>
              <w:spacing w:after="0"/>
              <w:rPr>
                <w:sz w:val="20"/>
                <w:szCs w:val="20"/>
                <w:color w:val="auto"/>
              </w:rPr>
            </w:pPr>
            <w:r>
              <w:rPr>
                <w:rFonts w:ascii="Arial" w:cs="Arial" w:eastAsia="Arial" w:hAnsi="Arial"/>
                <w:sz w:val="11"/>
                <w:szCs w:val="11"/>
                <w:b w:val="1"/>
                <w:bCs w:val="1"/>
                <w:color w:val="auto"/>
              </w:rPr>
              <w:t>LTM</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gridSpan w:val="6"/>
          </w:tcPr>
          <w:p>
            <w:pPr>
              <w:jc w:val="right"/>
              <w:ind w:right="145"/>
              <w:spacing w:after="0"/>
              <w:rPr>
                <w:sz w:val="20"/>
                <w:szCs w:val="20"/>
                <w:color w:val="auto"/>
              </w:rPr>
            </w:pPr>
            <w:r>
              <w:rPr>
                <w:rFonts w:ascii="Arial" w:cs="Arial" w:eastAsia="Arial" w:hAnsi="Arial"/>
                <w:sz w:val="11"/>
                <w:szCs w:val="11"/>
                <w:b w:val="1"/>
                <w:bCs w:val="1"/>
                <w:color w:val="auto"/>
              </w:rPr>
              <w:t>For the Year Ended December 31,</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6"/>
        </w:trPr>
        <w:tc>
          <w:tcPr>
            <w:tcW w:w="2880" w:type="dxa"/>
            <w:vAlign w:val="bottom"/>
          </w:tcPr>
          <w:p>
            <w:pPr>
              <w:spacing w:after="0"/>
              <w:rPr>
                <w:sz w:val="14"/>
                <w:szCs w:val="14"/>
                <w:color w:val="auto"/>
              </w:rPr>
            </w:pPr>
          </w:p>
        </w:tc>
        <w:tc>
          <w:tcPr>
            <w:tcW w:w="720" w:type="dxa"/>
            <w:vAlign w:val="bottom"/>
          </w:tcPr>
          <w:p>
            <w:pPr>
              <w:jc w:val="right"/>
              <w:ind w:right="45"/>
              <w:spacing w:after="0"/>
              <w:rPr>
                <w:sz w:val="20"/>
                <w:szCs w:val="20"/>
                <w:color w:val="auto"/>
              </w:rPr>
            </w:pPr>
            <w:r>
              <w:rPr>
                <w:rFonts w:ascii="Arial" w:cs="Arial" w:eastAsia="Arial" w:hAnsi="Arial"/>
                <w:sz w:val="11"/>
                <w:szCs w:val="11"/>
                <w:b w:val="1"/>
                <w:bCs w:val="1"/>
                <w:color w:val="auto"/>
              </w:rPr>
              <w:t>2012</w:t>
            </w:r>
          </w:p>
        </w:tc>
        <w:tc>
          <w:tcPr>
            <w:tcW w:w="260" w:type="dxa"/>
            <w:vAlign w:val="bottom"/>
          </w:tcPr>
          <w:p>
            <w:pPr>
              <w:spacing w:after="0"/>
              <w:rPr>
                <w:sz w:val="14"/>
                <w:szCs w:val="14"/>
                <w:color w:val="auto"/>
              </w:rPr>
            </w:pPr>
          </w:p>
        </w:tc>
        <w:tc>
          <w:tcPr>
            <w:tcW w:w="400" w:type="dxa"/>
            <w:vAlign w:val="bottom"/>
          </w:tcPr>
          <w:p>
            <w:pPr>
              <w:jc w:val="right"/>
              <w:ind w:right="25"/>
              <w:spacing w:after="0"/>
              <w:rPr>
                <w:sz w:val="20"/>
                <w:szCs w:val="20"/>
                <w:color w:val="auto"/>
              </w:rPr>
            </w:pPr>
            <w:r>
              <w:rPr>
                <w:rFonts w:ascii="Arial" w:cs="Arial" w:eastAsia="Arial" w:hAnsi="Arial"/>
                <w:sz w:val="11"/>
                <w:szCs w:val="11"/>
                <w:b w:val="1"/>
                <w:bCs w:val="1"/>
                <w:color w:val="auto"/>
              </w:rPr>
              <w:t>2011</w:t>
            </w:r>
          </w:p>
        </w:tc>
        <w:tc>
          <w:tcPr>
            <w:tcW w:w="700" w:type="dxa"/>
            <w:vAlign w:val="bottom"/>
          </w:tcPr>
          <w:p>
            <w:pPr>
              <w:jc w:val="right"/>
              <w:ind w:right="85"/>
              <w:spacing w:after="0"/>
              <w:rPr>
                <w:sz w:val="20"/>
                <w:szCs w:val="20"/>
                <w:color w:val="auto"/>
              </w:rPr>
            </w:pPr>
            <w:r>
              <w:rPr>
                <w:rFonts w:ascii="Arial" w:cs="Arial" w:eastAsia="Arial" w:hAnsi="Arial"/>
                <w:sz w:val="11"/>
                <w:szCs w:val="11"/>
                <w:b w:val="1"/>
                <w:bCs w:val="1"/>
                <w:color w:val="auto"/>
              </w:rPr>
              <w:t>3/31/2012</w:t>
            </w:r>
          </w:p>
        </w:tc>
        <w:tc>
          <w:tcPr>
            <w:tcW w:w="680" w:type="dxa"/>
            <w:vAlign w:val="bottom"/>
          </w:tcPr>
          <w:p>
            <w:pPr>
              <w:jc w:val="right"/>
              <w:ind w:right="45"/>
              <w:spacing w:after="0"/>
              <w:rPr>
                <w:sz w:val="20"/>
                <w:szCs w:val="20"/>
                <w:color w:val="auto"/>
              </w:rPr>
            </w:pPr>
            <w:r>
              <w:rPr>
                <w:rFonts w:ascii="Arial" w:cs="Arial" w:eastAsia="Arial" w:hAnsi="Arial"/>
                <w:sz w:val="11"/>
                <w:szCs w:val="11"/>
                <w:b w:val="1"/>
                <w:bCs w:val="1"/>
                <w:color w:val="auto"/>
              </w:rPr>
              <w:t>2011</w:t>
            </w:r>
          </w:p>
        </w:tc>
        <w:tc>
          <w:tcPr>
            <w:tcW w:w="680" w:type="dxa"/>
            <w:vAlign w:val="bottom"/>
          </w:tcPr>
          <w:p>
            <w:pPr>
              <w:jc w:val="right"/>
              <w:ind w:right="45"/>
              <w:spacing w:after="0"/>
              <w:rPr>
                <w:sz w:val="20"/>
                <w:szCs w:val="20"/>
                <w:color w:val="auto"/>
              </w:rPr>
            </w:pPr>
            <w:r>
              <w:rPr>
                <w:rFonts w:ascii="Arial" w:cs="Arial" w:eastAsia="Arial" w:hAnsi="Arial"/>
                <w:sz w:val="11"/>
                <w:szCs w:val="11"/>
                <w:b w:val="1"/>
                <w:bCs w:val="1"/>
                <w:color w:val="auto"/>
              </w:rPr>
              <w:t>2010</w:t>
            </w:r>
          </w:p>
        </w:tc>
        <w:tc>
          <w:tcPr>
            <w:tcW w:w="220" w:type="dxa"/>
            <w:vAlign w:val="bottom"/>
          </w:tcPr>
          <w:p>
            <w:pPr>
              <w:spacing w:after="0"/>
              <w:rPr>
                <w:sz w:val="14"/>
                <w:szCs w:val="14"/>
                <w:color w:val="auto"/>
              </w:rPr>
            </w:pPr>
          </w:p>
        </w:tc>
        <w:tc>
          <w:tcPr>
            <w:tcW w:w="460" w:type="dxa"/>
            <w:vAlign w:val="bottom"/>
          </w:tcPr>
          <w:p>
            <w:pPr>
              <w:jc w:val="right"/>
              <w:ind w:right="45"/>
              <w:spacing w:after="0"/>
              <w:rPr>
                <w:sz w:val="20"/>
                <w:szCs w:val="20"/>
                <w:color w:val="auto"/>
              </w:rPr>
            </w:pPr>
            <w:r>
              <w:rPr>
                <w:rFonts w:ascii="Arial" w:cs="Arial" w:eastAsia="Arial" w:hAnsi="Arial"/>
                <w:sz w:val="11"/>
                <w:szCs w:val="11"/>
                <w:b w:val="1"/>
                <w:bCs w:val="1"/>
                <w:color w:val="auto"/>
              </w:rPr>
              <w:t>2009</w:t>
            </w:r>
          </w:p>
        </w:tc>
        <w:tc>
          <w:tcPr>
            <w:tcW w:w="2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2008</w:t>
            </w:r>
          </w:p>
        </w:tc>
        <w:tc>
          <w:tcPr>
            <w:tcW w:w="2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2007</w:t>
            </w:r>
          </w:p>
        </w:tc>
        <w:tc>
          <w:tcPr>
            <w:tcW w:w="220" w:type="dxa"/>
            <w:vAlign w:val="bottom"/>
          </w:tcPr>
          <w:p>
            <w:pPr>
              <w:spacing w:after="0"/>
              <w:rPr>
                <w:sz w:val="14"/>
                <w:szCs w:val="14"/>
                <w:color w:val="auto"/>
              </w:rPr>
            </w:pPr>
          </w:p>
        </w:tc>
        <w:tc>
          <w:tcPr>
            <w:tcW w:w="440" w:type="dxa"/>
            <w:vAlign w:val="bottom"/>
          </w:tcPr>
          <w:p>
            <w:pPr>
              <w:jc w:val="right"/>
              <w:ind w:right="45"/>
              <w:spacing w:after="0"/>
              <w:rPr>
                <w:sz w:val="20"/>
                <w:szCs w:val="20"/>
                <w:color w:val="auto"/>
              </w:rPr>
            </w:pPr>
            <w:r>
              <w:rPr>
                <w:rFonts w:ascii="Arial" w:cs="Arial" w:eastAsia="Arial" w:hAnsi="Arial"/>
                <w:sz w:val="11"/>
                <w:szCs w:val="11"/>
                <w:b w:val="1"/>
                <w:bCs w:val="1"/>
                <w:color w:val="auto"/>
              </w:rPr>
              <w:t>2006</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b w:val="1"/>
                <w:bCs w:val="1"/>
                <w:color w:val="auto"/>
              </w:rPr>
              <w:t>2005</w:t>
            </w:r>
          </w:p>
        </w:tc>
      </w:tr>
      <w:tr>
        <w:trPr>
          <w:trHeight w:val="177"/>
        </w:trPr>
        <w:tc>
          <w:tcPr>
            <w:tcW w:w="2880" w:type="dxa"/>
            <w:vAlign w:val="bottom"/>
          </w:tcPr>
          <w:p>
            <w:pPr>
              <w:spacing w:after="0"/>
              <w:rPr>
                <w:sz w:val="20"/>
                <w:szCs w:val="20"/>
                <w:color w:val="auto"/>
              </w:rPr>
            </w:pPr>
            <w:r>
              <w:rPr>
                <w:rFonts w:ascii="Arial" w:cs="Arial" w:eastAsia="Arial" w:hAnsi="Arial"/>
                <w:sz w:val="11"/>
                <w:szCs w:val="11"/>
                <w:color w:val="auto"/>
              </w:rPr>
              <w:t>Net (loss) earnings</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   (52.1)</w:t>
            </w:r>
          </w:p>
        </w:tc>
        <w:tc>
          <w:tcPr>
            <w:tcW w:w="26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25"/>
              <w:spacing w:after="0"/>
              <w:rPr>
                <w:sz w:val="20"/>
                <w:szCs w:val="20"/>
                <w:color w:val="auto"/>
              </w:rPr>
            </w:pPr>
            <w:r>
              <w:rPr>
                <w:rFonts w:ascii="Arial" w:cs="Arial" w:eastAsia="Arial" w:hAnsi="Arial"/>
                <w:sz w:val="11"/>
                <w:szCs w:val="11"/>
                <w:color w:val="auto"/>
              </w:rPr>
              <w:t>(54.7)</w:t>
            </w: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   (68.1)</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   (70.8)</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   (96.5)</w:t>
            </w:r>
          </w:p>
        </w:tc>
        <w:tc>
          <w:tcPr>
            <w:tcW w:w="2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30.3</w:t>
            </w:r>
          </w:p>
        </w:tc>
        <w:tc>
          <w:tcPr>
            <w:tcW w:w="2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0.9</w:t>
            </w:r>
          </w:p>
        </w:tc>
        <w:tc>
          <w:tcPr>
            <w:tcW w:w="2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450.9</w:t>
            </w:r>
          </w:p>
        </w:tc>
        <w:tc>
          <w:tcPr>
            <w:tcW w:w="2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470.2</w:t>
            </w:r>
          </w:p>
        </w:tc>
        <w:tc>
          <w:tcPr>
            <w:tcW w:w="22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470.2</w:t>
            </w:r>
          </w:p>
        </w:tc>
      </w:tr>
      <w:tr>
        <w:trPr>
          <w:trHeight w:val="166"/>
        </w:trPr>
        <w:tc>
          <w:tcPr>
            <w:tcW w:w="2880" w:type="dxa"/>
            <w:vAlign w:val="bottom"/>
          </w:tcPr>
          <w:p>
            <w:pPr>
              <w:spacing w:after="0"/>
              <w:rPr>
                <w:sz w:val="20"/>
                <w:szCs w:val="20"/>
                <w:color w:val="auto"/>
              </w:rPr>
            </w:pPr>
            <w:r>
              <w:rPr>
                <w:rFonts w:ascii="Arial" w:cs="Arial" w:eastAsia="Arial" w:hAnsi="Arial"/>
                <w:sz w:val="11"/>
                <w:szCs w:val="11"/>
                <w:color w:val="auto"/>
              </w:rPr>
              <w:t>Add back:</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288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52.3</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42.3</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227.2</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217.2</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180.7</w:t>
            </w:r>
          </w:p>
        </w:tc>
        <w:tc>
          <w:tcPr>
            <w:tcW w:w="220" w:type="dxa"/>
            <w:vAlign w:val="bottom"/>
          </w:tcPr>
          <w:p>
            <w:pPr>
              <w:spacing w:after="0"/>
              <w:rPr>
                <w:sz w:val="14"/>
                <w:szCs w:val="14"/>
                <w:color w:val="auto"/>
              </w:rPr>
            </w:pPr>
          </w:p>
        </w:tc>
        <w:tc>
          <w:tcPr>
            <w:tcW w:w="460" w:type="dxa"/>
            <w:vAlign w:val="bottom"/>
          </w:tcPr>
          <w:p>
            <w:pPr>
              <w:jc w:val="center"/>
              <w:ind w:left="5"/>
              <w:spacing w:after="0"/>
              <w:rPr>
                <w:sz w:val="20"/>
                <w:szCs w:val="20"/>
                <w:color w:val="auto"/>
              </w:rPr>
            </w:pPr>
            <w:r>
              <w:rPr>
                <w:rFonts w:ascii="Arial" w:cs="Arial" w:eastAsia="Arial" w:hAnsi="Arial"/>
                <w:sz w:val="11"/>
                <w:szCs w:val="11"/>
                <w:color w:val="auto"/>
              </w:rPr>
              <w:t>173.0</w:t>
            </w:r>
          </w:p>
        </w:tc>
        <w:tc>
          <w:tcPr>
            <w:tcW w:w="2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169.7</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41.6</w:t>
            </w:r>
          </w:p>
        </w:tc>
        <w:tc>
          <w:tcPr>
            <w:tcW w:w="22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20.1</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20.5</w:t>
            </w:r>
          </w:p>
        </w:tc>
      </w:tr>
      <w:tr>
        <w:trPr>
          <w:trHeight w:val="177"/>
        </w:trPr>
        <w:tc>
          <w:tcPr>
            <w:tcW w:w="2880" w:type="dxa"/>
            <w:vAlign w:val="bottom"/>
          </w:tcPr>
          <w:p>
            <w:pPr>
              <w:ind w:left="140"/>
              <w:spacing w:after="0"/>
              <w:rPr>
                <w:sz w:val="20"/>
                <w:szCs w:val="20"/>
                <w:color w:val="auto"/>
              </w:rPr>
            </w:pPr>
            <w:r>
              <w:rPr>
                <w:rFonts w:ascii="Arial" w:cs="Arial" w:eastAsia="Arial" w:hAnsi="Arial"/>
                <w:sz w:val="11"/>
                <w:szCs w:val="11"/>
                <w:color w:val="auto"/>
              </w:rPr>
              <w:t>Income tax (benefit) expense</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(38.4)</w:t>
            </w:r>
          </w:p>
        </w:tc>
        <w:tc>
          <w:tcPr>
            <w:tcW w:w="260" w:type="dxa"/>
            <w:vAlign w:val="bottom"/>
          </w:tcPr>
          <w:p>
            <w:pPr>
              <w:spacing w:after="0"/>
              <w:rPr>
                <w:sz w:val="15"/>
                <w:szCs w:val="15"/>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(31.0)</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(83.0)</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(75.6)</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(85.7)</w:t>
            </w:r>
          </w:p>
        </w:tc>
        <w:tc>
          <w:tcPr>
            <w:tcW w:w="22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(30.1)</w:t>
            </w:r>
          </w:p>
        </w:tc>
        <w:tc>
          <w:tcPr>
            <w:tcW w:w="220" w:type="dxa"/>
            <w:vAlign w:val="bottom"/>
          </w:tcPr>
          <w:p>
            <w:pPr>
              <w:spacing w:after="0"/>
              <w:rPr>
                <w:sz w:val="15"/>
                <w:szCs w:val="15"/>
                <w:color w:val="auto"/>
              </w:rPr>
            </w:pPr>
          </w:p>
        </w:tc>
        <w:tc>
          <w:tcPr>
            <w:tcW w:w="480" w:type="dxa"/>
            <w:vAlign w:val="bottom"/>
          </w:tcPr>
          <w:p>
            <w:pPr>
              <w:jc w:val="right"/>
              <w:ind w:right="25"/>
              <w:spacing w:after="0"/>
              <w:rPr>
                <w:sz w:val="20"/>
                <w:szCs w:val="20"/>
                <w:color w:val="auto"/>
              </w:rPr>
            </w:pPr>
            <w:r>
              <w:rPr>
                <w:rFonts w:ascii="Arial" w:cs="Arial" w:eastAsia="Arial" w:hAnsi="Arial"/>
                <w:sz w:val="11"/>
                <w:szCs w:val="11"/>
                <w:color w:val="auto"/>
              </w:rPr>
              <w:t>70.1</w:t>
            </w:r>
          </w:p>
        </w:tc>
        <w:tc>
          <w:tcPr>
            <w:tcW w:w="22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1"/>
                <w:szCs w:val="11"/>
                <w:color w:val="auto"/>
              </w:rPr>
              <w:t>197.2</w:t>
            </w:r>
          </w:p>
        </w:tc>
        <w:tc>
          <w:tcPr>
            <w:tcW w:w="2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1"/>
                <w:szCs w:val="11"/>
                <w:color w:val="auto"/>
              </w:rPr>
              <w:t>216.7</w:t>
            </w:r>
          </w:p>
        </w:tc>
        <w:tc>
          <w:tcPr>
            <w:tcW w:w="220" w:type="dxa"/>
            <w:vAlign w:val="bottom"/>
          </w:tcPr>
          <w:p>
            <w:pPr>
              <w:spacing w:after="0"/>
              <w:rPr>
                <w:sz w:val="15"/>
                <w:szCs w:val="15"/>
                <w:color w:val="auto"/>
              </w:rPr>
            </w:pPr>
          </w:p>
        </w:tc>
        <w:tc>
          <w:tcPr>
            <w:tcW w:w="420" w:type="dxa"/>
            <w:vAlign w:val="bottom"/>
          </w:tcPr>
          <w:p>
            <w:pPr>
              <w:jc w:val="center"/>
              <w:ind w:left="85"/>
              <w:spacing w:after="0"/>
              <w:rPr>
                <w:sz w:val="20"/>
                <w:szCs w:val="20"/>
                <w:color w:val="auto"/>
              </w:rPr>
            </w:pPr>
            <w:r>
              <w:rPr>
                <w:rFonts w:ascii="Arial" w:cs="Arial" w:eastAsia="Arial" w:hAnsi="Arial"/>
                <w:sz w:val="11"/>
                <w:szCs w:val="11"/>
                <w:color w:val="auto"/>
              </w:rPr>
              <w:t>164.1</w:t>
            </w:r>
          </w:p>
        </w:tc>
      </w:tr>
      <w:tr>
        <w:trPr>
          <w:trHeight w:val="166"/>
        </w:trPr>
        <w:tc>
          <w:tcPr>
            <w:tcW w:w="2880" w:type="dxa"/>
            <w:vAlign w:val="bottom"/>
          </w:tcPr>
          <w:p>
            <w:pPr>
              <w:ind w:left="140"/>
              <w:spacing w:after="0"/>
              <w:rPr>
                <w:sz w:val="20"/>
                <w:szCs w:val="20"/>
                <w:color w:val="auto"/>
              </w:rPr>
            </w:pPr>
            <w:r>
              <w:rPr>
                <w:rFonts w:ascii="Arial" w:cs="Arial" w:eastAsia="Arial" w:hAnsi="Arial"/>
                <w:sz w:val="11"/>
                <w:szCs w:val="11"/>
                <w:color w:val="auto"/>
              </w:rPr>
              <w:t>Depreciation, depletion and amortization expense</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85.2</w:t>
            </w:r>
          </w:p>
        </w:tc>
        <w:tc>
          <w:tcPr>
            <w:tcW w:w="2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90.6</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356.3</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361.7</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382.1</w:t>
            </w:r>
          </w:p>
        </w:tc>
        <w:tc>
          <w:tcPr>
            <w:tcW w:w="220" w:type="dxa"/>
            <w:vAlign w:val="bottom"/>
          </w:tcPr>
          <w:p>
            <w:pPr>
              <w:spacing w:after="0"/>
              <w:rPr>
                <w:sz w:val="14"/>
                <w:szCs w:val="14"/>
                <w:color w:val="auto"/>
              </w:rPr>
            </w:pPr>
          </w:p>
        </w:tc>
        <w:tc>
          <w:tcPr>
            <w:tcW w:w="460" w:type="dxa"/>
            <w:vAlign w:val="bottom"/>
          </w:tcPr>
          <w:p>
            <w:pPr>
              <w:jc w:val="center"/>
              <w:ind w:left="5"/>
              <w:spacing w:after="0"/>
              <w:rPr>
                <w:sz w:val="20"/>
                <w:szCs w:val="20"/>
                <w:color w:val="auto"/>
              </w:rPr>
            </w:pPr>
            <w:r>
              <w:rPr>
                <w:rFonts w:ascii="Arial" w:cs="Arial" w:eastAsia="Arial" w:hAnsi="Arial"/>
                <w:sz w:val="11"/>
                <w:szCs w:val="11"/>
                <w:color w:val="auto"/>
              </w:rPr>
              <w:t>394.6</w:t>
            </w:r>
          </w:p>
        </w:tc>
        <w:tc>
          <w:tcPr>
            <w:tcW w:w="2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389.1</w:t>
            </w:r>
          </w:p>
        </w:tc>
        <w:tc>
          <w:tcPr>
            <w:tcW w:w="220" w:type="dxa"/>
            <w:vAlign w:val="bottom"/>
          </w:tcPr>
          <w:p>
            <w:pPr>
              <w:spacing w:after="0"/>
              <w:rPr>
                <w:sz w:val="14"/>
                <w:szCs w:val="14"/>
                <w:color w:val="auto"/>
              </w:rPr>
            </w:pPr>
          </w:p>
        </w:tc>
        <w:tc>
          <w:tcPr>
            <w:tcW w:w="480" w:type="dxa"/>
            <w:vAlign w:val="bottom"/>
          </w:tcPr>
          <w:p>
            <w:pPr>
              <w:ind w:left="100"/>
              <w:spacing w:after="0"/>
              <w:rPr>
                <w:sz w:val="20"/>
                <w:szCs w:val="20"/>
                <w:color w:val="auto"/>
              </w:rPr>
            </w:pPr>
            <w:r>
              <w:rPr>
                <w:rFonts w:ascii="Arial" w:cs="Arial" w:eastAsia="Arial" w:hAnsi="Arial"/>
                <w:sz w:val="11"/>
                <w:szCs w:val="11"/>
                <w:color w:val="auto"/>
              </w:rPr>
              <w:t>271.5</w:t>
            </w:r>
          </w:p>
        </w:tc>
        <w:tc>
          <w:tcPr>
            <w:tcW w:w="2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1"/>
                <w:szCs w:val="11"/>
                <w:color w:val="auto"/>
              </w:rPr>
              <w:t>226.4</w:t>
            </w:r>
          </w:p>
        </w:tc>
        <w:tc>
          <w:tcPr>
            <w:tcW w:w="220" w:type="dxa"/>
            <w:vAlign w:val="bottom"/>
          </w:tcPr>
          <w:p>
            <w:pPr>
              <w:spacing w:after="0"/>
              <w:rPr>
                <w:sz w:val="14"/>
                <w:szCs w:val="14"/>
                <w:color w:val="auto"/>
              </w:rPr>
            </w:pPr>
          </w:p>
        </w:tc>
        <w:tc>
          <w:tcPr>
            <w:tcW w:w="420" w:type="dxa"/>
            <w:vAlign w:val="bottom"/>
          </w:tcPr>
          <w:p>
            <w:pPr>
              <w:jc w:val="center"/>
              <w:ind w:left="85"/>
              <w:spacing w:after="0"/>
              <w:rPr>
                <w:sz w:val="20"/>
                <w:szCs w:val="20"/>
                <w:color w:val="auto"/>
              </w:rPr>
            </w:pPr>
            <w:r>
              <w:rPr>
                <w:rFonts w:ascii="Arial" w:cs="Arial" w:eastAsia="Arial" w:hAnsi="Arial"/>
                <w:sz w:val="11"/>
                <w:szCs w:val="11"/>
                <w:color w:val="auto"/>
              </w:rPr>
              <w:t>222.9</w:t>
            </w:r>
          </w:p>
        </w:tc>
      </w:tr>
      <w:tr>
        <w:trPr>
          <w:trHeight w:val="166"/>
        </w:trPr>
        <w:tc>
          <w:tcPr>
            <w:tcW w:w="2880" w:type="dxa"/>
            <w:vAlign w:val="bottom"/>
          </w:tcPr>
          <w:p>
            <w:pPr>
              <w:ind w:left="140"/>
              <w:spacing w:after="0"/>
              <w:rPr>
                <w:sz w:val="20"/>
                <w:szCs w:val="20"/>
                <w:color w:val="auto"/>
              </w:rPr>
            </w:pPr>
            <w:r>
              <w:rPr>
                <w:rFonts w:ascii="Arial" w:cs="Arial" w:eastAsia="Arial" w:hAnsi="Arial"/>
                <w:sz w:val="11"/>
                <w:szCs w:val="11"/>
                <w:color w:val="auto"/>
              </w:rPr>
              <w:t>Goodwill impairment</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252.7</w:t>
            </w:r>
          </w:p>
        </w:tc>
        <w:tc>
          <w:tcPr>
            <w:tcW w:w="22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7"/>
        </w:trPr>
        <w:tc>
          <w:tcPr>
            <w:tcW w:w="2880" w:type="dxa"/>
            <w:vAlign w:val="bottom"/>
          </w:tcPr>
          <w:p>
            <w:pPr>
              <w:spacing w:after="0"/>
              <w:rPr>
                <w:sz w:val="20"/>
                <w:szCs w:val="20"/>
                <w:color w:val="auto"/>
              </w:rPr>
            </w:pPr>
            <w:r>
              <w:rPr>
                <w:rFonts w:ascii="Arial" w:cs="Arial" w:eastAsia="Arial" w:hAnsi="Arial"/>
                <w:sz w:val="11"/>
                <w:szCs w:val="11"/>
                <w:color w:val="auto"/>
              </w:rPr>
              <w:t>EBITDA</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47.0</w:t>
            </w: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47.1</w:t>
            </w:r>
          </w:p>
        </w:tc>
        <w:tc>
          <w:tcPr>
            <w:tcW w:w="700" w:type="dxa"/>
            <w:vAlign w:val="bottom"/>
          </w:tcPr>
          <w:p>
            <w:pPr>
              <w:jc w:val="right"/>
              <w:ind w:right="5"/>
              <w:spacing w:after="0"/>
              <w:rPr>
                <w:sz w:val="20"/>
                <w:szCs w:val="20"/>
                <w:color w:val="auto"/>
              </w:rPr>
            </w:pPr>
            <w:r>
              <w:rPr>
                <w:rFonts w:ascii="Arial" w:cs="Arial" w:eastAsia="Arial" w:hAnsi="Arial"/>
                <w:sz w:val="11"/>
                <w:szCs w:val="11"/>
                <w:color w:val="auto"/>
              </w:rPr>
              <w:t>432.4</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432.5</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380.6</w:t>
            </w:r>
          </w:p>
        </w:tc>
        <w:tc>
          <w:tcPr>
            <w:tcW w:w="220" w:type="dxa"/>
            <w:vAlign w:val="bottom"/>
          </w:tcPr>
          <w:p>
            <w:pPr>
              <w:spacing w:after="0"/>
              <w:rPr>
                <w:sz w:val="15"/>
                <w:szCs w:val="15"/>
                <w:color w:val="auto"/>
              </w:rPr>
            </w:pPr>
          </w:p>
        </w:tc>
        <w:tc>
          <w:tcPr>
            <w:tcW w:w="460" w:type="dxa"/>
            <w:vAlign w:val="bottom"/>
          </w:tcPr>
          <w:p>
            <w:pPr>
              <w:jc w:val="center"/>
              <w:ind w:left="5"/>
              <w:spacing w:after="0"/>
              <w:rPr>
                <w:sz w:val="20"/>
                <w:szCs w:val="20"/>
                <w:color w:val="auto"/>
              </w:rPr>
            </w:pPr>
            <w:r>
              <w:rPr>
                <w:rFonts w:ascii="Arial" w:cs="Arial" w:eastAsia="Arial" w:hAnsi="Arial"/>
                <w:sz w:val="11"/>
                <w:szCs w:val="11"/>
                <w:color w:val="auto"/>
              </w:rPr>
              <w:t>567.8</w:t>
            </w:r>
          </w:p>
        </w:tc>
        <w:tc>
          <w:tcPr>
            <w:tcW w:w="220" w:type="dxa"/>
            <w:vAlign w:val="bottom"/>
          </w:tcPr>
          <w:p>
            <w:pPr>
              <w:spacing w:after="0"/>
              <w:rPr>
                <w:sz w:val="15"/>
                <w:szCs w:val="15"/>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882.5</w:t>
            </w:r>
          </w:p>
        </w:tc>
        <w:tc>
          <w:tcPr>
            <w:tcW w:w="22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1"/>
                <w:szCs w:val="11"/>
                <w:color w:val="auto"/>
              </w:rPr>
              <w:t>961.2</w:t>
            </w:r>
          </w:p>
        </w:tc>
        <w:tc>
          <w:tcPr>
            <w:tcW w:w="2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1"/>
                <w:szCs w:val="11"/>
                <w:color w:val="auto"/>
              </w:rPr>
              <w:t>933.4</w:t>
            </w:r>
          </w:p>
        </w:tc>
        <w:tc>
          <w:tcPr>
            <w:tcW w:w="220" w:type="dxa"/>
            <w:vAlign w:val="bottom"/>
          </w:tcPr>
          <w:p>
            <w:pPr>
              <w:spacing w:after="0"/>
              <w:rPr>
                <w:sz w:val="15"/>
                <w:szCs w:val="15"/>
                <w:color w:val="auto"/>
              </w:rPr>
            </w:pPr>
          </w:p>
        </w:tc>
        <w:tc>
          <w:tcPr>
            <w:tcW w:w="420" w:type="dxa"/>
            <w:vAlign w:val="bottom"/>
          </w:tcPr>
          <w:p>
            <w:pPr>
              <w:jc w:val="center"/>
              <w:ind w:left="85"/>
              <w:spacing w:after="0"/>
              <w:rPr>
                <w:sz w:val="20"/>
                <w:szCs w:val="20"/>
                <w:color w:val="auto"/>
              </w:rPr>
            </w:pPr>
            <w:r>
              <w:rPr>
                <w:rFonts w:ascii="Arial" w:cs="Arial" w:eastAsia="Arial" w:hAnsi="Arial"/>
                <w:sz w:val="11"/>
                <w:szCs w:val="11"/>
                <w:color w:val="auto"/>
              </w:rPr>
              <w:t>796.5</w:t>
            </w:r>
          </w:p>
        </w:tc>
      </w:tr>
      <w:tr>
        <w:trPr>
          <w:trHeight w:val="333"/>
        </w:trPr>
        <w:tc>
          <w:tcPr>
            <w:tcW w:w="2880" w:type="dxa"/>
            <w:vAlign w:val="bottom"/>
          </w:tcPr>
          <w:p>
            <w:pPr>
              <w:spacing w:after="0"/>
              <w:rPr>
                <w:sz w:val="20"/>
                <w:szCs w:val="20"/>
                <w:color w:val="auto"/>
              </w:rPr>
            </w:pPr>
            <w:r>
              <w:rPr>
                <w:rFonts w:ascii="Arial" w:cs="Arial" w:eastAsia="Arial" w:hAnsi="Arial"/>
                <w:sz w:val="11"/>
                <w:szCs w:val="11"/>
                <w:color w:val="auto"/>
              </w:rPr>
              <w:t>Adjusted for:</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7"/>
        </w:trPr>
        <w:tc>
          <w:tcPr>
            <w:tcW w:w="2880" w:type="dxa"/>
            <w:vAlign w:val="bottom"/>
          </w:tcPr>
          <w:p>
            <w:pPr>
              <w:ind w:left="180"/>
              <w:spacing w:after="0"/>
              <w:rPr>
                <w:sz w:val="20"/>
                <w:szCs w:val="20"/>
                <w:color w:val="auto"/>
              </w:rPr>
            </w:pPr>
            <w:r>
              <w:rPr>
                <w:rFonts w:ascii="Arial" w:cs="Arial" w:eastAsia="Arial" w:hAnsi="Arial"/>
                <w:sz w:val="11"/>
                <w:szCs w:val="11"/>
                <w:color w:val="auto"/>
              </w:rPr>
              <w:t>Legal settlement</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5"/>
                <w:szCs w:val="15"/>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Recovery for legal settlement</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(25.5)</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(20.9)</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(46.4)</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Legal expense</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3.0</w:t>
            </w:r>
          </w:p>
        </w:tc>
        <w:tc>
          <w:tcPr>
            <w:tcW w:w="2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7"/>
        </w:trPr>
        <w:tc>
          <w:tcPr>
            <w:tcW w:w="2880" w:type="dxa"/>
            <w:vAlign w:val="bottom"/>
          </w:tcPr>
          <w:p>
            <w:pPr>
              <w:ind w:left="180"/>
              <w:spacing w:after="0"/>
              <w:rPr>
                <w:sz w:val="20"/>
                <w:szCs w:val="20"/>
                <w:color w:val="auto"/>
              </w:rPr>
            </w:pPr>
            <w:r>
              <w:rPr>
                <w:rFonts w:ascii="Arial" w:cs="Arial" w:eastAsia="Arial" w:hAnsi="Arial"/>
                <w:sz w:val="11"/>
                <w:szCs w:val="11"/>
                <w:color w:val="auto"/>
              </w:rPr>
              <w:t>Transaction expenses</w:t>
            </w: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10.1</w:t>
            </w:r>
          </w:p>
        </w:tc>
        <w:tc>
          <w:tcPr>
            <w:tcW w:w="260" w:type="dxa"/>
            <w:vAlign w:val="bottom"/>
          </w:tcPr>
          <w:p>
            <w:pPr>
              <w:spacing w:after="0"/>
              <w:rPr>
                <w:sz w:val="15"/>
                <w:szCs w:val="15"/>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10.1</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(0.0)</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Restructuring charges</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15.2</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15.2</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Gain on sales of assets</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(6.5)</w:t>
            </w:r>
          </w:p>
        </w:tc>
        <w:tc>
          <w:tcPr>
            <w:tcW w:w="260" w:type="dxa"/>
            <w:vAlign w:val="bottom"/>
          </w:tcPr>
          <w:p>
            <w:pPr>
              <w:spacing w:after="0"/>
              <w:rPr>
                <w:sz w:val="14"/>
                <w:szCs w:val="14"/>
                <w:color w:val="auto"/>
              </w:rPr>
            </w:pPr>
          </w:p>
        </w:tc>
        <w:tc>
          <w:tcPr>
            <w:tcW w:w="400" w:type="dxa"/>
            <w:vAlign w:val="bottom"/>
          </w:tcPr>
          <w:p>
            <w:pPr>
              <w:jc w:val="right"/>
              <w:ind w:right="25"/>
              <w:spacing w:after="0"/>
              <w:rPr>
                <w:sz w:val="20"/>
                <w:szCs w:val="20"/>
                <w:color w:val="auto"/>
              </w:rPr>
            </w:pPr>
            <w:r>
              <w:rPr>
                <w:rFonts w:ascii="Arial" w:cs="Arial" w:eastAsia="Arial" w:hAnsi="Arial"/>
                <w:sz w:val="11"/>
                <w:szCs w:val="11"/>
                <w:color w:val="auto"/>
              </w:rPr>
              <w:t>(0.5)</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(53.8)</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(47.8)</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(59.3)</w:t>
            </w:r>
          </w:p>
        </w:tc>
        <w:tc>
          <w:tcPr>
            <w:tcW w:w="2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(27.1)</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(94.2)</w:t>
            </w:r>
          </w:p>
        </w:tc>
        <w:tc>
          <w:tcPr>
            <w:tcW w:w="22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(58.7)</w:t>
            </w:r>
          </w:p>
        </w:tc>
        <w:tc>
          <w:tcPr>
            <w:tcW w:w="220" w:type="dxa"/>
            <w:vAlign w:val="bottom"/>
          </w:tcPr>
          <w:p>
            <w:pPr>
              <w:spacing w:after="0"/>
              <w:rPr>
                <w:sz w:val="14"/>
                <w:szCs w:val="14"/>
                <w:color w:val="auto"/>
              </w:rPr>
            </w:pPr>
          </w:p>
        </w:tc>
        <w:tc>
          <w:tcPr>
            <w:tcW w:w="440" w:type="dxa"/>
            <w:vAlign w:val="bottom"/>
          </w:tcPr>
          <w:p>
            <w:pPr>
              <w:jc w:val="center"/>
              <w:ind w:left="5"/>
              <w:spacing w:after="0"/>
              <w:rPr>
                <w:sz w:val="20"/>
                <w:szCs w:val="20"/>
                <w:color w:val="auto"/>
              </w:rPr>
            </w:pPr>
            <w:r>
              <w:rPr>
                <w:rFonts w:ascii="Arial" w:cs="Arial" w:eastAsia="Arial" w:hAnsi="Arial"/>
                <w:sz w:val="11"/>
                <w:szCs w:val="11"/>
                <w:color w:val="auto"/>
                <w:w w:val="97"/>
              </w:rPr>
              <w:t>(5.6)</w:t>
            </w:r>
          </w:p>
        </w:tc>
        <w:tc>
          <w:tcPr>
            <w:tcW w:w="220" w:type="dxa"/>
            <w:vAlign w:val="bottom"/>
          </w:tcPr>
          <w:p>
            <w:pPr>
              <w:spacing w:after="0"/>
              <w:rPr>
                <w:sz w:val="14"/>
                <w:szCs w:val="14"/>
                <w:color w:val="auto"/>
              </w:rPr>
            </w:pPr>
          </w:p>
        </w:tc>
        <w:tc>
          <w:tcPr>
            <w:tcW w:w="420" w:type="dxa"/>
            <w:vAlign w:val="bottom"/>
          </w:tcPr>
          <w:p>
            <w:pPr>
              <w:jc w:val="center"/>
              <w:ind w:left="65"/>
              <w:spacing w:after="0"/>
              <w:rPr>
                <w:sz w:val="20"/>
                <w:szCs w:val="20"/>
                <w:color w:val="auto"/>
              </w:rPr>
            </w:pPr>
            <w:r>
              <w:rPr>
                <w:rFonts w:ascii="Arial" w:cs="Arial" w:eastAsia="Arial" w:hAnsi="Arial"/>
                <w:sz w:val="11"/>
                <w:szCs w:val="11"/>
                <w:color w:val="auto"/>
                <w:w w:val="97"/>
              </w:rPr>
              <w:t>(8.3)</w:t>
            </w:r>
          </w:p>
        </w:tc>
      </w:tr>
      <w:tr>
        <w:trPr>
          <w:trHeight w:val="177"/>
        </w:trPr>
        <w:tc>
          <w:tcPr>
            <w:tcW w:w="2880" w:type="dxa"/>
            <w:vAlign w:val="bottom"/>
          </w:tcPr>
          <w:p>
            <w:pPr>
              <w:ind w:left="180"/>
              <w:spacing w:after="0"/>
              <w:rPr>
                <w:sz w:val="20"/>
                <w:szCs w:val="20"/>
                <w:color w:val="auto"/>
              </w:rPr>
            </w:pPr>
            <w:r>
              <w:rPr>
                <w:rFonts w:ascii="Arial" w:cs="Arial" w:eastAsia="Arial" w:hAnsi="Arial"/>
                <w:sz w:val="11"/>
                <w:szCs w:val="11"/>
                <w:color w:val="auto"/>
              </w:rPr>
              <w:t>Asset write-offs</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5"/>
                <w:szCs w:val="15"/>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9.2</w:t>
            </w:r>
          </w:p>
        </w:tc>
        <w:tc>
          <w:tcPr>
            <w:tcW w:w="22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8.5</w:t>
            </w:r>
          </w:p>
        </w:tc>
        <w:tc>
          <w:tcPr>
            <w:tcW w:w="220" w:type="dxa"/>
            <w:vAlign w:val="bottom"/>
          </w:tcPr>
          <w:p>
            <w:pPr>
              <w:spacing w:after="0"/>
              <w:rPr>
                <w:sz w:val="15"/>
                <w:szCs w:val="15"/>
                <w:color w:val="auto"/>
              </w:rPr>
            </w:pPr>
          </w:p>
        </w:tc>
        <w:tc>
          <w:tcPr>
            <w:tcW w:w="480" w:type="dxa"/>
            <w:vAlign w:val="bottom"/>
          </w:tcPr>
          <w:p>
            <w:pPr>
              <w:jc w:val="right"/>
              <w:ind w:right="25"/>
              <w:spacing w:after="0"/>
              <w:rPr>
                <w:sz w:val="20"/>
                <w:szCs w:val="20"/>
                <w:color w:val="auto"/>
              </w:rPr>
            </w:pPr>
            <w:r>
              <w:rPr>
                <w:rFonts w:ascii="Arial" w:cs="Arial" w:eastAsia="Arial" w:hAnsi="Arial"/>
                <w:sz w:val="11"/>
                <w:szCs w:val="11"/>
                <w:color w:val="auto"/>
              </w:rPr>
              <w:t>10.5</w:t>
            </w:r>
          </w:p>
        </w:tc>
        <w:tc>
          <w:tcPr>
            <w:tcW w:w="220" w:type="dxa"/>
            <w:vAlign w:val="bottom"/>
          </w:tcPr>
          <w:p>
            <w:pPr>
              <w:spacing w:after="0"/>
              <w:rPr>
                <w:sz w:val="15"/>
                <w:szCs w:val="15"/>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Accretion expense for asset retirement obligations</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25"/>
              <w:spacing w:after="0"/>
              <w:rPr>
                <w:sz w:val="20"/>
                <w:szCs w:val="20"/>
                <w:color w:val="auto"/>
              </w:rPr>
            </w:pPr>
            <w:r>
              <w:rPr>
                <w:rFonts w:ascii="Arial" w:cs="Arial" w:eastAsia="Arial" w:hAnsi="Arial"/>
                <w:sz w:val="11"/>
                <w:szCs w:val="11"/>
                <w:color w:val="auto"/>
              </w:rPr>
              <w:t>(2.2)</w:t>
            </w: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(6.0)</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(8.2)</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(8.6)</w:t>
            </w:r>
          </w:p>
        </w:tc>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7"/>
              </w:rPr>
              <w:t>(8.8)</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(7.1)</w:t>
            </w:r>
          </w:p>
        </w:tc>
        <w:tc>
          <w:tcPr>
            <w:tcW w:w="220" w:type="dxa"/>
            <w:vAlign w:val="bottom"/>
          </w:tcPr>
          <w:p>
            <w:pPr>
              <w:spacing w:after="0"/>
              <w:rPr>
                <w:sz w:val="14"/>
                <w:szCs w:val="14"/>
                <w:color w:val="auto"/>
              </w:rPr>
            </w:pPr>
          </w:p>
        </w:tc>
        <w:tc>
          <w:tcPr>
            <w:tcW w:w="480" w:type="dxa"/>
            <w:vAlign w:val="bottom"/>
          </w:tcPr>
          <w:p>
            <w:pPr>
              <w:jc w:val="right"/>
              <w:ind w:right="65"/>
              <w:spacing w:after="0"/>
              <w:rPr>
                <w:sz w:val="20"/>
                <w:szCs w:val="20"/>
                <w:color w:val="auto"/>
              </w:rPr>
            </w:pPr>
            <w:r>
              <w:rPr>
                <w:rFonts w:ascii="Arial" w:cs="Arial" w:eastAsia="Arial" w:hAnsi="Arial"/>
                <w:sz w:val="11"/>
                <w:szCs w:val="11"/>
                <w:color w:val="auto"/>
              </w:rPr>
              <w:t>(5.9)</w:t>
            </w:r>
          </w:p>
        </w:tc>
        <w:tc>
          <w:tcPr>
            <w:tcW w:w="220" w:type="dxa"/>
            <w:vAlign w:val="bottom"/>
          </w:tcPr>
          <w:p>
            <w:pPr>
              <w:spacing w:after="0"/>
              <w:rPr>
                <w:sz w:val="14"/>
                <w:szCs w:val="14"/>
                <w:color w:val="auto"/>
              </w:rPr>
            </w:pPr>
          </w:p>
        </w:tc>
        <w:tc>
          <w:tcPr>
            <w:tcW w:w="440" w:type="dxa"/>
            <w:vAlign w:val="bottom"/>
          </w:tcPr>
          <w:p>
            <w:pPr>
              <w:jc w:val="center"/>
              <w:ind w:left="5"/>
              <w:spacing w:after="0"/>
              <w:rPr>
                <w:sz w:val="20"/>
                <w:szCs w:val="20"/>
                <w:color w:val="auto"/>
              </w:rPr>
            </w:pPr>
            <w:r>
              <w:rPr>
                <w:rFonts w:ascii="Arial" w:cs="Arial" w:eastAsia="Arial" w:hAnsi="Arial"/>
                <w:sz w:val="11"/>
                <w:szCs w:val="11"/>
                <w:color w:val="auto"/>
                <w:w w:val="97"/>
              </w:rPr>
              <w:t>(5.5)</w:t>
            </w:r>
          </w:p>
        </w:tc>
        <w:tc>
          <w:tcPr>
            <w:tcW w:w="220" w:type="dxa"/>
            <w:vAlign w:val="bottom"/>
          </w:tcPr>
          <w:p>
            <w:pPr>
              <w:spacing w:after="0"/>
              <w:rPr>
                <w:sz w:val="14"/>
                <w:szCs w:val="14"/>
                <w:color w:val="auto"/>
              </w:rPr>
            </w:pPr>
          </w:p>
        </w:tc>
        <w:tc>
          <w:tcPr>
            <w:tcW w:w="420" w:type="dxa"/>
            <w:vAlign w:val="bottom"/>
          </w:tcPr>
          <w:p>
            <w:pPr>
              <w:jc w:val="center"/>
              <w:ind w:left="65"/>
              <w:spacing w:after="0"/>
              <w:rPr>
                <w:sz w:val="20"/>
                <w:szCs w:val="20"/>
                <w:color w:val="auto"/>
              </w:rPr>
            </w:pPr>
            <w:r>
              <w:rPr>
                <w:rFonts w:ascii="Arial" w:cs="Arial" w:eastAsia="Arial" w:hAnsi="Arial"/>
                <w:sz w:val="11"/>
                <w:szCs w:val="11"/>
                <w:color w:val="auto"/>
                <w:w w:val="97"/>
              </w:rPr>
              <w:t>(4.8)</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Other nonoperating (income) expense</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(3.1)</w:t>
            </w:r>
          </w:p>
        </w:tc>
        <w:tc>
          <w:tcPr>
            <w:tcW w:w="260" w:type="dxa"/>
            <w:vAlign w:val="bottom"/>
          </w:tcPr>
          <w:p>
            <w:pPr>
              <w:spacing w:after="0"/>
              <w:rPr>
                <w:sz w:val="14"/>
                <w:szCs w:val="14"/>
                <w:color w:val="auto"/>
              </w:rPr>
            </w:pPr>
          </w:p>
        </w:tc>
        <w:tc>
          <w:tcPr>
            <w:tcW w:w="400" w:type="dxa"/>
            <w:vAlign w:val="bottom"/>
          </w:tcPr>
          <w:p>
            <w:pPr>
              <w:jc w:val="right"/>
              <w:ind w:right="25"/>
              <w:spacing w:after="0"/>
              <w:rPr>
                <w:sz w:val="20"/>
                <w:szCs w:val="20"/>
                <w:color w:val="auto"/>
              </w:rPr>
            </w:pPr>
            <w:r>
              <w:rPr>
                <w:rFonts w:ascii="Arial" w:cs="Arial" w:eastAsia="Arial" w:hAnsi="Arial"/>
                <w:sz w:val="11"/>
                <w:szCs w:val="11"/>
                <w:color w:val="auto"/>
              </w:rPr>
              <w:t>(1.4)</w:t>
            </w: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(1.7)</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(0.0)</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(3.1)</w:t>
            </w:r>
          </w:p>
        </w:tc>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7"/>
              </w:rPr>
              <w:t>(5.3)</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4.4</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5.3</w:t>
            </w:r>
          </w:p>
        </w:tc>
        <w:tc>
          <w:tcPr>
            <w:tcW w:w="220" w:type="dxa"/>
            <w:vAlign w:val="bottom"/>
          </w:tcPr>
          <w:p>
            <w:pPr>
              <w:spacing w:after="0"/>
              <w:rPr>
                <w:sz w:val="14"/>
                <w:szCs w:val="14"/>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(28.5)</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(24.4)</w:t>
            </w:r>
          </w:p>
        </w:tc>
      </w:tr>
      <w:tr>
        <w:trPr>
          <w:trHeight w:val="177"/>
        </w:trPr>
        <w:tc>
          <w:tcPr>
            <w:tcW w:w="2880" w:type="dxa"/>
            <w:vAlign w:val="bottom"/>
          </w:tcPr>
          <w:p>
            <w:pPr>
              <w:ind w:left="180"/>
              <w:spacing w:after="0"/>
              <w:rPr>
                <w:sz w:val="20"/>
                <w:szCs w:val="20"/>
                <w:color w:val="auto"/>
              </w:rPr>
            </w:pPr>
            <w:r>
              <w:rPr>
                <w:rFonts w:ascii="Arial" w:cs="Arial" w:eastAsia="Arial" w:hAnsi="Arial"/>
                <w:sz w:val="11"/>
                <w:szCs w:val="11"/>
                <w:color w:val="auto"/>
              </w:rPr>
              <w:t>(Earnings) loss on discontinued operations, net of tax</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(5.0)</w:t>
            </w:r>
          </w:p>
        </w:tc>
        <w:tc>
          <w:tcPr>
            <w:tcW w:w="260" w:type="dxa"/>
            <w:vAlign w:val="bottom"/>
          </w:tcPr>
          <w:p>
            <w:pPr>
              <w:spacing w:after="0"/>
              <w:rPr>
                <w:sz w:val="15"/>
                <w:szCs w:val="15"/>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(16.4)</w:t>
            </w: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(4.0)</w:t>
            </w:r>
          </w:p>
        </w:tc>
        <w:tc>
          <w:tcPr>
            <w:tcW w:w="680" w:type="dxa"/>
            <w:vAlign w:val="bottom"/>
          </w:tcPr>
          <w:p>
            <w:pPr>
              <w:jc w:val="right"/>
              <w:ind w:right="45"/>
              <w:spacing w:after="0"/>
              <w:rPr>
                <w:sz w:val="20"/>
                <w:szCs w:val="20"/>
                <w:color w:val="auto"/>
              </w:rPr>
            </w:pPr>
            <w:r>
              <w:rPr>
                <w:rFonts w:ascii="Arial" w:cs="Arial" w:eastAsia="Arial" w:hAnsi="Arial"/>
                <w:sz w:val="11"/>
                <w:szCs w:val="11"/>
                <w:color w:val="auto"/>
              </w:rPr>
              <w:t>(7.4)</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5"/>
                <w:szCs w:val="15"/>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(19.5)</w:t>
            </w:r>
          </w:p>
        </w:tc>
        <w:tc>
          <w:tcPr>
            <w:tcW w:w="220" w:type="dxa"/>
            <w:vAlign w:val="bottom"/>
          </w:tcPr>
          <w:p>
            <w:pPr>
              <w:spacing w:after="0"/>
              <w:rPr>
                <w:sz w:val="15"/>
                <w:szCs w:val="15"/>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4.1</w:t>
            </w:r>
          </w:p>
        </w:tc>
        <w:tc>
          <w:tcPr>
            <w:tcW w:w="220" w:type="dxa"/>
            <w:vAlign w:val="bottom"/>
          </w:tcPr>
          <w:p>
            <w:pPr>
              <w:spacing w:after="0"/>
              <w:rPr>
                <w:sz w:val="15"/>
                <w:szCs w:val="15"/>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19.3</w:t>
            </w:r>
          </w:p>
        </w:tc>
        <w:tc>
          <w:tcPr>
            <w:tcW w:w="220" w:type="dxa"/>
            <w:vAlign w:val="bottom"/>
          </w:tcPr>
          <w:p>
            <w:pPr>
              <w:spacing w:after="0"/>
              <w:rPr>
                <w:sz w:val="15"/>
                <w:szCs w:val="15"/>
                <w:color w:val="auto"/>
              </w:rPr>
            </w:pPr>
          </w:p>
        </w:tc>
        <w:tc>
          <w:tcPr>
            <w:tcW w:w="440" w:type="dxa"/>
            <w:vAlign w:val="bottom"/>
          </w:tcPr>
          <w:p>
            <w:pPr>
              <w:jc w:val="right"/>
              <w:ind w:right="5"/>
              <w:spacing w:after="0"/>
              <w:rPr>
                <w:sz w:val="20"/>
                <w:szCs w:val="20"/>
                <w:color w:val="auto"/>
              </w:rPr>
            </w:pPr>
            <w:r>
              <w:rPr>
                <w:rFonts w:ascii="Arial" w:cs="Arial" w:eastAsia="Arial" w:hAnsi="Arial"/>
                <w:sz w:val="11"/>
                <w:szCs w:val="11"/>
                <w:color w:val="auto"/>
              </w:rPr>
              <w:t>16.6</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(83.7)</w:t>
            </w:r>
          </w:p>
        </w:tc>
      </w:tr>
      <w:tr>
        <w:trPr>
          <w:trHeight w:val="166"/>
        </w:trPr>
        <w:tc>
          <w:tcPr>
            <w:tcW w:w="2880" w:type="dxa"/>
            <w:vAlign w:val="bottom"/>
          </w:tcPr>
          <w:p>
            <w:pPr>
              <w:ind w:left="180"/>
              <w:spacing w:after="0"/>
              <w:rPr>
                <w:sz w:val="20"/>
                <w:szCs w:val="20"/>
                <w:color w:val="auto"/>
              </w:rPr>
            </w:pPr>
            <w:r>
              <w:rPr>
                <w:rFonts w:ascii="Arial" w:cs="Arial" w:eastAsia="Arial" w:hAnsi="Arial"/>
                <w:sz w:val="11"/>
                <w:szCs w:val="11"/>
                <w:color w:val="auto"/>
              </w:rPr>
              <w:t>Income attributable to noncontrolling interests</w:t>
            </w:r>
          </w:p>
        </w:tc>
        <w:tc>
          <w:tcPr>
            <w:tcW w:w="72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80" w:type="dxa"/>
            <w:vAlign w:val="bottom"/>
          </w:tcPr>
          <w:p>
            <w:pPr>
              <w:jc w:val="right"/>
              <w:ind w:right="45"/>
              <w:spacing w:after="0"/>
              <w:rPr>
                <w:sz w:val="20"/>
                <w:szCs w:val="20"/>
                <w:color w:val="auto"/>
              </w:rPr>
            </w:pPr>
            <w:r>
              <w:rPr>
                <w:rFonts w:ascii="Arial" w:cs="Arial" w:eastAsia="Arial" w:hAnsi="Arial"/>
                <w:sz w:val="11"/>
                <w:szCs w:val="11"/>
                <w:color w:val="auto"/>
              </w:rPr>
              <w:t>0.2</w:t>
            </w:r>
          </w:p>
        </w:tc>
        <w:tc>
          <w:tcPr>
            <w:tcW w:w="220" w:type="dxa"/>
            <w:vAlign w:val="bottom"/>
          </w:tcPr>
          <w:p>
            <w:pPr>
              <w:spacing w:after="0"/>
              <w:rPr>
                <w:sz w:val="14"/>
                <w:szCs w:val="14"/>
                <w:color w:val="auto"/>
              </w:rPr>
            </w:pPr>
          </w:p>
        </w:tc>
        <w:tc>
          <w:tcPr>
            <w:tcW w:w="440" w:type="dxa"/>
            <w:vAlign w:val="bottom"/>
          </w:tcPr>
          <w:p>
            <w:pPr>
              <w:jc w:val="right"/>
              <w:ind w:right="25"/>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11.2</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780" w:type="dxa"/>
            <w:vAlign w:val="bottom"/>
          </w:tcPr>
          <w:p>
            <w:pPr>
              <w:spacing w:after="0"/>
              <w:rPr>
                <w:sz w:val="20"/>
                <w:szCs w:val="20"/>
                <w:color w:val="auto"/>
              </w:rPr>
            </w:pPr>
            <w:r>
              <w:rPr>
                <w:rFonts w:ascii="Arial" w:cs="Arial" w:eastAsia="Arial" w:hAnsi="Arial"/>
                <w:sz w:val="11"/>
                <w:szCs w:val="11"/>
                <w:b w:val="1"/>
                <w:bCs w:val="1"/>
                <w:color w:val="auto"/>
              </w:rPr>
              <w:t>Adjusted EBITDA</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45"/>
              <w:spacing w:after="0"/>
              <w:rPr>
                <w:sz w:val="20"/>
                <w:szCs w:val="20"/>
                <w:color w:val="auto"/>
              </w:rPr>
            </w:pPr>
            <w:r>
              <w:rPr>
                <w:rFonts w:ascii="Arial" w:cs="Arial" w:eastAsia="Arial" w:hAnsi="Arial"/>
                <w:sz w:val="11"/>
                <w:szCs w:val="11"/>
                <w:b w:val="1"/>
                <w:bCs w:val="1"/>
                <w:color w:val="auto"/>
              </w:rPr>
              <w:t>42.4</w:t>
            </w:r>
          </w:p>
        </w:tc>
        <w:tc>
          <w:tcPr>
            <w:tcW w:w="22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45"/>
              <w:spacing w:after="0"/>
              <w:rPr>
                <w:sz w:val="20"/>
                <w:szCs w:val="20"/>
                <w:color w:val="auto"/>
              </w:rPr>
            </w:pPr>
            <w:r>
              <w:rPr>
                <w:rFonts w:ascii="Arial" w:cs="Arial" w:eastAsia="Arial" w:hAnsi="Arial"/>
                <w:sz w:val="11"/>
                <w:szCs w:val="11"/>
                <w:b w:val="1"/>
                <w:bCs w:val="1"/>
                <w:color w:val="auto"/>
              </w:rPr>
              <w:t>1.2</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45"/>
              <w:spacing w:after="0"/>
              <w:rPr>
                <w:sz w:val="20"/>
                <w:szCs w:val="20"/>
                <w:color w:val="auto"/>
              </w:rPr>
            </w:pPr>
            <w:r>
              <w:rPr>
                <w:rFonts w:ascii="Arial" w:cs="Arial" w:eastAsia="Arial" w:hAnsi="Arial"/>
                <w:sz w:val="11"/>
                <w:szCs w:val="11"/>
                <w:b w:val="1"/>
                <w:bCs w:val="1"/>
                <w:color w:val="auto"/>
              </w:rPr>
              <w:t>379.2</w:t>
            </w:r>
          </w:p>
        </w:tc>
        <w:tc>
          <w:tcPr>
            <w:tcW w:w="200" w:type="dxa"/>
            <w:vAlign w:val="bottom"/>
          </w:tcPr>
          <w:p>
            <w:pPr>
              <w:jc w:val="right"/>
              <w:ind w:right="5"/>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85"/>
              <w:spacing w:after="0"/>
              <w:rPr>
                <w:sz w:val="20"/>
                <w:szCs w:val="20"/>
                <w:color w:val="auto"/>
              </w:rPr>
            </w:pPr>
            <w:r>
              <w:rPr>
                <w:rFonts w:ascii="Arial" w:cs="Arial" w:eastAsia="Arial" w:hAnsi="Arial"/>
                <w:sz w:val="11"/>
                <w:szCs w:val="11"/>
                <w:b w:val="1"/>
                <w:bCs w:val="1"/>
                <w:color w:val="auto"/>
              </w:rPr>
              <w:t>337.9</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5"/>
              <w:spacing w:after="0"/>
              <w:rPr>
                <w:sz w:val="20"/>
                <w:szCs w:val="20"/>
                <w:color w:val="auto"/>
              </w:rPr>
            </w:pPr>
            <w:r>
              <w:rPr>
                <w:rFonts w:ascii="Arial" w:cs="Arial" w:eastAsia="Arial" w:hAnsi="Arial"/>
                <w:sz w:val="11"/>
                <w:szCs w:val="11"/>
                <w:b w:val="1"/>
                <w:bCs w:val="1"/>
                <w:color w:val="auto"/>
              </w:rPr>
              <w:t>351.8</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5"/>
              <w:spacing w:after="0"/>
              <w:rPr>
                <w:sz w:val="20"/>
                <w:szCs w:val="20"/>
                <w:color w:val="auto"/>
              </w:rPr>
            </w:pPr>
            <w:r>
              <w:rPr>
                <w:rFonts w:ascii="Arial" w:cs="Arial" w:eastAsia="Arial" w:hAnsi="Arial"/>
                <w:sz w:val="11"/>
                <w:szCs w:val="11"/>
                <w:b w:val="1"/>
                <w:bCs w:val="1"/>
                <w:color w:val="auto"/>
              </w:rPr>
              <w:t>515.6</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5"/>
              <w:spacing w:after="0"/>
              <w:rPr>
                <w:sz w:val="20"/>
                <w:szCs w:val="20"/>
                <w:color w:val="auto"/>
              </w:rPr>
            </w:pPr>
            <w:r>
              <w:rPr>
                <w:rFonts w:ascii="Arial" w:cs="Arial" w:eastAsia="Arial" w:hAnsi="Arial"/>
                <w:sz w:val="11"/>
                <w:szCs w:val="11"/>
                <w:b w:val="1"/>
                <w:bCs w:val="1"/>
                <w:color w:val="auto"/>
              </w:rPr>
              <w:t>800.1</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5"/>
              <w:spacing w:after="0"/>
              <w:rPr>
                <w:sz w:val="20"/>
                <w:szCs w:val="20"/>
                <w:color w:val="auto"/>
              </w:rPr>
            </w:pPr>
            <w:r>
              <w:rPr>
                <w:rFonts w:ascii="Arial" w:cs="Arial" w:eastAsia="Arial" w:hAnsi="Arial"/>
                <w:sz w:val="11"/>
                <w:szCs w:val="11"/>
                <w:b w:val="1"/>
                <w:bCs w:val="1"/>
                <w:color w:val="auto"/>
              </w:rPr>
              <w:t>921.5</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Pr>
          <w:p>
            <w:pPr>
              <w:jc w:val="right"/>
              <w:ind w:right="65"/>
              <w:spacing w:after="0"/>
              <w:rPr>
                <w:sz w:val="20"/>
                <w:szCs w:val="20"/>
                <w:color w:val="auto"/>
              </w:rPr>
            </w:pPr>
            <w:r>
              <w:rPr>
                <w:rFonts w:ascii="Arial" w:cs="Arial" w:eastAsia="Arial" w:hAnsi="Arial"/>
                <w:sz w:val="11"/>
                <w:szCs w:val="11"/>
                <w:b w:val="1"/>
                <w:bCs w:val="1"/>
                <w:color w:val="auto"/>
              </w:rPr>
              <w:t>910.4</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5"/>
              <w:spacing w:after="0"/>
              <w:rPr>
                <w:sz w:val="20"/>
                <w:szCs w:val="20"/>
                <w:color w:val="auto"/>
              </w:rPr>
            </w:pPr>
            <w:r>
              <w:rPr>
                <w:rFonts w:ascii="Arial" w:cs="Arial" w:eastAsia="Arial" w:hAnsi="Arial"/>
                <w:sz w:val="11"/>
                <w:szCs w:val="11"/>
                <w:b w:val="1"/>
                <w:bCs w:val="1"/>
                <w:color w:val="auto"/>
              </w:rPr>
              <w:t>686.6</w:t>
            </w:r>
          </w:p>
        </w:tc>
      </w:tr>
      <w:tr>
        <w:trPr>
          <w:trHeight w:val="333"/>
        </w:trPr>
        <w:tc>
          <w:tcPr>
            <w:tcW w:w="2780" w:type="dxa"/>
            <w:vAlign w:val="bottom"/>
          </w:tcPr>
          <w:p>
            <w:pPr>
              <w:spacing w:after="0"/>
              <w:rPr>
                <w:sz w:val="20"/>
                <w:szCs w:val="20"/>
                <w:color w:val="auto"/>
              </w:rPr>
            </w:pPr>
            <w:r>
              <w:rPr>
                <w:rFonts w:ascii="Arial" w:cs="Arial" w:eastAsia="Arial" w:hAnsi="Arial"/>
                <w:sz w:val="11"/>
                <w:szCs w:val="11"/>
                <w:color w:val="auto"/>
              </w:rPr>
              <w:t>Less: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7"/>
        </w:trPr>
        <w:tc>
          <w:tcPr>
            <w:tcW w:w="2780" w:type="dxa"/>
            <w:vAlign w:val="bottom"/>
          </w:tcPr>
          <w:p>
            <w:pPr>
              <w:ind w:left="140"/>
              <w:spacing w:after="0"/>
              <w:rPr>
                <w:sz w:val="20"/>
                <w:szCs w:val="20"/>
                <w:color w:val="auto"/>
              </w:rPr>
            </w:pPr>
            <w:r>
              <w:rPr>
                <w:rFonts w:ascii="Arial" w:cs="Arial" w:eastAsia="Arial" w:hAnsi="Arial"/>
                <w:sz w:val="11"/>
                <w:szCs w:val="11"/>
                <w:color w:val="auto"/>
              </w:rPr>
              <w:t>Depreciation, depletion and amortization expense</w:t>
            </w: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85.2</w:t>
            </w:r>
          </w:p>
        </w:tc>
        <w:tc>
          <w:tcPr>
            <w:tcW w:w="220" w:type="dxa"/>
            <w:vAlign w:val="bottom"/>
          </w:tcPr>
          <w:p>
            <w:pPr>
              <w:spacing w:after="0"/>
              <w:rPr>
                <w:sz w:val="15"/>
                <w:szCs w:val="15"/>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90.6</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356.3</w:t>
            </w:r>
          </w:p>
        </w:tc>
        <w:tc>
          <w:tcPr>
            <w:tcW w:w="200" w:type="dxa"/>
            <w:vAlign w:val="bottom"/>
          </w:tcPr>
          <w:p>
            <w:pPr>
              <w:spacing w:after="0"/>
              <w:rPr>
                <w:sz w:val="15"/>
                <w:szCs w:val="15"/>
                <w:color w:val="auto"/>
              </w:rPr>
            </w:pPr>
          </w:p>
        </w:tc>
        <w:tc>
          <w:tcPr>
            <w:tcW w:w="500" w:type="dxa"/>
            <w:vAlign w:val="bottom"/>
          </w:tcPr>
          <w:p>
            <w:pPr>
              <w:jc w:val="right"/>
              <w:ind w:right="25"/>
              <w:spacing w:after="0"/>
              <w:rPr>
                <w:sz w:val="20"/>
                <w:szCs w:val="20"/>
                <w:color w:val="auto"/>
              </w:rPr>
            </w:pPr>
            <w:r>
              <w:rPr>
                <w:rFonts w:ascii="Arial" w:cs="Arial" w:eastAsia="Arial" w:hAnsi="Arial"/>
                <w:sz w:val="11"/>
                <w:szCs w:val="11"/>
                <w:color w:val="auto"/>
              </w:rPr>
              <w:t>361.7</w:t>
            </w:r>
          </w:p>
        </w:tc>
        <w:tc>
          <w:tcPr>
            <w:tcW w:w="200" w:type="dxa"/>
            <w:vAlign w:val="bottom"/>
          </w:tcPr>
          <w:p>
            <w:pPr>
              <w:spacing w:after="0"/>
              <w:rPr>
                <w:sz w:val="15"/>
                <w:szCs w:val="15"/>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382.1</w:t>
            </w:r>
          </w:p>
        </w:tc>
        <w:tc>
          <w:tcPr>
            <w:tcW w:w="200" w:type="dxa"/>
            <w:vAlign w:val="bottom"/>
          </w:tcPr>
          <w:p>
            <w:pPr>
              <w:spacing w:after="0"/>
              <w:rPr>
                <w:sz w:val="15"/>
                <w:szCs w:val="15"/>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394.6</w:t>
            </w:r>
          </w:p>
        </w:tc>
        <w:tc>
          <w:tcPr>
            <w:tcW w:w="200" w:type="dxa"/>
            <w:vAlign w:val="bottom"/>
          </w:tcPr>
          <w:p>
            <w:pPr>
              <w:spacing w:after="0"/>
              <w:rPr>
                <w:sz w:val="15"/>
                <w:szCs w:val="15"/>
                <w:color w:val="auto"/>
              </w:rPr>
            </w:pPr>
          </w:p>
        </w:tc>
        <w:tc>
          <w:tcPr>
            <w:tcW w:w="480" w:type="dxa"/>
            <w:vAlign w:val="bottom"/>
          </w:tcPr>
          <w:p>
            <w:pPr>
              <w:jc w:val="right"/>
              <w:ind w:right="5"/>
              <w:spacing w:after="0"/>
              <w:rPr>
                <w:sz w:val="20"/>
                <w:szCs w:val="20"/>
                <w:color w:val="auto"/>
              </w:rPr>
            </w:pPr>
            <w:r>
              <w:rPr>
                <w:rFonts w:ascii="Arial" w:cs="Arial" w:eastAsia="Arial" w:hAnsi="Arial"/>
                <w:sz w:val="11"/>
                <w:szCs w:val="11"/>
                <w:color w:val="auto"/>
              </w:rPr>
              <w:t>389.1</w:t>
            </w:r>
          </w:p>
        </w:tc>
        <w:tc>
          <w:tcPr>
            <w:tcW w:w="160" w:type="dxa"/>
            <w:vAlign w:val="bottom"/>
          </w:tcPr>
          <w:p>
            <w:pPr>
              <w:spacing w:after="0"/>
              <w:rPr>
                <w:sz w:val="15"/>
                <w:szCs w:val="15"/>
                <w:color w:val="auto"/>
              </w:rPr>
            </w:pPr>
          </w:p>
        </w:tc>
        <w:tc>
          <w:tcPr>
            <w:tcW w:w="540" w:type="dxa"/>
            <w:vAlign w:val="bottom"/>
          </w:tcPr>
          <w:p>
            <w:pPr>
              <w:jc w:val="right"/>
              <w:ind w:right="25"/>
              <w:spacing w:after="0"/>
              <w:rPr>
                <w:sz w:val="20"/>
                <w:szCs w:val="20"/>
                <w:color w:val="auto"/>
              </w:rPr>
            </w:pPr>
            <w:r>
              <w:rPr>
                <w:rFonts w:ascii="Arial" w:cs="Arial" w:eastAsia="Arial" w:hAnsi="Arial"/>
                <w:sz w:val="11"/>
                <w:szCs w:val="11"/>
                <w:color w:val="auto"/>
              </w:rPr>
              <w:t>271.5</w:t>
            </w:r>
          </w:p>
        </w:tc>
        <w:tc>
          <w:tcPr>
            <w:tcW w:w="160" w:type="dxa"/>
            <w:vAlign w:val="bottom"/>
          </w:tcPr>
          <w:p>
            <w:pPr>
              <w:spacing w:after="0"/>
              <w:rPr>
                <w:sz w:val="15"/>
                <w:szCs w:val="15"/>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226.4</w:t>
            </w: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222.9</w:t>
            </w:r>
          </w:p>
        </w:tc>
      </w:tr>
      <w:tr>
        <w:trPr>
          <w:trHeight w:val="166"/>
        </w:trPr>
        <w:tc>
          <w:tcPr>
            <w:tcW w:w="2780" w:type="dxa"/>
            <w:vAlign w:val="bottom"/>
          </w:tcPr>
          <w:p>
            <w:pPr>
              <w:spacing w:after="0"/>
              <w:rPr>
                <w:sz w:val="20"/>
                <w:szCs w:val="20"/>
                <w:color w:val="auto"/>
              </w:rPr>
            </w:pPr>
            <w:r>
              <w:rPr>
                <w:rFonts w:ascii="Arial" w:cs="Arial" w:eastAsia="Arial" w:hAnsi="Arial"/>
                <w:sz w:val="11"/>
                <w:szCs w:val="11"/>
                <w:b w:val="1"/>
                <w:bCs w:val="1"/>
                <w:color w:val="auto"/>
              </w:rPr>
              <w:t>Adjusted EBIT</w:t>
            </w:r>
          </w:p>
        </w:tc>
        <w:tc>
          <w:tcPr>
            <w:tcW w:w="36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45"/>
              <w:spacing w:after="0"/>
              <w:rPr>
                <w:sz w:val="20"/>
                <w:szCs w:val="20"/>
                <w:color w:val="auto"/>
              </w:rPr>
            </w:pPr>
            <w:r>
              <w:rPr>
                <w:rFonts w:ascii="Arial" w:cs="Arial" w:eastAsia="Arial" w:hAnsi="Arial"/>
                <w:sz w:val="11"/>
                <w:szCs w:val="11"/>
                <w:b w:val="1"/>
                <w:bCs w:val="1"/>
                <w:color w:val="auto"/>
              </w:rPr>
              <w:t>(42.7)</w:t>
            </w:r>
          </w:p>
        </w:tc>
        <w:tc>
          <w:tcPr>
            <w:tcW w:w="220" w:type="dxa"/>
            <w:vAlign w:val="bottom"/>
          </w:tcPr>
          <w:p>
            <w:pPr>
              <w:jc w:val="right"/>
              <w:ind w:right="4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85"/>
              <w:spacing w:after="0"/>
              <w:rPr>
                <w:sz w:val="20"/>
                <w:szCs w:val="20"/>
                <w:color w:val="auto"/>
              </w:rPr>
            </w:pPr>
            <w:r>
              <w:rPr>
                <w:rFonts w:ascii="Arial" w:cs="Arial" w:eastAsia="Arial" w:hAnsi="Arial"/>
                <w:sz w:val="11"/>
                <w:szCs w:val="11"/>
                <w:b w:val="1"/>
                <w:bCs w:val="1"/>
                <w:color w:val="auto"/>
              </w:rPr>
              <w:t>(89.4)</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60" w:type="dxa"/>
            <w:vAlign w:val="bottom"/>
          </w:tcPr>
          <w:p>
            <w:pPr>
              <w:jc w:val="right"/>
              <w:ind w:right="45"/>
              <w:spacing w:after="0"/>
              <w:rPr>
                <w:sz w:val="20"/>
                <w:szCs w:val="20"/>
                <w:color w:val="auto"/>
              </w:rPr>
            </w:pPr>
            <w:r>
              <w:rPr>
                <w:rFonts w:ascii="Arial" w:cs="Arial" w:eastAsia="Arial" w:hAnsi="Arial"/>
                <w:sz w:val="11"/>
                <w:szCs w:val="11"/>
                <w:b w:val="1"/>
                <w:bCs w:val="1"/>
                <w:color w:val="auto"/>
              </w:rPr>
              <w:t>22.9</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500" w:type="dxa"/>
            <w:vAlign w:val="bottom"/>
          </w:tcPr>
          <w:p>
            <w:pPr>
              <w:jc w:val="right"/>
              <w:ind w:right="85"/>
              <w:spacing w:after="0"/>
              <w:rPr>
                <w:sz w:val="20"/>
                <w:szCs w:val="20"/>
                <w:color w:val="auto"/>
              </w:rPr>
            </w:pPr>
            <w:r>
              <w:rPr>
                <w:rFonts w:ascii="Arial" w:cs="Arial" w:eastAsia="Arial" w:hAnsi="Arial"/>
                <w:sz w:val="11"/>
                <w:szCs w:val="11"/>
                <w:b w:val="1"/>
                <w:bCs w:val="1"/>
                <w:color w:val="auto"/>
              </w:rPr>
              <w:t>(23.8)</w:t>
            </w:r>
          </w:p>
        </w:tc>
        <w:tc>
          <w:tcPr>
            <w:tcW w:w="200" w:type="dxa"/>
            <w:vAlign w:val="bottom"/>
          </w:tcPr>
          <w:p>
            <w:pPr>
              <w:jc w:val="right"/>
              <w:ind w:right="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85"/>
              <w:spacing w:after="0"/>
              <w:rPr>
                <w:sz w:val="20"/>
                <w:szCs w:val="20"/>
                <w:color w:val="auto"/>
              </w:rPr>
            </w:pPr>
            <w:r>
              <w:rPr>
                <w:rFonts w:ascii="Arial" w:cs="Arial" w:eastAsia="Arial" w:hAnsi="Arial"/>
                <w:sz w:val="11"/>
                <w:szCs w:val="11"/>
                <w:b w:val="1"/>
                <w:bCs w:val="1"/>
                <w:color w:val="auto"/>
              </w:rPr>
              <w:t>(30.3)</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5"/>
              <w:spacing w:after="0"/>
              <w:rPr>
                <w:sz w:val="20"/>
                <w:szCs w:val="20"/>
                <w:color w:val="auto"/>
              </w:rPr>
            </w:pPr>
            <w:r>
              <w:rPr>
                <w:rFonts w:ascii="Arial" w:cs="Arial" w:eastAsia="Arial" w:hAnsi="Arial"/>
                <w:sz w:val="11"/>
                <w:szCs w:val="11"/>
                <w:b w:val="1"/>
                <w:bCs w:val="1"/>
                <w:color w:val="auto"/>
              </w:rPr>
              <w:t>121.0</w:t>
            </w:r>
          </w:p>
        </w:tc>
        <w:tc>
          <w:tcPr>
            <w:tcW w:w="200" w:type="dxa"/>
            <w:vAlign w:val="bottom"/>
          </w:tcPr>
          <w:p>
            <w:pPr>
              <w:jc w:val="right"/>
              <w:ind w:right="25"/>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65"/>
              <w:spacing w:after="0"/>
              <w:rPr>
                <w:sz w:val="20"/>
                <w:szCs w:val="20"/>
                <w:color w:val="auto"/>
              </w:rPr>
            </w:pPr>
            <w:r>
              <w:rPr>
                <w:rFonts w:ascii="Arial" w:cs="Arial" w:eastAsia="Arial" w:hAnsi="Arial"/>
                <w:sz w:val="11"/>
                <w:szCs w:val="11"/>
                <w:b w:val="1"/>
                <w:bCs w:val="1"/>
                <w:color w:val="auto"/>
              </w:rPr>
              <w:t>411.0</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5"/>
              <w:spacing w:after="0"/>
              <w:rPr>
                <w:sz w:val="20"/>
                <w:szCs w:val="20"/>
                <w:color w:val="auto"/>
              </w:rPr>
            </w:pPr>
            <w:r>
              <w:rPr>
                <w:rFonts w:ascii="Arial" w:cs="Arial" w:eastAsia="Arial" w:hAnsi="Arial"/>
                <w:sz w:val="11"/>
                <w:szCs w:val="11"/>
                <w:b w:val="1"/>
                <w:bCs w:val="1"/>
                <w:color w:val="auto"/>
              </w:rPr>
              <w:t>650.0</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Pr>
          <w:p>
            <w:pPr>
              <w:jc w:val="right"/>
              <w:ind w:right="65"/>
              <w:spacing w:after="0"/>
              <w:rPr>
                <w:sz w:val="20"/>
                <w:szCs w:val="20"/>
                <w:color w:val="auto"/>
              </w:rPr>
            </w:pPr>
            <w:r>
              <w:rPr>
                <w:rFonts w:ascii="Arial" w:cs="Arial" w:eastAsia="Arial" w:hAnsi="Arial"/>
                <w:sz w:val="11"/>
                <w:szCs w:val="11"/>
                <w:b w:val="1"/>
                <w:bCs w:val="1"/>
                <w:color w:val="auto"/>
              </w:rPr>
              <w:t>684.0</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5"/>
              <w:spacing w:after="0"/>
              <w:rPr>
                <w:sz w:val="20"/>
                <w:szCs w:val="20"/>
                <w:color w:val="auto"/>
              </w:rPr>
            </w:pPr>
            <w:r>
              <w:rPr>
                <w:rFonts w:ascii="Arial" w:cs="Arial" w:eastAsia="Arial" w:hAnsi="Arial"/>
                <w:sz w:val="11"/>
                <w:szCs w:val="11"/>
                <w:b w:val="1"/>
                <w:bCs w:val="1"/>
                <w:color w:val="auto"/>
              </w:rPr>
              <w:t>463.7</w:t>
            </w:r>
          </w:p>
        </w:tc>
      </w:tr>
      <w:tr>
        <w:trPr>
          <w:trHeight w:val="510"/>
        </w:trPr>
        <w:tc>
          <w:tcPr>
            <w:tcW w:w="2780" w:type="dxa"/>
            <w:vAlign w:val="bottom"/>
          </w:tcPr>
          <w:p>
            <w:pPr>
              <w:spacing w:after="0"/>
              <w:rPr>
                <w:sz w:val="20"/>
                <w:szCs w:val="20"/>
                <w:color w:val="auto"/>
              </w:rPr>
            </w:pPr>
            <w:r>
              <w:rPr>
                <w:rFonts w:ascii="Arial" w:cs="Arial" w:eastAsia="Arial" w:hAnsi="Arial"/>
                <w:sz w:val="11"/>
                <w:szCs w:val="11"/>
                <w:color w:val="auto"/>
              </w:rPr>
              <w:t>Plus: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2780" w:type="dxa"/>
            <w:vAlign w:val="bottom"/>
          </w:tcPr>
          <w:p>
            <w:pPr>
              <w:ind w:left="140"/>
              <w:spacing w:after="0"/>
              <w:rPr>
                <w:sz w:val="20"/>
                <w:szCs w:val="20"/>
                <w:color w:val="auto"/>
              </w:rPr>
            </w:pPr>
            <w:r>
              <w:rPr>
                <w:rFonts w:ascii="Arial" w:cs="Arial" w:eastAsia="Arial" w:hAnsi="Arial"/>
                <w:sz w:val="11"/>
                <w:szCs w:val="11"/>
                <w:color w:val="auto"/>
              </w:rPr>
              <w:t>Florida Rock adjusted EBITDA ¹</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Arial" w:cs="Arial" w:eastAsia="Arial" w:hAnsi="Arial"/>
                <w:sz w:val="11"/>
                <w:szCs w:val="11"/>
                <w:color w:val="auto"/>
              </w:rPr>
              <w:t>221.1</w:t>
            </w:r>
          </w:p>
        </w:tc>
        <w:tc>
          <w:tcPr>
            <w:tcW w:w="16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Arial" w:cs="Arial" w:eastAsia="Arial" w:hAnsi="Arial"/>
                <w:sz w:val="11"/>
                <w:szCs w:val="11"/>
                <w:color w:val="auto"/>
              </w:rPr>
              <w:t>395.2</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319.0</w:t>
            </w:r>
          </w:p>
        </w:tc>
      </w:tr>
      <w:tr>
        <w:trPr>
          <w:trHeight w:val="177"/>
        </w:trPr>
        <w:tc>
          <w:tcPr>
            <w:tcW w:w="2780" w:type="dxa"/>
            <w:vAlign w:val="bottom"/>
          </w:tcPr>
          <w:p>
            <w:pPr>
              <w:spacing w:after="0"/>
              <w:rPr>
                <w:sz w:val="20"/>
                <w:szCs w:val="20"/>
                <w:color w:val="auto"/>
              </w:rPr>
            </w:pPr>
            <w:r>
              <w:rPr>
                <w:rFonts w:ascii="Arial" w:cs="Arial" w:eastAsia="Arial" w:hAnsi="Arial"/>
                <w:sz w:val="11"/>
                <w:szCs w:val="11"/>
                <w:b w:val="1"/>
                <w:bCs w:val="1"/>
                <w:color w:val="auto"/>
              </w:rPr>
              <w:t>Adjusted pro forma EBITDA</w:t>
            </w: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tcPr>
          <w:p>
            <w:pPr>
              <w:jc w:val="right"/>
              <w:ind w:right="85"/>
              <w:spacing w:after="0"/>
              <w:rPr>
                <w:sz w:val="20"/>
                <w:szCs w:val="20"/>
                <w:color w:val="auto"/>
              </w:rPr>
            </w:pPr>
            <w:r>
              <w:rPr>
                <w:rFonts w:ascii="Arial" w:cs="Arial" w:eastAsia="Arial" w:hAnsi="Arial"/>
                <w:sz w:val="11"/>
                <w:szCs w:val="11"/>
                <w:b w:val="1"/>
                <w:bCs w:val="1"/>
                <w:color w:val="auto"/>
              </w:rPr>
              <w:t>1,142.6</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tcPr>
          <w:p>
            <w:pPr>
              <w:jc w:val="right"/>
              <w:ind w:right="65"/>
              <w:spacing w:after="0"/>
              <w:rPr>
                <w:sz w:val="20"/>
                <w:szCs w:val="20"/>
                <w:color w:val="auto"/>
              </w:rPr>
            </w:pPr>
            <w:r>
              <w:rPr>
                <w:rFonts w:ascii="Arial" w:cs="Arial" w:eastAsia="Arial" w:hAnsi="Arial"/>
                <w:sz w:val="11"/>
                <w:szCs w:val="11"/>
                <w:b w:val="1"/>
                <w:bCs w:val="1"/>
                <w:color w:val="auto"/>
              </w:rPr>
              <w:t>1,305.6</w:t>
            </w:r>
          </w:p>
        </w:tc>
        <w:tc>
          <w:tcPr>
            <w:tcW w:w="16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right"/>
              <w:ind w:right="25"/>
              <w:spacing w:after="0"/>
              <w:rPr>
                <w:sz w:val="20"/>
                <w:szCs w:val="20"/>
                <w:color w:val="auto"/>
              </w:rPr>
            </w:pPr>
            <w:r>
              <w:rPr>
                <w:rFonts w:ascii="Arial" w:cs="Arial" w:eastAsia="Arial" w:hAnsi="Arial"/>
                <w:sz w:val="11"/>
                <w:szCs w:val="11"/>
                <w:b w:val="1"/>
                <w:bCs w:val="1"/>
                <w:color w:val="auto"/>
              </w:rPr>
              <w:t>1,005.6</w:t>
            </w:r>
          </w:p>
        </w:tc>
      </w:tr>
    </w:tbl>
    <w:p>
      <w:pPr>
        <w:spacing w:after="0" w:line="351"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1"/>
          <w:szCs w:val="11"/>
          <w:color w:val="auto"/>
        </w:rPr>
        <w:t>Note:</w:t>
        <w:tab/>
        <w:t>Adjusted Q1 2012 and LTM EBITDA is preliminary and amounts may change upon finalization of Vulcan’s Q1 2012 earnings as reported on Form 10-Q.</w:t>
      </w:r>
    </w:p>
    <w:p>
      <w:pPr>
        <w:ind w:left="120"/>
        <w:spacing w:after="0" w:line="231" w:lineRule="auto"/>
        <w:rPr>
          <w:sz w:val="20"/>
          <w:szCs w:val="20"/>
          <w:color w:val="auto"/>
        </w:rPr>
      </w:pPr>
      <w:r>
        <w:rPr>
          <w:rFonts w:ascii="Arial" w:cs="Arial" w:eastAsia="Arial" w:hAnsi="Arial"/>
          <w:sz w:val="11"/>
          <w:szCs w:val="11"/>
          <w:color w:val="auto"/>
        </w:rPr>
        <w:t>Note 1: Florida Rock financials calendarized to December 31 year-end. 2007 period represents financials for the first 9 months of 2007.</w:t>
      </w:r>
    </w:p>
    <w:p>
      <w:pPr>
        <w:ind w:left="120"/>
        <w:spacing w:after="0"/>
        <w:rPr>
          <w:sz w:val="20"/>
          <w:szCs w:val="20"/>
          <w:color w:val="auto"/>
        </w:rPr>
      </w:pPr>
      <w:r>
        <w:rPr>
          <w:rFonts w:ascii="Arial" w:cs="Arial" w:eastAsia="Arial" w:hAnsi="Arial"/>
          <w:sz w:val="11"/>
          <w:szCs w:val="11"/>
          <w:color w:val="auto"/>
        </w:rPr>
        <w:t>Source: Company filings</w:t>
      </w:r>
    </w:p>
    <w:p>
      <w:pPr>
        <w:spacing w:after="0" w:line="143" w:lineRule="exact"/>
        <w:rPr>
          <w:sz w:val="20"/>
          <w:szCs w:val="20"/>
          <w:color w:val="auto"/>
        </w:rPr>
      </w:pPr>
    </w:p>
    <w:p>
      <w:pPr>
        <w:ind w:left="9480"/>
        <w:spacing w:after="0"/>
        <w:rPr>
          <w:sz w:val="20"/>
          <w:szCs w:val="20"/>
          <w:color w:val="auto"/>
        </w:rPr>
      </w:pPr>
      <w:r>
        <w:rPr>
          <w:rFonts w:ascii="Arial" w:cs="Arial" w:eastAsia="Arial" w:hAnsi="Arial"/>
          <w:sz w:val="14"/>
          <w:szCs w:val="14"/>
          <w:color w:val="B4996E"/>
        </w:rPr>
        <w:t>38</w:t>
      </w:r>
    </w:p>
    <w:p>
      <w:pPr>
        <w:sectPr>
          <w:pgSz w:w="11900" w:h="16838" w:orient="portrait"/>
          <w:cols w:equalWidth="0" w:num="1">
            <w:col w:w="9700"/>
          </w:cols>
          <w:pgMar w:left="1200" w:top="656" w:right="999" w:bottom="1440" w:gutter="0" w:footer="0" w:header="0"/>
        </w:sectPr>
      </w:pPr>
    </w:p>
    <w:bookmarkStart w:id="39" w:name="page40"/>
    <w:bookmarkEnd w:id="39"/>
    <w:p>
      <w:pPr>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Florida Rock EBITDA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3580" w:type="dxa"/>
            <w:vAlign w:val="bottom"/>
          </w:tcPr>
          <w:p>
            <w:pPr>
              <w:spacing w:after="0"/>
              <w:rPr>
                <w:sz w:val="13"/>
                <w:szCs w:val="13"/>
                <w:color w:val="auto"/>
              </w:rPr>
            </w:pPr>
          </w:p>
        </w:tc>
        <w:tc>
          <w:tcPr>
            <w:tcW w:w="1840" w:type="dxa"/>
            <w:vAlign w:val="bottom"/>
            <w:gridSpan w:val="2"/>
          </w:tcPr>
          <w:p>
            <w:pPr>
              <w:jc w:val="center"/>
              <w:ind w:left="559"/>
              <w:spacing w:after="0"/>
              <w:rPr>
                <w:sz w:val="20"/>
                <w:szCs w:val="20"/>
                <w:color w:val="auto"/>
              </w:rPr>
            </w:pPr>
            <w:r>
              <w:rPr>
                <w:rFonts w:ascii="Arial" w:cs="Arial" w:eastAsia="Arial" w:hAnsi="Arial"/>
                <w:sz w:val="12"/>
                <w:szCs w:val="12"/>
                <w:b w:val="1"/>
                <w:bCs w:val="1"/>
                <w:color w:val="auto"/>
              </w:rPr>
              <w:t>For the 9 months</w:t>
            </w: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0"/>
        </w:trPr>
        <w:tc>
          <w:tcPr>
            <w:tcW w:w="3580" w:type="dxa"/>
            <w:vAlign w:val="bottom"/>
          </w:tcPr>
          <w:p>
            <w:pPr>
              <w:spacing w:after="0"/>
              <w:rPr>
                <w:sz w:val="20"/>
                <w:szCs w:val="20"/>
                <w:color w:val="auto"/>
              </w:rPr>
            </w:pPr>
            <w:r>
              <w:rPr>
                <w:rFonts w:ascii="Arial" w:cs="Arial" w:eastAsia="Arial" w:hAnsi="Arial"/>
                <w:sz w:val="12"/>
                <w:szCs w:val="12"/>
                <w:color w:val="auto"/>
              </w:rPr>
              <w:t>(dollars in millions)</w:t>
            </w:r>
          </w:p>
        </w:tc>
        <w:tc>
          <w:tcPr>
            <w:tcW w:w="1840" w:type="dxa"/>
            <w:vAlign w:val="bottom"/>
            <w:gridSpan w:val="2"/>
          </w:tcPr>
          <w:p>
            <w:pPr>
              <w:jc w:val="center"/>
              <w:ind w:left="559"/>
              <w:spacing w:after="0"/>
              <w:rPr>
                <w:sz w:val="20"/>
                <w:szCs w:val="20"/>
                <w:color w:val="auto"/>
              </w:rPr>
            </w:pPr>
            <w:r>
              <w:rPr>
                <w:rFonts w:ascii="Arial" w:cs="Arial" w:eastAsia="Arial" w:hAnsi="Arial"/>
                <w:sz w:val="12"/>
                <w:szCs w:val="12"/>
                <w:b w:val="1"/>
                <w:bCs w:val="1"/>
                <w:color w:val="auto"/>
              </w:rPr>
              <w:t>ended Sept. 30,</w:t>
            </w:r>
          </w:p>
        </w:tc>
        <w:tc>
          <w:tcPr>
            <w:tcW w:w="2260" w:type="dxa"/>
            <w:vAlign w:val="bottom"/>
            <w:gridSpan w:val="4"/>
          </w:tcPr>
          <w:p>
            <w:pPr>
              <w:jc w:val="right"/>
              <w:ind w:right="39"/>
              <w:spacing w:after="0"/>
              <w:rPr>
                <w:sz w:val="20"/>
                <w:szCs w:val="20"/>
                <w:color w:val="auto"/>
              </w:rPr>
            </w:pPr>
            <w:r>
              <w:rPr>
                <w:rFonts w:ascii="Arial" w:cs="Arial" w:eastAsia="Arial" w:hAnsi="Arial"/>
                <w:sz w:val="12"/>
                <w:szCs w:val="12"/>
                <w:b w:val="1"/>
                <w:bCs w:val="1"/>
                <w:color w:val="auto"/>
              </w:rPr>
              <w:t>For the Year Ended December 31,</w:t>
            </w:r>
          </w:p>
        </w:tc>
      </w:tr>
      <w:tr>
        <w:trPr>
          <w:trHeight w:val="211"/>
        </w:trPr>
        <w:tc>
          <w:tcPr>
            <w:tcW w:w="3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jc w:val="center"/>
              <w:ind w:right="319"/>
              <w:spacing w:after="0"/>
              <w:rPr>
                <w:sz w:val="20"/>
                <w:szCs w:val="20"/>
                <w:color w:val="auto"/>
              </w:rPr>
            </w:pPr>
            <w:r>
              <w:rPr>
                <w:rFonts w:ascii="Arial" w:cs="Arial" w:eastAsia="Arial" w:hAnsi="Arial"/>
                <w:sz w:val="12"/>
                <w:szCs w:val="12"/>
                <w:b w:val="1"/>
                <w:bCs w:val="1"/>
                <w:color w:val="auto"/>
              </w:rPr>
              <w:t>2007</w:t>
            </w:r>
          </w:p>
        </w:tc>
        <w:tc>
          <w:tcPr>
            <w:tcW w:w="340" w:type="dxa"/>
            <w:vAlign w:val="bottom"/>
          </w:tcPr>
          <w:p>
            <w:pPr>
              <w:spacing w:after="0"/>
              <w:rPr>
                <w:sz w:val="18"/>
                <w:szCs w:val="18"/>
                <w:color w:val="auto"/>
              </w:rPr>
            </w:pPr>
          </w:p>
        </w:tc>
        <w:tc>
          <w:tcPr>
            <w:tcW w:w="840" w:type="dxa"/>
            <w:vAlign w:val="bottom"/>
          </w:tcPr>
          <w:p>
            <w:pPr>
              <w:jc w:val="right"/>
              <w:ind w:right="419"/>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8"/>
                <w:szCs w:val="18"/>
                <w:color w:val="auto"/>
              </w:rPr>
            </w:pPr>
          </w:p>
        </w:tc>
        <w:tc>
          <w:tcPr>
            <w:tcW w:w="740" w:type="dxa"/>
            <w:vAlign w:val="bottom"/>
          </w:tcPr>
          <w:p>
            <w:pPr>
              <w:jc w:val="right"/>
              <w:ind w:right="299"/>
              <w:spacing w:after="0"/>
              <w:rPr>
                <w:sz w:val="20"/>
                <w:szCs w:val="20"/>
                <w:color w:val="auto"/>
              </w:rPr>
            </w:pPr>
            <w:r>
              <w:rPr>
                <w:rFonts w:ascii="Arial" w:cs="Arial" w:eastAsia="Arial" w:hAnsi="Arial"/>
                <w:sz w:val="12"/>
                <w:szCs w:val="12"/>
                <w:b w:val="1"/>
                <w:bCs w:val="1"/>
                <w:color w:val="auto"/>
              </w:rPr>
              <w:t>2005</w:t>
            </w:r>
          </w:p>
        </w:tc>
      </w:tr>
      <w:tr>
        <w:trPr>
          <w:trHeight w:val="200"/>
        </w:trPr>
        <w:tc>
          <w:tcPr>
            <w:tcW w:w="3580" w:type="dxa"/>
            <w:vAlign w:val="bottom"/>
          </w:tcPr>
          <w:p>
            <w:pPr>
              <w:spacing w:after="0"/>
              <w:rPr>
                <w:sz w:val="20"/>
                <w:szCs w:val="20"/>
                <w:color w:val="auto"/>
              </w:rPr>
            </w:pPr>
            <w:r>
              <w:rPr>
                <w:rFonts w:ascii="Arial" w:cs="Arial" w:eastAsia="Arial" w:hAnsi="Arial"/>
                <w:sz w:val="12"/>
                <w:szCs w:val="12"/>
                <w:color w:val="auto"/>
              </w:rPr>
              <w:t>Net (loss) earnings</w:t>
            </w:r>
          </w:p>
        </w:tc>
        <w:tc>
          <w:tcPr>
            <w:tcW w:w="9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96.7</w:t>
            </w:r>
          </w:p>
        </w:tc>
        <w:tc>
          <w:tcPr>
            <w:tcW w:w="34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213.7</w:t>
            </w:r>
          </w:p>
        </w:tc>
        <w:tc>
          <w:tcPr>
            <w:tcW w:w="34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169.6</w:t>
            </w:r>
          </w:p>
        </w:tc>
      </w:tr>
      <w:tr>
        <w:trPr>
          <w:trHeight w:val="200"/>
        </w:trPr>
        <w:tc>
          <w:tcPr>
            <w:tcW w:w="3580" w:type="dxa"/>
            <w:vAlign w:val="bottom"/>
          </w:tcPr>
          <w:p>
            <w:pPr>
              <w:spacing w:after="0"/>
              <w:rPr>
                <w:sz w:val="20"/>
                <w:szCs w:val="20"/>
                <w:color w:val="auto"/>
              </w:rPr>
            </w:pPr>
            <w:r>
              <w:rPr>
                <w:rFonts w:ascii="Arial" w:cs="Arial" w:eastAsia="Arial" w:hAnsi="Arial"/>
                <w:sz w:val="12"/>
                <w:szCs w:val="12"/>
                <w:color w:val="auto"/>
              </w:rPr>
              <w:t>Add back:</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1"/>
        </w:trPr>
        <w:tc>
          <w:tcPr>
            <w:tcW w:w="3580" w:type="dxa"/>
            <w:vAlign w:val="bottom"/>
          </w:tcPr>
          <w:p>
            <w:pPr>
              <w:ind w:left="160"/>
              <w:spacing w:after="0"/>
              <w:rPr>
                <w:sz w:val="20"/>
                <w:szCs w:val="20"/>
                <w:color w:val="auto"/>
              </w:rPr>
            </w:pPr>
            <w:r>
              <w:rPr>
                <w:rFonts w:ascii="Arial" w:cs="Arial" w:eastAsia="Arial" w:hAnsi="Arial"/>
                <w:sz w:val="12"/>
                <w:szCs w:val="12"/>
                <w:color w:val="auto"/>
              </w:rPr>
              <w:t>Interest expense (income)</w:t>
            </w:r>
          </w:p>
        </w:tc>
        <w:tc>
          <w:tcPr>
            <w:tcW w:w="9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(1.1)</w:t>
            </w:r>
          </w:p>
        </w:tc>
        <w:tc>
          <w:tcPr>
            <w:tcW w:w="3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(3.6)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r>
      <w:tr>
        <w:trPr>
          <w:trHeight w:val="200"/>
        </w:trPr>
        <w:tc>
          <w:tcPr>
            <w:tcW w:w="3580" w:type="dxa"/>
            <w:vAlign w:val="bottom"/>
          </w:tcPr>
          <w:p>
            <w:pPr>
              <w:ind w:left="160"/>
              <w:spacing w:after="0"/>
              <w:rPr>
                <w:sz w:val="20"/>
                <w:szCs w:val="20"/>
                <w:color w:val="auto"/>
              </w:rPr>
            </w:pPr>
            <w:r>
              <w:rPr>
                <w:rFonts w:ascii="Arial" w:cs="Arial" w:eastAsia="Arial" w:hAnsi="Arial"/>
                <w:sz w:val="12"/>
                <w:szCs w:val="12"/>
                <w:color w:val="auto"/>
              </w:rPr>
              <w:t>Income tax (benefit) expense</w:t>
            </w:r>
          </w:p>
        </w:tc>
        <w:tc>
          <w:tcPr>
            <w:tcW w:w="9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52.2</w:t>
            </w:r>
          </w:p>
        </w:tc>
        <w:tc>
          <w:tcPr>
            <w:tcW w:w="3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119.2</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104.7</w:t>
            </w:r>
          </w:p>
        </w:tc>
      </w:tr>
      <w:tr>
        <w:trPr>
          <w:trHeight w:val="200"/>
        </w:trPr>
        <w:tc>
          <w:tcPr>
            <w:tcW w:w="3580" w:type="dxa"/>
            <w:vAlign w:val="bottom"/>
          </w:tcPr>
          <w:p>
            <w:pPr>
              <w:ind w:left="160"/>
              <w:spacing w:after="0"/>
              <w:rPr>
                <w:sz w:val="20"/>
                <w:szCs w:val="20"/>
                <w:color w:val="auto"/>
              </w:rPr>
            </w:pPr>
            <w:r>
              <w:rPr>
                <w:rFonts w:ascii="Arial" w:cs="Arial" w:eastAsia="Arial" w:hAnsi="Arial"/>
                <w:sz w:val="12"/>
                <w:szCs w:val="12"/>
                <w:color w:val="auto"/>
              </w:rPr>
              <w:t>Depreciation, depletion and amortization expense</w:t>
            </w:r>
          </w:p>
        </w:tc>
        <w:tc>
          <w:tcPr>
            <w:tcW w:w="9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63.7</w:t>
            </w:r>
          </w:p>
        </w:tc>
        <w:tc>
          <w:tcPr>
            <w:tcW w:w="3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76.9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65.5</w:t>
            </w:r>
          </w:p>
        </w:tc>
      </w:tr>
      <w:tr>
        <w:trPr>
          <w:trHeight w:val="211"/>
        </w:trPr>
        <w:tc>
          <w:tcPr>
            <w:tcW w:w="3580" w:type="dxa"/>
            <w:vAlign w:val="bottom"/>
          </w:tcPr>
          <w:p>
            <w:pPr>
              <w:spacing w:after="0"/>
              <w:rPr>
                <w:sz w:val="20"/>
                <w:szCs w:val="20"/>
                <w:color w:val="auto"/>
              </w:rPr>
            </w:pPr>
            <w:r>
              <w:rPr>
                <w:rFonts w:ascii="Arial" w:cs="Arial" w:eastAsia="Arial" w:hAnsi="Arial"/>
                <w:sz w:val="12"/>
                <w:szCs w:val="12"/>
                <w:b w:val="1"/>
                <w:bCs w:val="1"/>
                <w:color w:val="auto"/>
              </w:rPr>
              <w:t>EBITDA</w:t>
            </w:r>
          </w:p>
        </w:tc>
        <w:tc>
          <w:tcPr>
            <w:tcW w:w="9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b w:val="1"/>
                <w:bCs w:val="1"/>
                <w:color w:val="auto"/>
              </w:rPr>
              <w:t>211.5</w:t>
            </w:r>
          </w:p>
        </w:tc>
        <w:tc>
          <w:tcPr>
            <w:tcW w:w="3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b w:val="1"/>
                <w:bCs w:val="1"/>
                <w:color w:val="auto"/>
              </w:rPr>
              <w:t>406.2</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339.2</w:t>
            </w:r>
          </w:p>
        </w:tc>
      </w:tr>
      <w:tr>
        <w:trPr>
          <w:trHeight w:val="399"/>
        </w:trPr>
        <w:tc>
          <w:tcPr>
            <w:tcW w:w="3580" w:type="dxa"/>
            <w:vAlign w:val="bottom"/>
          </w:tcPr>
          <w:p>
            <w:pPr>
              <w:spacing w:after="0"/>
              <w:rPr>
                <w:sz w:val="20"/>
                <w:szCs w:val="20"/>
                <w:color w:val="auto"/>
              </w:rPr>
            </w:pPr>
            <w:r>
              <w:rPr>
                <w:rFonts w:ascii="Arial" w:cs="Arial" w:eastAsia="Arial" w:hAnsi="Arial"/>
                <w:sz w:val="12"/>
                <w:szCs w:val="12"/>
                <w:color w:val="auto"/>
              </w:rPr>
              <w:t>Adjusted for:</w:t>
            </w: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1"/>
        </w:trPr>
        <w:tc>
          <w:tcPr>
            <w:tcW w:w="3580" w:type="dxa"/>
            <w:vAlign w:val="bottom"/>
          </w:tcPr>
          <w:p>
            <w:pPr>
              <w:ind w:left="160"/>
              <w:spacing w:after="0"/>
              <w:rPr>
                <w:sz w:val="20"/>
                <w:szCs w:val="20"/>
                <w:color w:val="auto"/>
              </w:rPr>
            </w:pPr>
            <w:r>
              <w:rPr>
                <w:rFonts w:ascii="Arial" w:cs="Arial" w:eastAsia="Arial" w:hAnsi="Arial"/>
                <w:sz w:val="12"/>
                <w:szCs w:val="12"/>
                <w:color w:val="auto"/>
              </w:rPr>
              <w:t>Recovery for legal expenses</w:t>
            </w:r>
          </w:p>
        </w:tc>
        <w:tc>
          <w:tcPr>
            <w:tcW w:w="9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(0.6)</w:t>
            </w:r>
          </w:p>
        </w:tc>
      </w:tr>
      <w:tr>
        <w:trPr>
          <w:trHeight w:val="200"/>
        </w:trPr>
        <w:tc>
          <w:tcPr>
            <w:tcW w:w="3580" w:type="dxa"/>
            <w:vAlign w:val="bottom"/>
          </w:tcPr>
          <w:p>
            <w:pPr>
              <w:ind w:left="160"/>
              <w:spacing w:after="0"/>
              <w:rPr>
                <w:sz w:val="20"/>
                <w:szCs w:val="20"/>
                <w:color w:val="auto"/>
              </w:rPr>
            </w:pPr>
            <w:r>
              <w:rPr>
                <w:rFonts w:ascii="Arial" w:cs="Arial" w:eastAsia="Arial" w:hAnsi="Arial"/>
                <w:sz w:val="12"/>
                <w:szCs w:val="12"/>
                <w:color w:val="auto"/>
              </w:rPr>
              <w:t>Transaction expenses</w:t>
            </w:r>
          </w:p>
        </w:tc>
        <w:tc>
          <w:tcPr>
            <w:tcW w:w="9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10.1</w:t>
            </w:r>
          </w:p>
        </w:tc>
        <w:tc>
          <w:tcPr>
            <w:tcW w:w="3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0"/>
        </w:trPr>
        <w:tc>
          <w:tcPr>
            <w:tcW w:w="3580" w:type="dxa"/>
            <w:vAlign w:val="bottom"/>
          </w:tcPr>
          <w:p>
            <w:pPr>
              <w:ind w:left="160"/>
              <w:spacing w:after="0"/>
              <w:rPr>
                <w:sz w:val="20"/>
                <w:szCs w:val="20"/>
                <w:color w:val="auto"/>
              </w:rPr>
            </w:pPr>
            <w:r>
              <w:rPr>
                <w:rFonts w:ascii="Arial" w:cs="Arial" w:eastAsia="Arial" w:hAnsi="Arial"/>
                <w:sz w:val="12"/>
                <w:szCs w:val="12"/>
                <w:color w:val="auto"/>
              </w:rPr>
              <w:t>Gain on sales of assets</w:t>
            </w:r>
          </w:p>
        </w:tc>
        <w:tc>
          <w:tcPr>
            <w:tcW w:w="9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0.0</w:t>
            </w:r>
          </w:p>
        </w:tc>
        <w:tc>
          <w:tcPr>
            <w:tcW w:w="3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(6.3)</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(7.5)</w:t>
            </w:r>
          </w:p>
        </w:tc>
      </w:tr>
      <w:tr>
        <w:trPr>
          <w:trHeight w:val="211"/>
        </w:trPr>
        <w:tc>
          <w:tcPr>
            <w:tcW w:w="3580" w:type="dxa"/>
            <w:vAlign w:val="bottom"/>
          </w:tcPr>
          <w:p>
            <w:pPr>
              <w:ind w:left="160"/>
              <w:spacing w:after="0"/>
              <w:rPr>
                <w:sz w:val="20"/>
                <w:szCs w:val="20"/>
                <w:color w:val="auto"/>
              </w:rPr>
            </w:pPr>
            <w:r>
              <w:rPr>
                <w:rFonts w:ascii="Arial" w:cs="Arial" w:eastAsia="Arial" w:hAnsi="Arial"/>
                <w:sz w:val="12"/>
                <w:szCs w:val="12"/>
                <w:color w:val="auto"/>
              </w:rPr>
              <w:t>Life insurance proceeds</w:t>
            </w:r>
          </w:p>
        </w:tc>
        <w:tc>
          <w:tcPr>
            <w:tcW w:w="9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(0.6)</w:t>
            </w:r>
          </w:p>
        </w:tc>
      </w:tr>
      <w:tr>
        <w:trPr>
          <w:trHeight w:val="200"/>
        </w:trPr>
        <w:tc>
          <w:tcPr>
            <w:tcW w:w="3580" w:type="dxa"/>
            <w:vAlign w:val="bottom"/>
          </w:tcPr>
          <w:p>
            <w:pPr>
              <w:ind w:left="160"/>
              <w:spacing w:after="0"/>
              <w:rPr>
                <w:sz w:val="20"/>
                <w:szCs w:val="20"/>
                <w:color w:val="auto"/>
              </w:rPr>
            </w:pPr>
            <w:r>
              <w:rPr>
                <w:rFonts w:ascii="Arial" w:cs="Arial" w:eastAsia="Arial" w:hAnsi="Arial"/>
                <w:sz w:val="12"/>
                <w:szCs w:val="12"/>
                <w:color w:val="auto"/>
              </w:rPr>
              <w:t>Insurance settlement</w:t>
            </w:r>
          </w:p>
        </w:tc>
        <w:tc>
          <w:tcPr>
            <w:tcW w:w="9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00"/>
        </w:trPr>
        <w:tc>
          <w:tcPr>
            <w:tcW w:w="3580" w:type="dxa"/>
            <w:vAlign w:val="bottom"/>
          </w:tcPr>
          <w:p>
            <w:pPr>
              <w:ind w:left="160"/>
              <w:spacing w:after="0"/>
              <w:rPr>
                <w:sz w:val="20"/>
                <w:szCs w:val="20"/>
                <w:color w:val="auto"/>
              </w:rPr>
            </w:pPr>
            <w:r>
              <w:rPr>
                <w:rFonts w:ascii="Arial" w:cs="Arial" w:eastAsia="Arial" w:hAnsi="Arial"/>
                <w:sz w:val="12"/>
                <w:szCs w:val="12"/>
                <w:color w:val="auto"/>
              </w:rPr>
              <w:t>Other nonoperating (income) expense</w:t>
            </w:r>
          </w:p>
        </w:tc>
        <w:tc>
          <w:tcPr>
            <w:tcW w:w="9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(0.6)</w:t>
            </w:r>
          </w:p>
        </w:tc>
        <w:tc>
          <w:tcPr>
            <w:tcW w:w="3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2"/>
                <w:szCs w:val="12"/>
                <w:color w:val="auto"/>
              </w:rPr>
              <w:t>(4.6)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421"/>
        </w:trPr>
        <w:tc>
          <w:tcPr>
            <w:tcW w:w="358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980" w:type="dxa"/>
            <w:vAlign w:val="bottom"/>
          </w:tcPr>
          <w:p>
            <w:pPr>
              <w:jc w:val="right"/>
              <w:ind w:right="19"/>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2"/>
                <w:szCs w:val="12"/>
                <w:b w:val="1"/>
                <w:bCs w:val="1"/>
                <w:color w:val="auto"/>
              </w:rPr>
              <w:t>221.1</w:t>
            </w:r>
          </w:p>
        </w:tc>
        <w:tc>
          <w:tcPr>
            <w:tcW w:w="340" w:type="dxa"/>
            <w:vAlign w:val="bottom"/>
          </w:tcPr>
          <w:p>
            <w:pPr>
              <w:jc w:val="right"/>
              <w:ind w:right="19"/>
              <w:spacing w:after="0"/>
              <w:rPr>
                <w:sz w:val="20"/>
                <w:szCs w:val="20"/>
                <w:color w:val="auto"/>
              </w:rPr>
            </w:pPr>
            <w:r>
              <w:rPr>
                <w:rFonts w:ascii="Arial" w:cs="Arial" w:eastAsia="Arial" w:hAnsi="Arial"/>
                <w:sz w:val="12"/>
                <w:szCs w:val="12"/>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2"/>
                <w:szCs w:val="12"/>
                <w:b w:val="1"/>
                <w:bCs w:val="1"/>
                <w:color w:val="auto"/>
              </w:rPr>
              <w:t>395.2</w:t>
            </w:r>
          </w:p>
        </w:tc>
        <w:tc>
          <w:tcPr>
            <w:tcW w:w="340" w:type="dxa"/>
            <w:vAlign w:val="bottom"/>
          </w:tcPr>
          <w:p>
            <w:pPr>
              <w:jc w:val="right"/>
              <w:ind w:right="39"/>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319.0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0"/>
          <w:szCs w:val="10"/>
          <w:color w:val="auto"/>
        </w:rPr>
        <w:t>Note:</w:t>
        <w:tab/>
        <w:t>Florida Rock financials calendarized to December 31 year-end. 2007 period represents financials for the first 9 months of 2007.</w:t>
      </w:r>
    </w:p>
    <w:p>
      <w:pPr>
        <w:spacing w:after="0"/>
        <w:rPr>
          <w:sz w:val="20"/>
          <w:szCs w:val="20"/>
          <w:color w:val="auto"/>
        </w:rPr>
      </w:pPr>
      <w:r>
        <w:rPr>
          <w:rFonts w:ascii="Arial" w:cs="Arial" w:eastAsia="Arial" w:hAnsi="Arial"/>
          <w:sz w:val="10"/>
          <w:szCs w:val="10"/>
          <w:color w:val="auto"/>
        </w:rPr>
        <w:t>Source: Company filings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39</w:t>
      </w:r>
    </w:p>
    <w:p>
      <w:pPr>
        <w:sectPr>
          <w:pgSz w:w="11900" w:h="16838" w:orient="portrait"/>
          <w:cols w:equalWidth="0" w:num="1">
            <w:col w:w="9540"/>
          </w:cols>
          <w:pgMar w:left="1300" w:top="656" w:right="1059" w:bottom="1440" w:gutter="0" w:footer="0" w:header="0"/>
        </w:sectPr>
      </w:pPr>
    </w:p>
    <w:bookmarkStart w:id="40" w:name="page41"/>
    <w:bookmarkEnd w:id="40"/>
    <w:p>
      <w:pPr>
        <w:ind w:left="2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Vulcan SG&amp;A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00" w:type="dxa"/>
            <w:vAlign w:val="bottom"/>
          </w:tcPr>
          <w:p>
            <w:pPr>
              <w:spacing w:after="0"/>
              <w:rPr>
                <w:sz w:val="20"/>
                <w:szCs w:val="20"/>
                <w:color w:val="auto"/>
              </w:rPr>
            </w:pPr>
            <w:r>
              <w:rPr>
                <w:rFonts w:ascii="Arial" w:cs="Arial" w:eastAsia="Arial" w:hAnsi="Arial"/>
                <w:sz w:val="12"/>
                <w:szCs w:val="12"/>
                <w:color w:val="auto"/>
              </w:rPr>
              <w:t>(dollars in millions)</w:t>
            </w: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20" w:type="dxa"/>
            <w:vAlign w:val="bottom"/>
            <w:gridSpan w:val="4"/>
          </w:tcPr>
          <w:p>
            <w:pPr>
              <w:jc w:val="right"/>
              <w:ind w:right="399"/>
              <w:spacing w:after="0"/>
              <w:rPr>
                <w:sz w:val="20"/>
                <w:szCs w:val="20"/>
                <w:color w:val="auto"/>
              </w:rPr>
            </w:pPr>
            <w:r>
              <w:rPr>
                <w:rFonts w:ascii="Arial" w:cs="Arial" w:eastAsia="Arial" w:hAnsi="Arial"/>
                <w:sz w:val="12"/>
                <w:szCs w:val="12"/>
                <w:b w:val="1"/>
                <w:bCs w:val="1"/>
                <w:color w:val="auto"/>
              </w:rPr>
              <w:t>For the Year Ended December 31,</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11"/>
        </w:trPr>
        <w:tc>
          <w:tcPr>
            <w:tcW w:w="3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2"/>
                <w:szCs w:val="12"/>
                <w:b w:val="1"/>
                <w:bCs w:val="1"/>
                <w:color w:val="auto"/>
              </w:rPr>
              <w:t>2011</w:t>
            </w:r>
          </w:p>
        </w:tc>
        <w:tc>
          <w:tcPr>
            <w:tcW w:w="46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2"/>
                <w:szCs w:val="12"/>
                <w:b w:val="1"/>
                <w:bCs w:val="1"/>
                <w:color w:val="auto"/>
              </w:rPr>
              <w:t>2010</w:t>
            </w:r>
          </w:p>
        </w:tc>
        <w:tc>
          <w:tcPr>
            <w:tcW w:w="50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2"/>
                <w:szCs w:val="12"/>
                <w:b w:val="1"/>
                <w:bCs w:val="1"/>
                <w:color w:val="auto"/>
              </w:rPr>
              <w:t>2009</w:t>
            </w:r>
          </w:p>
        </w:tc>
        <w:tc>
          <w:tcPr>
            <w:tcW w:w="42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2"/>
                <w:szCs w:val="12"/>
                <w:b w:val="1"/>
                <w:bCs w:val="1"/>
                <w:color w:val="auto"/>
              </w:rPr>
              <w:t>2008</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2007</w:t>
            </w:r>
          </w:p>
        </w:tc>
      </w:tr>
      <w:tr>
        <w:trPr>
          <w:trHeight w:val="200"/>
        </w:trPr>
        <w:tc>
          <w:tcPr>
            <w:tcW w:w="3100" w:type="dxa"/>
            <w:vAlign w:val="bottom"/>
          </w:tcPr>
          <w:p>
            <w:pPr>
              <w:spacing w:after="0"/>
              <w:rPr>
                <w:sz w:val="20"/>
                <w:szCs w:val="20"/>
                <w:color w:val="auto"/>
              </w:rPr>
            </w:pPr>
            <w:r>
              <w:rPr>
                <w:rFonts w:ascii="Arial" w:cs="Arial" w:eastAsia="Arial" w:hAnsi="Arial"/>
                <w:sz w:val="12"/>
                <w:szCs w:val="12"/>
                <w:color w:val="auto"/>
              </w:rPr>
              <w:t>SG&amp;A, as reported</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99"/>
              <w:spacing w:after="0"/>
              <w:rPr>
                <w:sz w:val="20"/>
                <w:szCs w:val="20"/>
                <w:color w:val="auto"/>
              </w:rPr>
            </w:pPr>
            <w:r>
              <w:rPr>
                <w:rFonts w:ascii="Arial" w:cs="Arial" w:eastAsia="Arial" w:hAnsi="Arial"/>
                <w:sz w:val="12"/>
                <w:szCs w:val="12"/>
                <w:color w:val="auto"/>
              </w:rPr>
              <w:t>290.0</w:t>
            </w: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19"/>
              <w:spacing w:after="0"/>
              <w:rPr>
                <w:sz w:val="20"/>
                <w:szCs w:val="20"/>
                <w:color w:val="auto"/>
              </w:rPr>
            </w:pPr>
            <w:r>
              <w:rPr>
                <w:rFonts w:ascii="Arial" w:cs="Arial" w:eastAsia="Arial" w:hAnsi="Arial"/>
                <w:sz w:val="12"/>
                <w:szCs w:val="12"/>
                <w:color w:val="auto"/>
              </w:rPr>
              <w:t>327.5</w:t>
            </w:r>
          </w:p>
        </w:tc>
        <w:tc>
          <w:tcPr>
            <w:tcW w:w="50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39"/>
              <w:spacing w:after="0"/>
              <w:rPr>
                <w:sz w:val="20"/>
                <w:szCs w:val="20"/>
                <w:color w:val="auto"/>
              </w:rPr>
            </w:pPr>
            <w:r>
              <w:rPr>
                <w:rFonts w:ascii="Arial" w:cs="Arial" w:eastAsia="Arial" w:hAnsi="Arial"/>
                <w:sz w:val="12"/>
                <w:szCs w:val="12"/>
                <w:color w:val="auto"/>
              </w:rPr>
              <w:t>321.6</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39"/>
              <w:spacing w:after="0"/>
              <w:rPr>
                <w:sz w:val="20"/>
                <w:szCs w:val="20"/>
                <w:color w:val="auto"/>
              </w:rPr>
            </w:pPr>
            <w:r>
              <w:rPr>
                <w:rFonts w:ascii="Arial" w:cs="Arial" w:eastAsia="Arial" w:hAnsi="Arial"/>
                <w:sz w:val="12"/>
                <w:szCs w:val="12"/>
                <w:color w:val="auto"/>
              </w:rPr>
              <w:t>342.6</w:t>
            </w:r>
          </w:p>
        </w:tc>
        <w:tc>
          <w:tcPr>
            <w:tcW w:w="4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289.6</w:t>
            </w:r>
          </w:p>
        </w:tc>
      </w:tr>
      <w:tr>
        <w:trPr>
          <w:trHeight w:val="410"/>
        </w:trPr>
        <w:tc>
          <w:tcPr>
            <w:tcW w:w="3100" w:type="dxa"/>
            <w:vAlign w:val="bottom"/>
          </w:tcPr>
          <w:p>
            <w:pPr>
              <w:spacing w:after="0"/>
              <w:rPr>
                <w:sz w:val="20"/>
                <w:szCs w:val="20"/>
                <w:color w:val="auto"/>
              </w:rPr>
            </w:pPr>
            <w:r>
              <w:rPr>
                <w:rFonts w:ascii="Arial" w:cs="Arial" w:eastAsia="Arial" w:hAnsi="Arial"/>
                <w:sz w:val="12"/>
                <w:szCs w:val="12"/>
                <w:color w:val="auto"/>
              </w:rPr>
              <w:t>R&amp;D expense, as disclosed in notes to financials</w:t>
            </w:r>
          </w:p>
        </w:tc>
        <w:tc>
          <w:tcPr>
            <w:tcW w:w="620" w:type="dxa"/>
            <w:vAlign w:val="bottom"/>
          </w:tcPr>
          <w:p>
            <w:pPr>
              <w:spacing w:after="0"/>
              <w:rPr>
                <w:sz w:val="24"/>
                <w:szCs w:val="24"/>
                <w:color w:val="auto"/>
              </w:rPr>
            </w:pPr>
          </w:p>
        </w:tc>
        <w:tc>
          <w:tcPr>
            <w:tcW w:w="840" w:type="dxa"/>
            <w:vAlign w:val="bottom"/>
          </w:tcPr>
          <w:p>
            <w:pPr>
              <w:jc w:val="right"/>
              <w:ind w:right="299"/>
              <w:spacing w:after="0"/>
              <w:rPr>
                <w:sz w:val="20"/>
                <w:szCs w:val="20"/>
                <w:color w:val="auto"/>
              </w:rPr>
            </w:pPr>
            <w:r>
              <w:rPr>
                <w:rFonts w:ascii="Arial" w:cs="Arial" w:eastAsia="Arial" w:hAnsi="Arial"/>
                <w:sz w:val="12"/>
                <w:szCs w:val="12"/>
                <w:color w:val="auto"/>
              </w:rPr>
              <w:t>1.1</w:t>
            </w:r>
          </w:p>
        </w:tc>
        <w:tc>
          <w:tcPr>
            <w:tcW w:w="460" w:type="dxa"/>
            <w:vAlign w:val="bottom"/>
          </w:tcPr>
          <w:p>
            <w:pPr>
              <w:spacing w:after="0"/>
              <w:rPr>
                <w:sz w:val="24"/>
                <w:szCs w:val="24"/>
                <w:color w:val="auto"/>
              </w:rPr>
            </w:pPr>
          </w:p>
        </w:tc>
        <w:tc>
          <w:tcPr>
            <w:tcW w:w="640" w:type="dxa"/>
            <w:vAlign w:val="bottom"/>
          </w:tcPr>
          <w:p>
            <w:pPr>
              <w:jc w:val="right"/>
              <w:ind w:right="99"/>
              <w:spacing w:after="0"/>
              <w:rPr>
                <w:sz w:val="20"/>
                <w:szCs w:val="20"/>
                <w:color w:val="auto"/>
              </w:rPr>
            </w:pPr>
            <w:r>
              <w:rPr>
                <w:rFonts w:ascii="Arial" w:cs="Arial" w:eastAsia="Arial" w:hAnsi="Arial"/>
                <w:sz w:val="12"/>
                <w:szCs w:val="12"/>
                <w:color w:val="auto"/>
              </w:rPr>
              <w:t>1.6</w:t>
            </w:r>
          </w:p>
        </w:tc>
        <w:tc>
          <w:tcPr>
            <w:tcW w:w="500" w:type="dxa"/>
            <w:vAlign w:val="bottom"/>
          </w:tcPr>
          <w:p>
            <w:pPr>
              <w:spacing w:after="0"/>
              <w:rPr>
                <w:sz w:val="24"/>
                <w:szCs w:val="24"/>
                <w:color w:val="auto"/>
              </w:rPr>
            </w:pPr>
          </w:p>
        </w:tc>
        <w:tc>
          <w:tcPr>
            <w:tcW w:w="820" w:type="dxa"/>
            <w:vAlign w:val="bottom"/>
          </w:tcPr>
          <w:p>
            <w:pPr>
              <w:jc w:val="right"/>
              <w:ind w:right="239"/>
              <w:spacing w:after="0"/>
              <w:rPr>
                <w:sz w:val="20"/>
                <w:szCs w:val="20"/>
                <w:color w:val="auto"/>
              </w:rPr>
            </w:pPr>
            <w:r>
              <w:rPr>
                <w:rFonts w:ascii="Arial" w:cs="Arial" w:eastAsia="Arial" w:hAnsi="Arial"/>
                <w:sz w:val="12"/>
                <w:szCs w:val="12"/>
                <w:color w:val="auto"/>
              </w:rPr>
              <w:t>1.5</w:t>
            </w:r>
          </w:p>
        </w:tc>
        <w:tc>
          <w:tcPr>
            <w:tcW w:w="420" w:type="dxa"/>
            <w:vAlign w:val="bottom"/>
          </w:tcPr>
          <w:p>
            <w:pPr>
              <w:spacing w:after="0"/>
              <w:rPr>
                <w:sz w:val="24"/>
                <w:szCs w:val="24"/>
                <w:color w:val="auto"/>
              </w:rPr>
            </w:pPr>
          </w:p>
        </w:tc>
        <w:tc>
          <w:tcPr>
            <w:tcW w:w="780" w:type="dxa"/>
            <w:vAlign w:val="bottom"/>
          </w:tcPr>
          <w:p>
            <w:pPr>
              <w:jc w:val="right"/>
              <w:ind w:right="239"/>
              <w:spacing w:after="0"/>
              <w:rPr>
                <w:sz w:val="20"/>
                <w:szCs w:val="20"/>
                <w:color w:val="auto"/>
              </w:rPr>
            </w:pPr>
            <w:r>
              <w:rPr>
                <w:rFonts w:ascii="Arial" w:cs="Arial" w:eastAsia="Arial" w:hAnsi="Arial"/>
                <w:sz w:val="12"/>
                <w:szCs w:val="12"/>
                <w:color w:val="auto"/>
              </w:rPr>
              <w:t>1.5</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421"/>
        </w:trPr>
        <w:tc>
          <w:tcPr>
            <w:tcW w:w="3100" w:type="dxa"/>
            <w:vAlign w:val="bottom"/>
          </w:tcPr>
          <w:p>
            <w:pPr>
              <w:spacing w:after="0"/>
              <w:rPr>
                <w:sz w:val="20"/>
                <w:szCs w:val="20"/>
                <w:color w:val="auto"/>
              </w:rPr>
            </w:pPr>
            <w:r>
              <w:rPr>
                <w:rFonts w:ascii="Arial" w:cs="Arial" w:eastAsia="Arial" w:hAnsi="Arial"/>
                <w:sz w:val="12"/>
                <w:szCs w:val="12"/>
                <w:color w:val="auto"/>
              </w:rPr>
              <w:t>Adjusted SG&amp;A</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99"/>
              <w:spacing w:after="0"/>
              <w:rPr>
                <w:sz w:val="20"/>
                <w:szCs w:val="20"/>
                <w:color w:val="auto"/>
              </w:rPr>
            </w:pPr>
            <w:r>
              <w:rPr>
                <w:rFonts w:ascii="Arial" w:cs="Arial" w:eastAsia="Arial" w:hAnsi="Arial"/>
                <w:sz w:val="12"/>
                <w:szCs w:val="12"/>
                <w:color w:val="auto"/>
              </w:rPr>
              <w:t>288.9</w:t>
            </w: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19"/>
              <w:spacing w:after="0"/>
              <w:rPr>
                <w:sz w:val="20"/>
                <w:szCs w:val="20"/>
                <w:color w:val="auto"/>
              </w:rPr>
            </w:pPr>
            <w:r>
              <w:rPr>
                <w:rFonts w:ascii="Arial" w:cs="Arial" w:eastAsia="Arial" w:hAnsi="Arial"/>
                <w:sz w:val="12"/>
                <w:szCs w:val="12"/>
                <w:color w:val="auto"/>
              </w:rPr>
              <w:t>326.0</w:t>
            </w:r>
          </w:p>
        </w:tc>
        <w:tc>
          <w:tcPr>
            <w:tcW w:w="50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39"/>
              <w:spacing w:after="0"/>
              <w:rPr>
                <w:sz w:val="20"/>
                <w:szCs w:val="20"/>
                <w:color w:val="auto"/>
              </w:rPr>
            </w:pPr>
            <w:r>
              <w:rPr>
                <w:rFonts w:ascii="Arial" w:cs="Arial" w:eastAsia="Arial" w:hAnsi="Arial"/>
                <w:sz w:val="12"/>
                <w:szCs w:val="12"/>
                <w:color w:val="auto"/>
              </w:rPr>
              <w:t>320.1</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39"/>
              <w:spacing w:after="0"/>
              <w:rPr>
                <w:sz w:val="20"/>
                <w:szCs w:val="20"/>
                <w:color w:val="auto"/>
              </w:rPr>
            </w:pPr>
            <w:r>
              <w:rPr>
                <w:rFonts w:ascii="Arial" w:cs="Arial" w:eastAsia="Arial" w:hAnsi="Arial"/>
                <w:sz w:val="12"/>
                <w:szCs w:val="12"/>
                <w:color w:val="auto"/>
              </w:rPr>
              <w:t>341.0</w:t>
            </w:r>
          </w:p>
        </w:tc>
        <w:tc>
          <w:tcPr>
            <w:tcW w:w="4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288.0</w:t>
            </w:r>
          </w:p>
        </w:tc>
      </w:tr>
      <w:tr>
        <w:trPr>
          <w:trHeight w:val="443"/>
        </w:trPr>
        <w:tc>
          <w:tcPr>
            <w:tcW w:w="3100" w:type="dxa"/>
            <w:vAlign w:val="bottom"/>
          </w:tcPr>
          <w:p>
            <w:pPr>
              <w:spacing w:after="0"/>
              <w:rPr>
                <w:sz w:val="20"/>
                <w:szCs w:val="20"/>
                <w:color w:val="auto"/>
              </w:rPr>
            </w:pPr>
            <w:r>
              <w:rPr>
                <w:rFonts w:ascii="Arial" w:cs="Arial" w:eastAsia="Arial" w:hAnsi="Arial"/>
                <w:sz w:val="12"/>
                <w:szCs w:val="12"/>
                <w:color w:val="auto"/>
              </w:rPr>
              <w:t>Net Sales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299"/>
              <w:spacing w:after="0"/>
              <w:rPr>
                <w:sz w:val="20"/>
                <w:szCs w:val="20"/>
                <w:color w:val="auto"/>
              </w:rPr>
            </w:pPr>
            <w:r>
              <w:rPr>
                <w:rFonts w:ascii="Arial" w:cs="Arial" w:eastAsia="Arial" w:hAnsi="Arial"/>
                <w:sz w:val="12"/>
                <w:szCs w:val="12"/>
                <w:color w:val="auto"/>
              </w:rPr>
              <w:t>2,406.9</w:t>
            </w: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119"/>
              <w:spacing w:after="0"/>
              <w:rPr>
                <w:sz w:val="20"/>
                <w:szCs w:val="20"/>
                <w:color w:val="auto"/>
              </w:rPr>
            </w:pPr>
            <w:r>
              <w:rPr>
                <w:rFonts w:ascii="Arial" w:cs="Arial" w:eastAsia="Arial" w:hAnsi="Arial"/>
                <w:sz w:val="12"/>
                <w:szCs w:val="12"/>
                <w:color w:val="auto"/>
              </w:rPr>
              <w:t>2,405.9</w:t>
            </w:r>
          </w:p>
        </w:tc>
        <w:tc>
          <w:tcPr>
            <w:tcW w:w="50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39"/>
              <w:spacing w:after="0"/>
              <w:rPr>
                <w:sz w:val="20"/>
                <w:szCs w:val="20"/>
                <w:color w:val="auto"/>
              </w:rPr>
            </w:pPr>
            <w:r>
              <w:rPr>
                <w:rFonts w:ascii="Arial" w:cs="Arial" w:eastAsia="Arial" w:hAnsi="Arial"/>
                <w:sz w:val="12"/>
                <w:szCs w:val="12"/>
                <w:color w:val="auto"/>
              </w:rPr>
              <w:t>2,543.7</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39"/>
              <w:spacing w:after="0"/>
              <w:rPr>
                <w:sz w:val="20"/>
                <w:szCs w:val="20"/>
                <w:color w:val="auto"/>
              </w:rPr>
            </w:pPr>
            <w:r>
              <w:rPr>
                <w:rFonts w:ascii="Arial" w:cs="Arial" w:eastAsia="Arial" w:hAnsi="Arial"/>
                <w:sz w:val="12"/>
                <w:szCs w:val="12"/>
                <w:color w:val="auto"/>
              </w:rPr>
              <w:t>3,453.1</w:t>
            </w:r>
          </w:p>
        </w:tc>
        <w:tc>
          <w:tcPr>
            <w:tcW w:w="4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3,090.1</w:t>
            </w:r>
          </w:p>
        </w:tc>
      </w:tr>
      <w:tr>
        <w:trPr>
          <w:trHeight w:val="676"/>
        </w:trPr>
        <w:tc>
          <w:tcPr>
            <w:tcW w:w="3100" w:type="dxa"/>
            <w:vAlign w:val="bottom"/>
          </w:tcPr>
          <w:p>
            <w:pPr>
              <w:spacing w:after="0"/>
              <w:rPr>
                <w:sz w:val="20"/>
                <w:szCs w:val="20"/>
                <w:color w:val="auto"/>
              </w:rPr>
            </w:pPr>
            <w:r>
              <w:rPr>
                <w:rFonts w:ascii="Arial" w:cs="Arial" w:eastAsia="Arial" w:hAnsi="Arial"/>
                <w:sz w:val="12"/>
                <w:szCs w:val="12"/>
                <w:b w:val="1"/>
                <w:bCs w:val="1"/>
                <w:color w:val="auto"/>
              </w:rPr>
              <w:t>Adjusted SG&amp;A as Percentage of Net Sales</w:t>
            </w:r>
          </w:p>
        </w:tc>
        <w:tc>
          <w:tcPr>
            <w:tcW w:w="620" w:type="dxa"/>
            <w:vAlign w:val="bottom"/>
          </w:tcPr>
          <w:p>
            <w:pPr>
              <w:spacing w:after="0"/>
              <w:rPr>
                <w:sz w:val="24"/>
                <w:szCs w:val="24"/>
                <w:color w:val="auto"/>
              </w:rPr>
            </w:pPr>
          </w:p>
        </w:tc>
        <w:tc>
          <w:tcPr>
            <w:tcW w:w="840" w:type="dxa"/>
            <w:vAlign w:val="bottom"/>
          </w:tcPr>
          <w:p>
            <w:pPr>
              <w:jc w:val="right"/>
              <w:ind w:right="279"/>
              <w:spacing w:after="0"/>
              <w:rPr>
                <w:sz w:val="20"/>
                <w:szCs w:val="20"/>
                <w:color w:val="auto"/>
              </w:rPr>
            </w:pPr>
            <w:r>
              <w:rPr>
                <w:rFonts w:ascii="Arial" w:cs="Arial" w:eastAsia="Arial" w:hAnsi="Arial"/>
                <w:sz w:val="12"/>
                <w:szCs w:val="12"/>
                <w:b w:val="1"/>
                <w:bCs w:val="1"/>
                <w:color w:val="auto"/>
              </w:rPr>
              <w:t>12.0%</w:t>
            </w:r>
          </w:p>
        </w:tc>
        <w:tc>
          <w:tcPr>
            <w:tcW w:w="460" w:type="dxa"/>
            <w:vAlign w:val="bottom"/>
          </w:tcPr>
          <w:p>
            <w:pPr>
              <w:spacing w:after="0"/>
              <w:rPr>
                <w:sz w:val="24"/>
                <w:szCs w:val="24"/>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b w:val="1"/>
                <w:bCs w:val="1"/>
                <w:color w:val="auto"/>
              </w:rPr>
              <w:t>13.5%</w:t>
            </w:r>
          </w:p>
        </w:tc>
        <w:tc>
          <w:tcPr>
            <w:tcW w:w="500" w:type="dxa"/>
            <w:vAlign w:val="bottom"/>
          </w:tcPr>
          <w:p>
            <w:pPr>
              <w:spacing w:after="0"/>
              <w:rPr>
                <w:sz w:val="24"/>
                <w:szCs w:val="24"/>
                <w:color w:val="auto"/>
              </w:rPr>
            </w:pPr>
          </w:p>
        </w:tc>
        <w:tc>
          <w:tcPr>
            <w:tcW w:w="820" w:type="dxa"/>
            <w:vAlign w:val="bottom"/>
          </w:tcPr>
          <w:p>
            <w:pPr>
              <w:jc w:val="right"/>
              <w:ind w:right="199"/>
              <w:spacing w:after="0"/>
              <w:rPr>
                <w:sz w:val="20"/>
                <w:szCs w:val="20"/>
                <w:color w:val="auto"/>
              </w:rPr>
            </w:pPr>
            <w:r>
              <w:rPr>
                <w:rFonts w:ascii="Arial" w:cs="Arial" w:eastAsia="Arial" w:hAnsi="Arial"/>
                <w:sz w:val="12"/>
                <w:szCs w:val="12"/>
                <w:b w:val="1"/>
                <w:bCs w:val="1"/>
                <w:color w:val="auto"/>
              </w:rPr>
              <w:t>12.6%</w:t>
            </w:r>
          </w:p>
        </w:tc>
        <w:tc>
          <w:tcPr>
            <w:tcW w:w="420" w:type="dxa"/>
            <w:vAlign w:val="bottom"/>
          </w:tcPr>
          <w:p>
            <w:pPr>
              <w:spacing w:after="0"/>
              <w:rPr>
                <w:sz w:val="24"/>
                <w:szCs w:val="24"/>
                <w:color w:val="auto"/>
              </w:rPr>
            </w:pPr>
          </w:p>
        </w:tc>
        <w:tc>
          <w:tcPr>
            <w:tcW w:w="780" w:type="dxa"/>
            <w:vAlign w:val="bottom"/>
          </w:tcPr>
          <w:p>
            <w:pPr>
              <w:jc w:val="right"/>
              <w:ind w:right="219"/>
              <w:spacing w:after="0"/>
              <w:rPr>
                <w:sz w:val="20"/>
                <w:szCs w:val="20"/>
                <w:color w:val="auto"/>
              </w:rPr>
            </w:pPr>
            <w:r>
              <w:rPr>
                <w:rFonts w:ascii="Arial" w:cs="Arial" w:eastAsia="Arial" w:hAnsi="Arial"/>
                <w:sz w:val="12"/>
                <w:szCs w:val="12"/>
                <w:b w:val="1"/>
                <w:bCs w:val="1"/>
                <w:color w:val="auto"/>
              </w:rPr>
              <w:t>9.9%</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0"/>
          <w:szCs w:val="10"/>
          <w:color w:val="auto"/>
        </w:rPr>
        <w:t>Source:  Company filings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40</w:t>
      </w:r>
    </w:p>
    <w:p>
      <w:pPr>
        <w:sectPr>
          <w:pgSz w:w="11900" w:h="16838" w:orient="portrait"/>
          <w:cols w:equalWidth="0" w:num="1">
            <w:col w:w="9560"/>
          </w:cols>
          <w:pgMar w:left="1280" w:top="656" w:right="1059" w:bottom="1440" w:gutter="0" w:footer="0" w:header="0"/>
        </w:sectPr>
      </w:pPr>
    </w:p>
    <w:bookmarkStart w:id="41" w:name="page42"/>
    <w:bookmarkEnd w:id="41"/>
    <w:p>
      <w:pPr>
        <w:ind w:left="34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Cautionary Note Regarding Forward-Looking Statements</w:t>
      </w:r>
    </w:p>
    <w:p>
      <w:pPr>
        <w:spacing w:after="0" w:line="200" w:lineRule="exact"/>
        <w:rPr>
          <w:sz w:val="20"/>
          <w:szCs w:val="20"/>
          <w:color w:val="auto"/>
        </w:rPr>
      </w:pPr>
    </w:p>
    <w:p>
      <w:pPr>
        <w:spacing w:after="0" w:line="336" w:lineRule="exact"/>
        <w:rPr>
          <w:sz w:val="20"/>
          <w:szCs w:val="20"/>
          <w:color w:val="auto"/>
        </w:rPr>
      </w:pPr>
    </w:p>
    <w:p>
      <w:pPr>
        <w:ind w:right="520"/>
        <w:spacing w:after="0" w:line="250" w:lineRule="auto"/>
        <w:rPr>
          <w:sz w:val="20"/>
          <w:szCs w:val="20"/>
          <w:color w:val="auto"/>
        </w:rPr>
      </w:pPr>
      <w:r>
        <w:rPr>
          <w:rFonts w:ascii="Arial" w:cs="Arial" w:eastAsia="Arial" w:hAnsi="Arial"/>
          <w:sz w:val="12"/>
          <w:szCs w:val="12"/>
          <w:color w:val="auto"/>
        </w:rPr>
        <w:t>This presentation may include "forward-looking statements." Statements that include words such as "anticipate," "expect," "should be," "believe," "will," and other words of similar meaning in connection with future events or future operating or financial performance are often used to identify forward-looking statements. All statements in this presentation, other than those relating to historical information or current conditions, are forward-looking statements. These forward-looking statements are subject to a number of risks and uncertainties, many of which are beyond Martin Marietta's control, which could cause actual results to differ materially from such statements. Risks and uncertainties relating to the proposed transaction with Vulcan include, but are not limited to: Vulcan's willingness to accept Martin Marietta's proposal and enter into a definitive transaction agreement reasonably satisfactory to the parties; Martin Marietta's ability to obtain shareholder, antitrust and other approvals on the proposed terms and schedule; uncertainty as to the actual premium that will be realized by Vulcan shareholders in connection with the proposed transaction; uncertainty of the expected financial performance of the combined company following completion of the proposed transaction; Martin Marietta's ability to achieve the cost-savings and synergies contemplated by the proposed transaction within the expected time frame; Martin Marietta's ability to promptly and effectively integrate the businesses of Vulcan and Martin Marietta; the combined company’s ability to pay dividends in the amounts anticipated; a downgrade of the credit rating of Vulcan's indebtedness, which could give rise to an obligation to redeem Vulcan's existing indebtedness; the potential implications of alternative transaction structures with respect to Vulcan, Martin Marietta and/or the combined company, including potentially requiring an offer to repurchase certain of Martin Marietta's existing</w:t>
      </w:r>
    </w:p>
    <w:p>
      <w:pPr>
        <w:spacing w:after="0" w:line="4" w:lineRule="exact"/>
        <w:rPr>
          <w:sz w:val="20"/>
          <w:szCs w:val="20"/>
          <w:color w:val="auto"/>
        </w:rPr>
      </w:pPr>
    </w:p>
    <w:p>
      <w:pPr>
        <w:ind w:right="480"/>
        <w:spacing w:after="0" w:line="252" w:lineRule="auto"/>
        <w:rPr>
          <w:sz w:val="20"/>
          <w:szCs w:val="20"/>
          <w:color w:val="auto"/>
        </w:rPr>
      </w:pPr>
      <w:r>
        <w:rPr>
          <w:rFonts w:ascii="Arial" w:cs="Arial" w:eastAsia="Arial" w:hAnsi="Arial"/>
          <w:sz w:val="12"/>
          <w:szCs w:val="12"/>
          <w:color w:val="auto"/>
        </w:rPr>
        <w:t>debt; the implications of the proposed transaction on certain of Martin Marietta’s and Vulcan’s employee benefit plans; and disruption from the proposed transaction making it more difficult to maintain relationships with customers, employees or suppliers. Additional risks and uncertainties include, but are not limited to: the performance of the United States economy; decline in aggregates pricing; the inability of the U.S. Congress to pass a successor federal highway bill; the discontinuance of the federal gasoline tax or other revenue related to infrastructure construction; the level and timing of federal and state transportation funding, including federal stimulus projects; the ability of states and/or other entities to finance approved projects either with tax revenues or alternative financing structures; levels of construction spending in the markets that Martin Marietta and Vulcan serve; a decline in the commercial component of the nonresidential construction market, notably office and retail space; a slowdown in residential construction recovery; unfavorable weather conditions, particularly Atlantic Ocean hurricane activity, the late start to spring or the early onset of winter and the impact of a drought or excessive rainfall in the markets served by Martin Marietta and Vulcan; the volatility of fuel costs, particularly diesel fuel, and the impact on the cost of other consumables, namely steel, explosives, tires and conveyor belts; continued increases in the cost of other repair and supply parts; transportation availability, notably barge availability on the Mississippi River system and the availability of railcars and locomotive power to move trains to supply Martin Marietta's and Vulcan's long haul distribution markets; increased transportation costs, including increases from higher passed-through energy and other costs to comply with tightening regulations as well as higher volumes of rail and water shipments; availability and cost of construction equipment in the United States; weakening in the steel industry markets served by Martin Marietta's dolomitic lime products; inflation and its effect on both production and interest costs; Martin Marietta’s ability to successfully integrate acquisitions and business combinations quickly and in a cost-effective manner and achieve anticipated profitability to maintain compliance with Martin Marietta's leverage ratio debt covenants; changes in tax laws, the interpretation of such laws and/or administrative practices that would increase Martin Marietta's and/or Vulcan's tax rate; violation of Martin Marietta's debt covenant if price and/or volumes return to previous levels of instability; a potential downgrade in the rating of Martin Marietta's or Vulcan’s indebtedness; downward pressure on Martin Marietta's or Vulcan's common stock price and its impact on goodwill impairment evaluations; the highly competitive nature of the construction materials industry; the impact of future regulatory or legislative actions; the outcome of pending legal proceedings; healthcare costs; the amount of long-term debt and interest expense; changes in interest rates; volatility in pension plan asset values which may require cash contributions to pension plans; the impact of environmental clean-up costs and liabilities relating to previously divested businesses; the ability to secure and permit aggregates reserves in strategically located areas; exposure to residential construction markets; and the impact on the combined company (after giving effect to the proposed transaction with Vulcan) of any of the foregoing risks, as well as other risk factors listed from time to time in Martin Marietta's and Vulcan's filings with the SEC.</w:t>
      </w:r>
    </w:p>
    <w:p>
      <w:pPr>
        <w:spacing w:after="0" w:line="348" w:lineRule="exact"/>
        <w:rPr>
          <w:sz w:val="20"/>
          <w:szCs w:val="20"/>
          <w:color w:val="auto"/>
        </w:rPr>
      </w:pPr>
    </w:p>
    <w:p>
      <w:pPr>
        <w:ind w:right="680"/>
        <w:spacing w:after="0" w:line="253" w:lineRule="auto"/>
        <w:rPr>
          <w:sz w:val="20"/>
          <w:szCs w:val="20"/>
          <w:color w:val="auto"/>
        </w:rPr>
      </w:pPr>
      <w:r>
        <w:rPr>
          <w:rFonts w:ascii="Arial" w:cs="Arial" w:eastAsia="Arial" w:hAnsi="Arial"/>
          <w:sz w:val="12"/>
          <w:szCs w:val="12"/>
          <w:color w:val="auto"/>
        </w:rPr>
        <w:t>The foregoing review of important factors should not be construed as exhaustive and should be read in conjunction with the other cautionary statements that are included elsewhere, including the Risk Factors section of the Registration Statement and our most recent report on Form 10-K, and any other documents of Martin Marietta and Vulcan filed with the SEC. Any forward-looking statements made in this presentation are qualified in their entirety by these cautionary statements, and there can be no assurance that the actual results or developments anticipated by us will be realized or, even if substantially realized, that they will have the expected consequences to, or effects on, us or our business or operations. Except to the extent required by applicable law, we undertake no obligation to update publicly or revise any forward-looking statement, whether as a result of new information, future developments or otherwise.</w:t>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B4996E"/>
        </w:rPr>
        <w:t>41</w:t>
      </w:r>
    </w:p>
    <w:p>
      <w:pPr>
        <w:sectPr>
          <w:pgSz w:w="11900" w:h="16838" w:orient="portrait"/>
          <w:cols w:equalWidth="0" w:num="1">
            <w:col w:w="9520"/>
          </w:cols>
          <w:pgMar w:left="1320" w:top="656" w:right="1059" w:bottom="1440" w:gutter="0" w:footer="0" w:header="0"/>
        </w:sectPr>
      </w:pPr>
    </w:p>
    <w:bookmarkStart w:id="42" w:name="page43"/>
    <w:bookmarkEnd w:id="42"/>
    <w:p>
      <w:pPr>
        <w:ind w:left="340"/>
        <w:spacing w:after="0"/>
        <w:rPr>
          <w:sz w:val="20"/>
          <w:szCs w:val="20"/>
          <w:color w:val="auto"/>
        </w:rPr>
      </w:pPr>
      <w:r>
        <w:rPr>
          <w:rFonts w:ascii="Arial" w:cs="Arial" w:eastAsia="Arial" w:hAnsi="Arial"/>
          <w:sz w:val="30"/>
          <w:szCs w:val="30"/>
          <w:color w:val="auto"/>
        </w:rPr>
        <w:drawing>
          <wp:anchor simplePos="0" relativeHeight="251657728" behindDoc="1" locked="0" layoutInCell="0" allowOverlap="1">
            <wp:simplePos x="0" y="0"/>
            <wp:positionH relativeFrom="page">
              <wp:posOffset>132715</wp:posOffset>
            </wp:positionH>
            <wp:positionV relativeFrom="page">
              <wp:posOffset>88900</wp:posOffset>
            </wp:positionV>
            <wp:extent cx="7310755" cy="522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0755" cy="5222875"/>
                    </a:xfrm>
                    <a:prstGeom prst="rect">
                      <a:avLst/>
                    </a:prstGeom>
                    <a:noFill/>
                  </pic:spPr>
                </pic:pic>
              </a:graphicData>
            </a:graphic>
          </wp:anchor>
        </w:drawing>
        <w:t>Important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0"/>
        <w:spacing w:after="0" w:line="254" w:lineRule="auto"/>
        <w:rPr>
          <w:sz w:val="20"/>
          <w:szCs w:val="20"/>
          <w:color w:val="auto"/>
        </w:rPr>
      </w:pPr>
      <w:r>
        <w:rPr>
          <w:rFonts w:ascii="Arial" w:cs="Arial" w:eastAsia="Arial" w:hAnsi="Arial"/>
          <w:sz w:val="12"/>
          <w:szCs w:val="12"/>
          <w:color w:val="auto"/>
        </w:rPr>
        <w:t>This presentation relates to the Exchange Offer by Martin Marietta to exchange each issued and outstanding share of common stock of Vulcan for 0.50 shares of Martin Marietta common stock. This presentation is for informational purposes only and does not constitute an offer to exchange, or a solicitation of an offer to exchange, shares of Vulcan common stock, nor is it a substitute for the Tender Offer Statement on Schedule TO or the preliminary prospectus/offer to exchange included in the Registration Statement on Form S-4 (the "Registration Statement") (including the letter of transmittal and related documents and as amended and supplemented from time to time, the "Exchange Offer Documents") initially filed by Martin Marietta on December 12, 2011 with the SEC. The Registration Statement has not yet become</w:t>
      </w:r>
    </w:p>
    <w:p>
      <w:pPr>
        <w:spacing w:after="0" w:line="1" w:lineRule="exact"/>
        <w:rPr>
          <w:sz w:val="20"/>
          <w:szCs w:val="20"/>
          <w:color w:val="auto"/>
        </w:rPr>
      </w:pPr>
    </w:p>
    <w:p>
      <w:pPr>
        <w:ind w:right="340"/>
        <w:spacing w:after="0" w:line="257" w:lineRule="auto"/>
        <w:rPr>
          <w:sz w:val="20"/>
          <w:szCs w:val="20"/>
          <w:color w:val="auto"/>
        </w:rPr>
      </w:pPr>
      <w:r>
        <w:rPr>
          <w:rFonts w:ascii="Arial" w:cs="Arial" w:eastAsia="Arial" w:hAnsi="Arial"/>
          <w:sz w:val="12"/>
          <w:szCs w:val="12"/>
          <w:color w:val="auto"/>
        </w:rPr>
        <w:t>effective. The Exchange Offer will be made only through the Exchange Offer Documents. INVESTORS AND SECURITY HOLDERS ARE URGED TO READ THE EXCHANGE OFFER DOCUMENTS AND ALL OTHER RELEVANT DOCUMENTS THAT MARTIN MARIETTA HAS FILED OR MAY FILE WITH THE SEC WHEN THEY BECOME AVAILABLE BECAUSE THEY CONTAIN OR WILL CONTAIN IMPORTANT INFORMATION.</w:t>
      </w:r>
    </w:p>
    <w:p>
      <w:pPr>
        <w:spacing w:after="0" w:line="222" w:lineRule="exact"/>
        <w:rPr>
          <w:sz w:val="20"/>
          <w:szCs w:val="20"/>
          <w:color w:val="auto"/>
        </w:rPr>
      </w:pPr>
    </w:p>
    <w:p>
      <w:pPr>
        <w:ind w:right="1420"/>
        <w:spacing w:after="0" w:line="255" w:lineRule="auto"/>
        <w:rPr>
          <w:sz w:val="20"/>
          <w:szCs w:val="20"/>
          <w:color w:val="auto"/>
        </w:rPr>
      </w:pPr>
      <w:r>
        <w:rPr>
          <w:rFonts w:ascii="Arial" w:cs="Arial" w:eastAsia="Arial" w:hAnsi="Arial"/>
          <w:sz w:val="12"/>
          <w:szCs w:val="12"/>
          <w:color w:val="auto"/>
        </w:rPr>
        <w:t>In connection with the solicitation of proxies for Vulcan's 2012 annual meeting of shareholders (the "Vulcan Meeting"), Martin Marietta filed a definitive proxy statement on April 25, 2012 (the "Vulcan Meeting Definitive Proxy Statement") with the SEC. The Vulcan Meeting Definitive Proxy Statement and accompanying proxy card will be mailed to the shareholders of Vulcan. Martin Marietta also intends to file a proxy statement on Schedule 14A and other relevant documents with the SEC in connection with its solicitation of proxies for a meeting of Martin Marietta shareholders (the "Martin Marietta Meeting") to approve, among other things, the issuance of shares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Martin Marietta common stock pursuant to the Exchange Offer (the "Martin Marietta Meeting Proxy Statement"). INVESTORS AND SECURITY HOLDERS ARE URGED TO READ</w:t>
      </w:r>
    </w:p>
    <w:p>
      <w:pPr>
        <w:spacing w:after="0" w:line="6"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VULCAN MEETING DEFINITIVE PROXY STATEMENT, THE MARTIN MARIETTA MEETING PROXY STATEMENT AND OTHER RELEVANT MATERIALS AS THEY BECOME AVAILABLE BECAUSE THEY WILL CONTAIN IMPORTANT INFORMATION.</w:t>
      </w:r>
    </w:p>
    <w:p>
      <w:pPr>
        <w:spacing w:after="0" w:line="283" w:lineRule="exact"/>
        <w:rPr>
          <w:sz w:val="20"/>
          <w:szCs w:val="20"/>
          <w:color w:val="auto"/>
        </w:rPr>
      </w:pPr>
    </w:p>
    <w:p>
      <w:pPr>
        <w:ind w:right="1620"/>
        <w:spacing w:after="0" w:line="265" w:lineRule="auto"/>
        <w:rPr>
          <w:sz w:val="20"/>
          <w:szCs w:val="20"/>
          <w:color w:val="auto"/>
        </w:rPr>
      </w:pPr>
      <w:r>
        <w:rPr>
          <w:rFonts w:ascii="Arial" w:cs="Arial" w:eastAsia="Arial" w:hAnsi="Arial"/>
          <w:sz w:val="12"/>
          <w:szCs w:val="12"/>
          <w:color w:val="auto"/>
        </w:rPr>
        <w:t>All documents referred to above, if filed, will be available free of charge at the SEC's website (www.sec.gov) or by directing a request to Morrow &amp; Co., LLC at (877) 757-5404 (banks and brokers may call (203) 658-9400).</w:t>
      </w:r>
    </w:p>
    <w:p>
      <w:pPr>
        <w:spacing w:after="0" w:line="272" w:lineRule="exact"/>
        <w:rPr>
          <w:sz w:val="20"/>
          <w:szCs w:val="20"/>
          <w:color w:val="auto"/>
        </w:rPr>
      </w:pPr>
    </w:p>
    <w:p>
      <w:pPr>
        <w:ind w:right="1380"/>
        <w:spacing w:after="0" w:line="257" w:lineRule="auto"/>
        <w:rPr>
          <w:sz w:val="20"/>
          <w:szCs w:val="20"/>
          <w:color w:val="auto"/>
        </w:rPr>
      </w:pPr>
      <w:r>
        <w:rPr>
          <w:rFonts w:ascii="Arial" w:cs="Arial" w:eastAsia="Arial" w:hAnsi="Arial"/>
          <w:sz w:val="12"/>
          <w:szCs w:val="12"/>
          <w:color w:val="auto"/>
        </w:rPr>
        <w:t>Martin Marietta, its directors and executive officers and the individuals nominated by Martin Marietta for election to Vulcan's Board of Directors are participants in any solicitation of proxies from Vulcan shareholders for the Vulcan Meeting or any adjournment or postponement thereof. Martin Marietta, its directors and executive officers are participants in any solicitation of proxies from Martin Marietta shareholders for the Martin Marietta Meeting or any adjournment or postponement thereof. Information about the participants, including a description of their direct and indirect interests, by security holdings or otherwise, is available in the Registration Statement, the proxy statement for Martin Marietta's 2012 annual meeting of shareholders, filed with the SEC on April 18, 2012, and the Vulcan Meeting Definitive Proxy Statement, or will be available in the Martin Marietta Meeting Proxy Statement, as applicable.</w:t>
      </w:r>
    </w:p>
    <w:p>
      <w:pPr>
        <w:spacing w:after="0" w:line="277" w:lineRule="exact"/>
        <w:rPr>
          <w:sz w:val="20"/>
          <w:szCs w:val="20"/>
          <w:color w:val="auto"/>
        </w:rPr>
      </w:pPr>
    </w:p>
    <w:p>
      <w:pPr>
        <w:ind w:right="1540"/>
        <w:spacing w:after="0" w:line="265" w:lineRule="auto"/>
        <w:rPr>
          <w:sz w:val="20"/>
          <w:szCs w:val="20"/>
          <w:color w:val="auto"/>
        </w:rPr>
      </w:pPr>
      <w:r>
        <w:rPr>
          <w:rFonts w:ascii="Arial" w:cs="Arial" w:eastAsia="Arial" w:hAnsi="Arial"/>
          <w:sz w:val="12"/>
          <w:szCs w:val="12"/>
          <w:color w:val="auto"/>
        </w:rPr>
        <w:t>Martin Marietta anticipates that some divestitures may be required in connection with the regulatory approval process. Certain information in this presentation reflects the combined operations of Martin Marietta and Vulcan, but does not reflect the impact of any divestitures that may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360"/>
        <w:spacing w:after="0"/>
        <w:rPr>
          <w:sz w:val="20"/>
          <w:szCs w:val="20"/>
          <w:color w:val="auto"/>
        </w:rPr>
      </w:pPr>
      <w:r>
        <w:rPr>
          <w:rFonts w:ascii="Arial" w:cs="Arial" w:eastAsia="Arial" w:hAnsi="Arial"/>
          <w:sz w:val="14"/>
          <w:szCs w:val="14"/>
          <w:color w:val="B4996E"/>
        </w:rPr>
        <w:t>42</w:t>
      </w:r>
    </w:p>
    <w:sectPr>
      <w:pgSz w:w="11900" w:h="16838" w:orient="portrait"/>
      <w:cols w:equalWidth="0" w:num="1">
        <w:col w:w="10440"/>
      </w:cols>
      <w:pgMar w:left="1320" w:top="656"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
      <w:numFmt w:val="bullet"/>
      <w:start w:val="1"/>
    </w:lvl>
    <w:lvl w:ilvl="1">
      <w:lvlJc w:val="left"/>
      <w:lvlText w:val="\endash "/>
      <w:numFmt w:val="bullet"/>
      <w:start w:val="1"/>
    </w:lvl>
  </w:abstractNum>
  <w:abstractNum w:abstractNumId="6">
    <w:nsid w:val="628C895D"/>
    <w:multiLevelType w:val="hybridMultilevel"/>
    <w:lvl w:ilvl="0">
      <w:lvlJc w:val="left"/>
      <w:lvlText w:val="•"/>
      <w:numFmt w:val="bullet"/>
      <w:start w:val="1"/>
    </w:lvl>
    <w:lvl w:ilvl="1">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lvl w:ilvl="1">
      <w:lvlJc w:val="left"/>
      <w:lvlText w:val="\endash "/>
      <w:numFmt w:val="bullet"/>
      <w:start w:val="1"/>
    </w:lvl>
  </w:abstractNum>
  <w:abstractNum w:abstractNumId="10">
    <w:nsid w:val="2D1D5AE9"/>
    <w:multiLevelType w:val="hybridMultilevel"/>
    <w:lvl w:ilvl="0">
      <w:lvlJc w:val="left"/>
      <w:lvlText w:val="1"/>
      <w:numFmt w:val="bullet"/>
      <w:start w:val="1"/>
    </w:lvl>
  </w:abstractNum>
  <w:abstractNum w:abstractNumId="11">
    <w:nsid w:val="6763845E"/>
    <w:multiLevelType w:val="hybridMultilevel"/>
    <w:lvl w:ilvl="0">
      <w:lvlJc w:val="left"/>
      <w:lvlText w:val="2"/>
      <w:numFmt w:val="bullet"/>
      <w:start w:val="1"/>
    </w:lvl>
  </w:abstractNum>
  <w:abstractNum w:abstractNumId="12">
    <w:nsid w:val="75A2A8D4"/>
    <w:multiLevelType w:val="hybridMultilevel"/>
    <w:lvl w:ilvl="0">
      <w:lvlJc w:val="left"/>
      <w:lvlText w:val="3"/>
      <w:numFmt w:val="bullet"/>
      <w:start w:val="1"/>
    </w:lvl>
  </w:abstractNum>
  <w:abstractNum w:abstractNumId="13">
    <w:nsid w:val="8EDBDAB"/>
    <w:multiLevelType w:val="hybridMultilevel"/>
    <w:lvl w:ilvl="0">
      <w:lvlJc w:val="left"/>
      <w:lvlText w:val="4"/>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lvl w:ilvl="1">
      <w:lvlJc w:val="left"/>
      <w:lvlText w:val="•"/>
      <w:numFmt w:val="bullet"/>
      <w:start w:val="1"/>
    </w:lvl>
  </w:abstractNum>
  <w:abstractNum w:abstractNumId="17">
    <w:nsid w:val="189A769B"/>
    <w:multiLevelType w:val="hybridMultilevel"/>
    <w:lvl w:ilvl="0">
      <w:lvlJc w:val="left"/>
      <w:lvlText w:val="3"/>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3"/>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4"/>
      <w:numFmt w:val="bullet"/>
      <w:start w:val="1"/>
    </w:lvl>
  </w:abstractNum>
  <w:abstractNum w:abstractNumId="22">
    <w:nsid w:val="2901D82"/>
    <w:multiLevelType w:val="hybridMultilevel"/>
    <w:lvl w:ilvl="0">
      <w:lvlJc w:val="left"/>
      <w:lvlText w:val="•"/>
      <w:numFmt w:val="bullet"/>
      <w:start w:val="1"/>
    </w:lvl>
    <w:lvl w:ilvl="1">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lvl w:ilvl="1">
      <w:lvlJc w:val="left"/>
      <w:lvlText w:val="•"/>
      <w:numFmt w:val="bullet"/>
      <w:start w:val="1"/>
    </w:lvl>
  </w:abstractNum>
  <w:abstractNum w:abstractNumId="27">
    <w:nsid w:val="737B8DDC"/>
    <w:multiLevelType w:val="hybridMultilevel"/>
    <w:lvl w:ilvl="0">
      <w:lvlJc w:val="left"/>
      <w:lvlText w:val="•"/>
      <w:numFmt w:val="bullet"/>
      <w:start w:val="1"/>
    </w:lvl>
    <w:lvl w:ilvl="1">
      <w:lvlJc w:val="left"/>
      <w:lvlText w:val="\endash "/>
      <w:numFmt w:val="bullet"/>
      <w:start w:val="1"/>
    </w:lvl>
  </w:abstractNum>
  <w:abstractNum w:abstractNumId="28">
    <w:nsid w:val="6CEAF087"/>
    <w:multiLevelType w:val="hybridMultilevel"/>
    <w:lvl w:ilvl="0">
      <w:lvlJc w:val="left"/>
      <w:lvlText w:val="\endash "/>
      <w:numFmt w:val="bullet"/>
      <w:start w:val="1"/>
    </w:lvl>
  </w:abstractNum>
  <w:abstractNum w:abstractNumId="29">
    <w:nsid w:val="22221A70"/>
    <w:multiLevelType w:val="hybridMultilevel"/>
    <w:lvl w:ilvl="0">
      <w:lvlJc w:val="left"/>
      <w:lvlText w:val="\endash "/>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2019-12-20T20:12:22Z</dcterms:created>
  <dcterms:modified xsi:type="dcterms:W3CDTF">2019-12-20T20:12:22Z</dcterms:modified>
</cp:coreProperties>
</file>