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43815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September 30, 2023</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3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8" w:lineRule="exact"/>
        <w:rPr>
          <w:sz w:val="24"/>
          <w:szCs w:val="24"/>
          <w:color w:val="auto"/>
        </w:rPr>
      </w:pPr>
    </w:p>
    <w:p>
      <w:pPr>
        <w:ind w:left="3280"/>
        <w:spacing w:after="0"/>
        <w:tabs>
          <w:tab w:leader="none" w:pos="7680" w:val="left"/>
        </w:tabs>
        <w:rPr>
          <w:sz w:val="20"/>
          <w:szCs w:val="20"/>
          <w:color w:val="auto"/>
        </w:rPr>
      </w:pPr>
      <w:r>
        <w:rPr>
          <w:rFonts w:ascii="Arial" w:cs="Arial" w:eastAsia="Arial" w:hAnsi="Arial"/>
          <w:sz w:val="20"/>
          <w:szCs w:val="20"/>
          <w:b w:val="1"/>
          <w:bCs w:val="1"/>
          <w:color w:val="auto"/>
        </w:rPr>
        <w:t>For the transiton period from</w:t>
      </w:r>
      <w:r>
        <w:rPr>
          <w:sz w:val="20"/>
          <w:szCs w:val="20"/>
          <w:color w:val="auto"/>
        </w:rPr>
        <w:tab/>
      </w:r>
      <w:r>
        <w:rPr>
          <w:rFonts w:ascii="Arial" w:cs="Arial" w:eastAsia="Arial" w:hAnsi="Arial"/>
          <w:sz w:val="19"/>
          <w:szCs w:val="19"/>
          <w:b w:val="1"/>
          <w:bCs w:val="1"/>
          <w:color w:val="auto"/>
        </w:rPr>
        <w:t>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tbl>
      <w:tblPr>
        <w:tblLayout w:type="fixed"/>
        <w:tblInd w:w="1260" w:type="dxa"/>
        <w:tblCellMar>
          <w:top w:w="0" w:type="dxa"/>
          <w:left w:w="0" w:type="dxa"/>
          <w:bottom w:w="0" w:type="dxa"/>
          <w:right w:w="0" w:type="dxa"/>
        </w:tblCellMar>
      </w:tblPr>
      <w:tr>
        <w:trPr>
          <w:trHeight w:val="252"/>
        </w:trPr>
        <w:tc>
          <w:tcPr>
            <w:tcW w:w="4700" w:type="dxa"/>
            <w:vAlign w:val="bottom"/>
          </w:tcPr>
          <w:p>
            <w:pPr>
              <w:jc w:val="center"/>
              <w:ind w:right="1499"/>
              <w:spacing w:after="0"/>
              <w:rPr>
                <w:sz w:val="20"/>
                <w:szCs w:val="20"/>
                <w:color w:val="auto"/>
              </w:rPr>
            </w:pPr>
            <w:r>
              <w:rPr>
                <w:rFonts w:ascii="Arial" w:cs="Arial" w:eastAsia="Arial" w:hAnsi="Arial"/>
                <w:sz w:val="20"/>
                <w:szCs w:val="20"/>
                <w:b w:val="1"/>
                <w:bCs w:val="1"/>
                <w:color w:val="auto"/>
                <w:w w:val="86"/>
              </w:rPr>
              <w:t>North Carolina</w:t>
            </w:r>
          </w:p>
        </w:tc>
        <w:tc>
          <w:tcPr>
            <w:tcW w:w="3380" w:type="dxa"/>
            <w:vAlign w:val="bottom"/>
          </w:tcPr>
          <w:p>
            <w:pPr>
              <w:jc w:val="right"/>
              <w:ind w:right="339"/>
              <w:spacing w:after="0"/>
              <w:rPr>
                <w:sz w:val="20"/>
                <w:szCs w:val="20"/>
                <w:color w:val="auto"/>
              </w:rPr>
            </w:pPr>
            <w:r>
              <w:rPr>
                <w:rFonts w:ascii="Arial" w:cs="Arial" w:eastAsia="Arial" w:hAnsi="Arial"/>
                <w:sz w:val="20"/>
                <w:szCs w:val="20"/>
                <w:b w:val="1"/>
                <w:bCs w:val="1"/>
                <w:color w:val="auto"/>
              </w:rPr>
              <w:t>56-1848578</w:t>
            </w:r>
          </w:p>
        </w:tc>
      </w:tr>
      <w:tr>
        <w:trPr>
          <w:trHeight w:val="193"/>
        </w:trPr>
        <w:tc>
          <w:tcPr>
            <w:tcW w:w="4700" w:type="dxa"/>
            <w:vAlign w:val="bottom"/>
          </w:tcPr>
          <w:p>
            <w:pPr>
              <w:jc w:val="center"/>
              <w:ind w:right="1499"/>
              <w:spacing w:after="0"/>
              <w:rPr>
                <w:sz w:val="20"/>
                <w:szCs w:val="20"/>
                <w:color w:val="auto"/>
              </w:rPr>
            </w:pPr>
            <w:r>
              <w:rPr>
                <w:rFonts w:ascii="Arial" w:cs="Arial" w:eastAsia="Arial" w:hAnsi="Arial"/>
                <w:sz w:val="13"/>
                <w:szCs w:val="13"/>
                <w:b w:val="1"/>
                <w:bCs w:val="1"/>
                <w:color w:val="auto"/>
                <w:w w:val="87"/>
              </w:rPr>
              <w:t>(State or other jurisdicton of incorporaton or organizaton)</w:t>
            </w:r>
          </w:p>
        </w:tc>
        <w:tc>
          <w:tcPr>
            <w:tcW w:w="3380" w:type="dxa"/>
            <w:vAlign w:val="bottom"/>
          </w:tcPr>
          <w:p>
            <w:pPr>
              <w:jc w:val="center"/>
              <w:ind w:left="1479"/>
              <w:spacing w:after="0"/>
              <w:rPr>
                <w:sz w:val="20"/>
                <w:szCs w:val="20"/>
                <w:color w:val="auto"/>
              </w:rPr>
            </w:pPr>
            <w:r>
              <w:rPr>
                <w:rFonts w:ascii="Arial" w:cs="Arial" w:eastAsia="Arial" w:hAnsi="Arial"/>
                <w:sz w:val="13"/>
                <w:szCs w:val="13"/>
                <w:b w:val="1"/>
                <w:bCs w:val="1"/>
                <w:color w:val="auto"/>
                <w:w w:val="89"/>
              </w:rPr>
              <w:t>(I.R.S. Employer Identfcaton No.)</w:t>
            </w:r>
          </w:p>
        </w:tc>
      </w:tr>
      <w:tr>
        <w:trPr>
          <w:trHeight w:val="266"/>
        </w:trPr>
        <w:tc>
          <w:tcPr>
            <w:tcW w:w="4700" w:type="dxa"/>
            <w:vAlign w:val="bottom"/>
          </w:tcPr>
          <w:p>
            <w:pPr>
              <w:jc w:val="center"/>
              <w:ind w:right="1499"/>
              <w:spacing w:after="0"/>
              <w:rPr>
                <w:sz w:val="20"/>
                <w:szCs w:val="20"/>
                <w:color w:val="auto"/>
              </w:rPr>
            </w:pPr>
            <w:r>
              <w:rPr>
                <w:rFonts w:ascii="Arial" w:cs="Arial" w:eastAsia="Arial" w:hAnsi="Arial"/>
                <w:sz w:val="20"/>
                <w:szCs w:val="20"/>
                <w:b w:val="1"/>
                <w:bCs w:val="1"/>
                <w:color w:val="auto"/>
                <w:w w:val="85"/>
              </w:rPr>
              <w:t>4123 Parklake Avenue, Raleigh, NC</w:t>
            </w:r>
          </w:p>
        </w:tc>
        <w:tc>
          <w:tcPr>
            <w:tcW w:w="3380" w:type="dxa"/>
            <w:vAlign w:val="bottom"/>
          </w:tcPr>
          <w:p>
            <w:pPr>
              <w:jc w:val="right"/>
              <w:ind w:right="579"/>
              <w:spacing w:after="0"/>
              <w:rPr>
                <w:sz w:val="20"/>
                <w:szCs w:val="20"/>
                <w:color w:val="auto"/>
              </w:rPr>
            </w:pPr>
            <w:r>
              <w:rPr>
                <w:rFonts w:ascii="Arial" w:cs="Arial" w:eastAsia="Arial" w:hAnsi="Arial"/>
                <w:sz w:val="20"/>
                <w:szCs w:val="20"/>
                <w:b w:val="1"/>
                <w:bCs w:val="1"/>
                <w:color w:val="auto"/>
              </w:rPr>
              <w:t>27612</w:t>
            </w:r>
          </w:p>
        </w:tc>
      </w:tr>
      <w:tr>
        <w:trPr>
          <w:trHeight w:val="198"/>
        </w:trPr>
        <w:tc>
          <w:tcPr>
            <w:tcW w:w="4700" w:type="dxa"/>
            <w:vAlign w:val="bottom"/>
          </w:tcPr>
          <w:p>
            <w:pPr>
              <w:jc w:val="center"/>
              <w:ind w:right="1499"/>
              <w:spacing w:after="0"/>
              <w:rPr>
                <w:sz w:val="20"/>
                <w:szCs w:val="20"/>
                <w:color w:val="auto"/>
              </w:rPr>
            </w:pPr>
            <w:r>
              <w:rPr>
                <w:rFonts w:ascii="Arial" w:cs="Arial" w:eastAsia="Arial" w:hAnsi="Arial"/>
                <w:sz w:val="13"/>
                <w:szCs w:val="13"/>
                <w:b w:val="1"/>
                <w:bCs w:val="1"/>
                <w:color w:val="auto"/>
                <w:w w:val="86"/>
              </w:rPr>
              <w:t>(Address of principal executve ofces)</w:t>
            </w:r>
          </w:p>
        </w:tc>
        <w:tc>
          <w:tcPr>
            <w:tcW w:w="3380" w:type="dxa"/>
            <w:vAlign w:val="bottom"/>
          </w:tcPr>
          <w:p>
            <w:pPr>
              <w:jc w:val="center"/>
              <w:ind w:left="1479"/>
              <w:spacing w:after="0"/>
              <w:rPr>
                <w:sz w:val="20"/>
                <w:szCs w:val="20"/>
                <w:color w:val="auto"/>
              </w:rPr>
            </w:pPr>
            <w:r>
              <w:rPr>
                <w:rFonts w:ascii="Arial" w:cs="Arial" w:eastAsia="Arial" w:hAnsi="Arial"/>
                <w:sz w:val="13"/>
                <w:szCs w:val="13"/>
                <w:b w:val="1"/>
                <w:bCs w:val="1"/>
                <w:color w:val="auto"/>
                <w:w w:val="8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Securites registered pursuant to Secton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Symbol(s)</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30"/>
        </w:trPr>
        <w:tc>
          <w:tcPr>
            <w:tcW w:w="42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280" w:type="dxa"/>
            <w:vAlign w:val="bottom"/>
          </w:tcPr>
          <w:p>
            <w:pPr>
              <w:jc w:val="center"/>
              <w:spacing w:after="0"/>
              <w:rPr>
                <w:sz w:val="20"/>
                <w:szCs w:val="20"/>
                <w:color w:val="auto"/>
              </w:rPr>
            </w:pPr>
            <w:r>
              <w:rPr>
                <w:rFonts w:ascii="Arial" w:cs="Arial" w:eastAsia="Arial" w:hAnsi="Arial"/>
                <w:sz w:val="16"/>
                <w:szCs w:val="16"/>
                <w:color w:val="auto"/>
                <w:w w:val="89"/>
              </w:rPr>
              <w:t>Common Stock (Par Value $0.01)</w:t>
            </w:r>
          </w:p>
        </w:tc>
        <w:tc>
          <w:tcPr>
            <w:tcW w:w="120" w:type="dxa"/>
            <w:vAlign w:val="bottom"/>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MLM</w:t>
            </w:r>
          </w:p>
        </w:tc>
        <w:tc>
          <w:tcPr>
            <w:tcW w:w="120" w:type="dxa"/>
            <w:vAlign w:val="bottom"/>
            <w:vMerge w:val="continue"/>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87"/>
              </w:rPr>
              <w:t>The New York Stock Exchange</w:t>
            </w:r>
          </w:p>
        </w:tc>
        <w:tc>
          <w:tcPr>
            <w:tcW w:w="0" w:type="dxa"/>
            <w:vAlign w:val="bottom"/>
          </w:tcPr>
          <w:p>
            <w:pPr>
              <w:spacing w:after="0"/>
              <w:rPr>
                <w:sz w:val="1"/>
                <w:szCs w:val="1"/>
                <w:color w:val="auto"/>
              </w:rPr>
            </w:pPr>
          </w:p>
        </w:tc>
      </w:tr>
    </w:tbl>
    <w:p>
      <w:pPr>
        <w:spacing w:after="0" w:line="105" w:lineRule="exact"/>
        <w:rPr>
          <w:sz w:val="24"/>
          <w:szCs w:val="24"/>
          <w:color w:val="auto"/>
        </w:rPr>
      </w:pPr>
    </w:p>
    <w:p>
      <w:pPr>
        <w:jc w:val="both"/>
        <w:ind w:firstLine="599"/>
        <w:spacing w:after="0" w:line="219" w:lineRule="exact"/>
        <w:rPr>
          <w:sz w:val="20"/>
          <w:szCs w:val="20"/>
          <w:color w:val="auto"/>
        </w:rPr>
      </w:pPr>
      <w:r>
        <w:rPr>
          <w:rFonts w:ascii="Arial" w:cs="Arial" w:eastAsia="Arial" w:hAnsi="Arial"/>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20" w:firstLine="599"/>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jc w:val="both"/>
        <w:ind w:right="20" w:firstLine="599"/>
        <w:spacing w:after="0" w:line="276" w:lineRule="auto"/>
        <w:rPr>
          <w:sz w:val="20"/>
          <w:szCs w:val="20"/>
          <w:color w:val="auto"/>
        </w:rPr>
      </w:pPr>
      <w:r>
        <w:rPr>
          <w:rFonts w:ascii="Arial" w:cs="Arial" w:eastAsia="Arial" w:hAnsi="Arial"/>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Non-accelerated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59" w:lineRule="exact"/>
        <w:rPr>
          <w:sz w:val="24"/>
          <w:szCs w:val="24"/>
          <w:color w:val="auto"/>
        </w:rPr>
      </w:pPr>
    </w:p>
    <w:p>
      <w:pPr>
        <w:ind w:right="20" w:firstLine="599"/>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120"/>
        <w:spacing w:after="0" w:line="268" w:lineRule="exact"/>
        <w:rPr>
          <w:sz w:val="20"/>
          <w:szCs w:val="20"/>
          <w:color w:val="auto"/>
        </w:rPr>
      </w:pPr>
      <w:r>
        <w:rPr>
          <w:rFonts w:ascii="Arial" w:cs="Arial" w:eastAsia="Arial" w:hAnsi="Arial"/>
          <w:sz w:val="15"/>
          <w:szCs w:val="15"/>
          <w:color w:val="auto"/>
        </w:rPr>
        <w:t xml:space="preserve">Indicate by check mark whether the registrant is a shell company (as defned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practcable date.</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as of October 27, 2023</w:t>
            </w:r>
          </w:p>
        </w:tc>
        <w:tc>
          <w:tcPr>
            <w:tcW w:w="0" w:type="dxa"/>
            <w:vAlign w:val="bottom"/>
          </w:tcPr>
          <w:p>
            <w:pPr>
              <w:spacing w:after="0"/>
              <w:rPr>
                <w:sz w:val="1"/>
                <w:szCs w:val="1"/>
                <w:color w:val="auto"/>
              </w:rPr>
            </w:pPr>
          </w:p>
        </w:tc>
      </w:tr>
      <w:tr>
        <w:trPr>
          <w:trHeight w:val="30"/>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520" w:type="dxa"/>
            <w:vAlign w:val="bottom"/>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20" w:type="dxa"/>
            <w:vAlign w:val="bottom"/>
            <w:vMerge w:val="continue"/>
          </w:tcPr>
          <w:p>
            <w:pPr>
              <w:spacing w:after="0"/>
              <w:rPr>
                <w:sz w:val="17"/>
                <w:szCs w:val="17"/>
                <w:color w:val="auto"/>
              </w:rPr>
            </w:pPr>
          </w:p>
        </w:tc>
        <w:tc>
          <w:tcPr>
            <w:tcW w:w="5500" w:type="dxa"/>
            <w:vAlign w:val="bottom"/>
          </w:tcPr>
          <w:p>
            <w:pPr>
              <w:jc w:val="right"/>
              <w:ind w:right="2304"/>
              <w:spacing w:after="0"/>
              <w:rPr>
                <w:sz w:val="20"/>
                <w:szCs w:val="20"/>
                <w:color w:val="auto"/>
              </w:rPr>
            </w:pPr>
            <w:r>
              <w:rPr>
                <w:rFonts w:ascii="Arial" w:cs="Arial" w:eastAsia="Arial" w:hAnsi="Arial"/>
                <w:sz w:val="16"/>
                <w:szCs w:val="16"/>
                <w:color w:val="auto"/>
              </w:rPr>
              <w:t>61,807,161</w:t>
            </w:r>
          </w:p>
        </w:tc>
        <w:tc>
          <w:tcPr>
            <w:tcW w:w="0" w:type="dxa"/>
            <w:vAlign w:val="bottom"/>
          </w:tcPr>
          <w:p>
            <w:pPr>
              <w:spacing w:after="0"/>
              <w:rPr>
                <w:sz w:val="1"/>
                <w:szCs w:val="1"/>
                <w:color w:val="auto"/>
              </w:rPr>
            </w:pPr>
          </w:p>
        </w:tc>
      </w:tr>
      <w:tr>
        <w:trPr>
          <w:trHeight w:val="708"/>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 the Quarter Ended September 30, 2023</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44"/>
        </w:trPr>
        <w:tc>
          <w:tcPr>
            <w:tcW w:w="10660" w:type="dxa"/>
            <w:vAlign w:val="bottom"/>
            <w:gridSpan w:val="20"/>
            <w:vMerge w:val="restart"/>
          </w:tcPr>
          <w:p>
            <w:pPr>
              <w:spacing w:after="0"/>
              <w:rPr>
                <w:sz w:val="20"/>
                <w:szCs w:val="20"/>
                <w:color w:val="auto"/>
              </w:rPr>
            </w:pPr>
            <w:r>
              <w:rPr>
                <w:rFonts w:ascii="Arial" w:cs="Arial" w:eastAsia="Arial" w:hAnsi="Arial"/>
                <w:sz w:val="20"/>
                <w:szCs w:val="20"/>
                <w:color w:val="auto"/>
              </w:rPr>
              <w:t>Part I. Financial Informaton:</w:t>
            </w: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0660" w:type="dxa"/>
            <w:vAlign w:val="bottom"/>
            <w:gridSpan w:val="20"/>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Arial" w:cs="Arial" w:eastAsia="Arial" w:hAnsi="Arial"/>
                <w:sz w:val="20"/>
                <w:szCs w:val="20"/>
                <w:color w:val="0000FF"/>
              </w:rPr>
              <w:t>Consolidated Balance Sheets – September 30, 2023 and December 31, 2022</w:t>
            </w: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Arial" w:cs="Arial" w:eastAsia="Arial" w:hAnsi="Arial"/>
                <w:sz w:val="20"/>
                <w:szCs w:val="20"/>
                <w:color w:val="0000FF"/>
                <w:w w:val="90"/>
              </w:rPr>
              <w:t>Consolidated Statements of Earnings and Comprehensive Earnings – Three and Nine Months Ended September 30, 2023 and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 w:type="dxa"/>
            <w:vAlign w:val="bottom"/>
            <w:gridSpan w:val="2"/>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gridSpan w:val="2"/>
          </w:tcPr>
          <w:p>
            <w:pPr>
              <w:jc w:val="right"/>
              <w:ind w:right="40"/>
              <w:spacing w:after="0" w:line="223" w:lineRule="exact"/>
              <w:rPr>
                <w:sz w:val="20"/>
                <w:szCs w:val="20"/>
                <w:color w:val="auto"/>
              </w:rPr>
            </w:pPr>
            <w:r>
              <w:rPr>
                <w:rFonts w:ascii="Arial" w:cs="Arial" w:eastAsia="Arial" w:hAnsi="Arial"/>
                <w:sz w:val="20"/>
                <w:szCs w:val="20"/>
                <w:color w:val="0000FF"/>
                <w:w w:val="85"/>
              </w:rPr>
              <w:t>2022</w:t>
            </w:r>
          </w:p>
        </w:tc>
        <w:tc>
          <w:tcPr>
            <w:tcW w:w="36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14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960" w:type="dxa"/>
            <w:vAlign w:val="bottom"/>
            <w:tcBorders>
              <w:top w:val="single" w:sz="8" w:color="0000FF"/>
            </w:tcBorders>
          </w:tcPr>
          <w:p>
            <w:pPr>
              <w:spacing w:after="0"/>
              <w:rPr>
                <w:sz w:val="19"/>
                <w:szCs w:val="19"/>
                <w:color w:val="auto"/>
              </w:rPr>
            </w:pPr>
          </w:p>
        </w:tc>
        <w:tc>
          <w:tcPr>
            <w:tcW w:w="130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Arial" w:cs="Arial" w:eastAsia="Arial" w:hAnsi="Arial"/>
                <w:sz w:val="20"/>
                <w:szCs w:val="20"/>
                <w:color w:val="0000FF"/>
              </w:rPr>
              <w:t>Consolidated Statements of Cash Flows – Nine Months Ended September 30, 2023 and 2022</w:t>
            </w: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Arial" w:cs="Arial" w:eastAsia="Arial" w:hAnsi="Arial"/>
                <w:sz w:val="20"/>
                <w:szCs w:val="20"/>
                <w:color w:val="0000FF"/>
              </w:rPr>
              <w:t>Consolidated Statements of Total Equity – Three and Nine Months Ended September 30, 2023 and 2022</w:t>
            </w: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Arial" w:cs="Arial" w:eastAsia="Arial" w:hAnsi="Arial"/>
                <w:sz w:val="20"/>
                <w:szCs w:val="20"/>
                <w:color w:val="0000FF"/>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2. Management’s Discussion and Analysis of Financial Conditon and Results of Operatons</w:t>
            </w:r>
          </w:p>
        </w:tc>
        <w:tc>
          <w:tcPr>
            <w:tcW w:w="5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3. Quanttatve and Qualitatve Disclosures About Market Risk</w:t>
            </w:r>
          </w:p>
        </w:tc>
        <w:tc>
          <w:tcPr>
            <w:tcW w:w="5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4. Controls and Procedures</w:t>
            </w:r>
          </w:p>
        </w:tc>
        <w:tc>
          <w:tcPr>
            <w:tcW w:w="5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0660" w:type="dxa"/>
            <w:vAlign w:val="bottom"/>
            <w:gridSpan w:val="20"/>
          </w:tcPr>
          <w:p>
            <w:pPr>
              <w:spacing w:after="0"/>
              <w:rPr>
                <w:sz w:val="20"/>
                <w:szCs w:val="20"/>
                <w:color w:val="auto"/>
              </w:rPr>
            </w:pPr>
            <w:r>
              <w:rPr>
                <w:rFonts w:ascii="Arial" w:cs="Arial" w:eastAsia="Arial" w:hAnsi="Arial"/>
                <w:sz w:val="20"/>
                <w:szCs w:val="20"/>
                <w:color w:val="auto"/>
              </w:rPr>
              <w:t>Part II. Other Informaton: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1. Legal Proceedings</w:t>
            </w:r>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1A. Risk Factors</w:t>
            </w:r>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2. Unregistered Sales of Equity Securites and Use of Proceeds</w:t>
            </w:r>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4. Mine Safety Disclosures</w:t>
            </w:r>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94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5. Other Informaton</w:t>
            </w:r>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Arial" w:cs="Arial" w:eastAsia="Arial" w:hAnsi="Arial"/>
                <w:sz w:val="20"/>
                <w:szCs w:val="20"/>
                <w:color w:val="0000FF"/>
              </w:rPr>
              <w:t>Item 6. Exhibits</w:t>
            </w: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20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60" w:type="dxa"/>
            <w:vAlign w:val="bottom"/>
            <w:gridSpan w:val="20"/>
          </w:tcPr>
          <w:p>
            <w:pPr>
              <w:spacing w:after="0"/>
              <w:rPr>
                <w:sz w:val="20"/>
                <w:szCs w:val="20"/>
                <w:color w:val="auto"/>
              </w:rPr>
            </w:pPr>
            <w:r>
              <w:rPr>
                <w:rFonts w:ascii="Arial" w:cs="Arial" w:eastAsia="Arial" w:hAnsi="Arial"/>
                <w:sz w:val="20"/>
                <w:szCs w:val="20"/>
                <w:color w:val="0000FF"/>
              </w:rPr>
              <w:t>Signatures</w:t>
            </w: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7"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0"/>
          <w:szCs w:val="20"/>
          <w:color w:val="auto"/>
        </w:rPr>
        <w:t>PART I.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Item 1.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5"/>
                <w:szCs w:val="15"/>
                <w:color w:val="auto"/>
              </w:rPr>
              <w:t>September 30,</w:t>
            </w:r>
          </w:p>
        </w:tc>
        <w:tc>
          <w:tcPr>
            <w:tcW w:w="24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4"/>
              <w:spacing w:after="0"/>
              <w:rPr>
                <w:sz w:val="20"/>
                <w:szCs w:val="20"/>
                <w:color w:val="auto"/>
              </w:rPr>
            </w:pPr>
            <w:r>
              <w:rPr>
                <w:rFonts w:ascii="Arial" w:cs="Arial" w:eastAsia="Arial" w:hAnsi="Arial"/>
                <w:sz w:val="15"/>
                <w:szCs w:val="15"/>
                <w:color w:val="auto"/>
              </w:rPr>
              <w:t>2023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604"/>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2"/>
                <w:szCs w:val="12"/>
                <w:i w:val="1"/>
                <w:iCs w:val="1"/>
                <w:color w:val="auto"/>
                <w:w w:val="74"/>
              </w:rPr>
              <w:t>Share</w:t>
            </w:r>
          </w:p>
        </w:tc>
        <w:tc>
          <w:tcPr>
            <w:tcW w:w="1660" w:type="dxa"/>
            <w:vAlign w:val="bottom"/>
            <w:tcBorders>
              <w:bottom w:val="single" w:sz="8" w:color="auto"/>
            </w:tcBorders>
            <w:gridSpan w:val="2"/>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i w:val="1"/>
                <w:iCs w:val="1"/>
                <w:color w:val="auto"/>
              </w:rPr>
              <w:t>(In Millions, Except</w:t>
            </w:r>
          </w:p>
        </w:tc>
        <w:tc>
          <w:tcPr>
            <w:tcW w:w="300" w:type="dxa"/>
            <w:vAlign w:val="bottom"/>
            <w:vMerge w:val="continue"/>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i w:val="1"/>
                <w:iCs w:val="1"/>
                <w:color w:val="auto"/>
              </w:rPr>
              <w:t>And Par Value Data)</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and cash equivalents</w:t>
            </w:r>
          </w:p>
        </w:tc>
        <w:tc>
          <w:tcPr>
            <w:tcW w:w="240" w:type="dxa"/>
            <w:vAlign w:val="bottom"/>
            <w:tcBorders>
              <w:bottom w:val="single" w:sz="8" w:color="CFF0FC"/>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647.6</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358.0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Restricted investments (to satsfy discharged debt and related interest)</w:t>
            </w:r>
          </w:p>
        </w:tc>
        <w:tc>
          <w:tcPr>
            <w:tcW w:w="24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704.6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1,047.5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785.9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Inventories, net</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993.1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873.7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Current assets held for sale</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45.8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current assets</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83.4</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2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Total Current Assets</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2,817.4</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2,876.9</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Property, plant and equipment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11,010.8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10,661.0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Allowances for depreciaton, depleton and amortzaton</w:t>
            </w:r>
          </w:p>
        </w:tc>
        <w:tc>
          <w:tcPr>
            <w:tcW w:w="24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(4,658.1 )</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(4,344.3 )</w:t>
            </w:r>
          </w:p>
        </w:tc>
        <w:tc>
          <w:tcPr>
            <w:tcW w:w="0" w:type="dxa"/>
            <w:vAlign w:val="bottom"/>
          </w:tcPr>
          <w:p>
            <w:pPr>
              <w:spacing w:after="0"/>
              <w:rPr>
                <w:sz w:val="1"/>
                <w:szCs w:val="1"/>
                <w:color w:val="auto"/>
              </w:rPr>
            </w:pPr>
          </w:p>
        </w:tc>
      </w:tr>
      <w:tr>
        <w:trPr>
          <w:trHeight w:val="186"/>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Net property, plant and equipment</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6,352.7</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6,316.7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Goodwill</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3,649.5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3,649.5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Other intangibles, net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826.8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847.8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Operatng lease right-of-use assets, net</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374.9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383.5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Noncurrent assets held for sale</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307.3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372.5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589.2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546.7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Total Assets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14,917.8</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14,993.6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Current Liabilites:</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342.2</w:t>
            </w:r>
          </w:p>
        </w:tc>
        <w:tc>
          <w:tcPr>
            <w:tcW w:w="30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385.0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Accrued salaries, benefts and payroll taxes</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84.5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Accrued other taxes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Accrued interest</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40.0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Current maturites of long-term debt, including discharged debt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399.5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699.1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Current operatng lease liabilites</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51.5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Current liabilites held for sale</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current liabilites</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145.2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2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Total Current Liabilites</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1,141.1</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1,445.6</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3,944.7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4,340.9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Deferred income taxes, net</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913.5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914.3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Noncurrent operatng lease liabilites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330.0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Noncurrent liabilites held for sale</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Noncurrent asset retrement obligatons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378.4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377.7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noncurrent liabilites</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385.2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384.6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2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Total Liabilites</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7,113.0</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7,820.8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Equity:</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32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Common stock, par value $0.01 per share (61,807,161 shares and 62,102,353 shares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outstanding at September 30, 2023 and December 31, 2022, respectvely)</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Preferred stock, par value $0.01 per share</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Additonal paid-in capital</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3,511.2</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3,489.0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6"/>
                <w:szCs w:val="16"/>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(35.3 )</w:t>
            </w:r>
          </w:p>
        </w:tc>
        <w:tc>
          <w:tcPr>
            <w:tcW w:w="240" w:type="dxa"/>
            <w:vAlign w:val="bottom"/>
          </w:tcPr>
          <w:p>
            <w:pPr>
              <w:spacing w:after="0"/>
              <w:rPr>
                <w:sz w:val="16"/>
                <w:szCs w:val="16"/>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(38.5 )</w:t>
            </w: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Retained earnings</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4,326.0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3,719.4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2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Total Shareholders' Equity</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7,802.5</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7,170.5</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Noncontrolling interests</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2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Total Equity</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7,804.8</w:t>
            </w:r>
          </w:p>
        </w:tc>
        <w:tc>
          <w:tcPr>
            <w:tcW w:w="3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7,172.8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Total Liabilites and Equity</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14,917.8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14,993.6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-6017260</wp:posOffset>
            </wp:positionV>
            <wp:extent cx="7683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-6017260</wp:posOffset>
            </wp:positionV>
            <wp:extent cx="685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-5451475</wp:posOffset>
            </wp:positionV>
            <wp:extent cx="7683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-5451475</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-4619625</wp:posOffset>
            </wp:positionV>
            <wp:extent cx="7683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-4619625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-2939415</wp:posOffset>
            </wp:positionV>
            <wp:extent cx="7683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-2939415</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7683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-1833880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-599440</wp:posOffset>
            </wp:positionV>
            <wp:extent cx="7683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-599440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768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-316865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17"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500"/>
              <w:spacing w:after="0"/>
              <w:rPr>
                <w:sz w:val="20"/>
                <w:szCs w:val="20"/>
                <w:color w:val="auto"/>
              </w:rPr>
            </w:pPr>
            <w:r>
              <w:rPr>
                <w:rFonts w:ascii="Arial" w:cs="Arial" w:eastAsia="Arial" w:hAnsi="Arial"/>
                <w:sz w:val="17"/>
                <w:szCs w:val="17"/>
                <w:color w:val="auto"/>
                <w:w w:val="91"/>
              </w:rPr>
              <w:t>Three Months Ended</w:t>
            </w:r>
          </w:p>
        </w:tc>
        <w:tc>
          <w:tcPr>
            <w:tcW w:w="2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7"/>
                <w:szCs w:val="17"/>
                <w:color w:val="auto"/>
                <w:w w:val="92"/>
              </w:rPr>
              <w:t>Nine Months Ended</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3"/>
          </w:tcPr>
          <w:p>
            <w:pPr>
              <w:jc w:val="center"/>
              <w:ind w:left="475"/>
              <w:spacing w:after="0"/>
              <w:rPr>
                <w:sz w:val="20"/>
                <w:szCs w:val="20"/>
                <w:color w:val="auto"/>
              </w:rPr>
            </w:pPr>
            <w:r>
              <w:rPr>
                <w:rFonts w:ascii="Arial" w:cs="Arial" w:eastAsia="Arial" w:hAnsi="Arial"/>
                <w:sz w:val="17"/>
                <w:szCs w:val="17"/>
                <w:color w:val="auto"/>
                <w:w w:val="91"/>
              </w:rPr>
              <w:t>September 30,</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jc w:val="center"/>
              <w:ind w:left="455"/>
              <w:spacing w:after="0"/>
              <w:rPr>
                <w:sz w:val="20"/>
                <w:szCs w:val="20"/>
                <w:color w:val="auto"/>
              </w:rPr>
            </w:pPr>
            <w:r>
              <w:rPr>
                <w:rFonts w:ascii="Arial" w:cs="Arial" w:eastAsia="Arial" w:hAnsi="Arial"/>
                <w:sz w:val="17"/>
                <w:szCs w:val="17"/>
                <w:color w:val="auto"/>
                <w:w w:val="91"/>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95"/>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9"/>
              </w:rPr>
              <w:t>2022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6"/>
          </w:tcPr>
          <w:p>
            <w:pPr>
              <w:jc w:val="right"/>
              <w:ind w:right="400"/>
              <w:spacing w:after="0"/>
              <w:rPr>
                <w:sz w:val="20"/>
                <w:szCs w:val="20"/>
                <w:color w:val="auto"/>
              </w:rPr>
            </w:pPr>
            <w:r>
              <w:rPr>
                <w:rFonts w:ascii="Arial" w:cs="Arial" w:eastAsia="Arial" w:hAnsi="Arial"/>
                <w:sz w:val="17"/>
                <w:szCs w:val="17"/>
                <w:i w:val="1"/>
                <w:iCs w:val="1"/>
                <w:color w:val="auto"/>
                <w:w w:val="92"/>
              </w:rPr>
              <w:t>(In Millions, Except Per Share Data)</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Revenues</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1,994.1</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1,811.7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5,169.0</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4,684.2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Total Cost of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1,318.1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3,629.8</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Gross Proft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676.0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1,539.2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Selling, general and administratve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108.1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324.1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Acquisiton and integraton expenses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Other operatng income, net</w:t>
            </w: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(2.0 )</w:t>
            </w: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(14.8 )</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(15.3 )</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(177.4 )</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Earnings from Operatons</w:t>
            </w: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566.6</w:t>
            </w:r>
          </w:p>
        </w:tc>
        <w:tc>
          <w:tcPr>
            <w:tcW w:w="26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405.9</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1,225.9</w:t>
            </w:r>
          </w:p>
        </w:tc>
        <w:tc>
          <w:tcPr>
            <w:tcW w:w="26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39" w:right="339" w:bottom="144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expense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nonoperatng income, net</w:t>
      </w:r>
    </w:p>
    <w:p>
      <w:pPr>
        <w:spacing w:after="0" w:line="34" w:lineRule="exact"/>
        <w:rPr>
          <w:sz w:val="20"/>
          <w:szCs w:val="20"/>
          <w:color w:val="auto"/>
        </w:rPr>
      </w:pPr>
    </w:p>
    <w:p>
      <w:pPr>
        <w:ind w:left="220" w:right="1120" w:hanging="115"/>
        <w:spacing w:after="0" w:line="271" w:lineRule="auto"/>
        <w:rPr>
          <w:sz w:val="20"/>
          <w:szCs w:val="20"/>
          <w:color w:val="auto"/>
        </w:rPr>
      </w:pPr>
      <w:r>
        <w:rPr>
          <w:rFonts w:ascii="Arial" w:cs="Arial" w:eastAsia="Arial" w:hAnsi="Arial"/>
          <w:sz w:val="17"/>
          <w:szCs w:val="17"/>
          <w:color w:val="auto"/>
        </w:rPr>
        <w:t>Earnings from contnuing operatons before income tax expense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expense</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Earnings from contnuing operatons</w:t>
      </w:r>
    </w:p>
    <w:p>
      <w:pPr>
        <w:spacing w:after="0" w:line="34" w:lineRule="exact"/>
        <w:rPr>
          <w:sz w:val="20"/>
          <w:szCs w:val="20"/>
          <w:color w:val="auto"/>
        </w:rPr>
      </w:pPr>
    </w:p>
    <w:p>
      <w:pPr>
        <w:ind w:left="140" w:right="1180" w:hanging="115"/>
        <w:spacing w:after="0" w:line="271" w:lineRule="auto"/>
        <w:rPr>
          <w:sz w:val="20"/>
          <w:szCs w:val="20"/>
          <w:color w:val="auto"/>
        </w:rPr>
      </w:pPr>
      <w:r>
        <w:rPr>
          <w:rFonts w:ascii="Arial" w:cs="Arial" w:eastAsia="Arial" w:hAnsi="Arial"/>
          <w:sz w:val="17"/>
          <w:szCs w:val="17"/>
          <w:color w:val="auto"/>
        </w:rPr>
        <w:t>(Loss) Earnings from discontnued operatons, net of income tax (beneft)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jc w:val="right"/>
              <w:spacing w:after="0"/>
              <w:rPr>
                <w:sz w:val="20"/>
                <w:szCs w:val="20"/>
                <w:color w:val="auto"/>
              </w:rPr>
            </w:pPr>
            <w:r>
              <w:rPr>
                <w:rFonts w:ascii="Arial" w:cs="Arial" w:eastAsia="Arial" w:hAnsi="Arial"/>
                <w:sz w:val="17"/>
                <w:szCs w:val="17"/>
                <w:color w:val="auto"/>
              </w:rPr>
              <w:t>40.8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125.1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126.4</w:t>
            </w:r>
          </w:p>
        </w:tc>
        <w:tc>
          <w:tcPr>
            <w:tcW w:w="60" w:type="dxa"/>
            <w:vAlign w:val="bottom"/>
          </w:tcPr>
          <w:p>
            <w:pPr>
              <w:spacing w:after="0"/>
              <w:rPr>
                <w:sz w:val="18"/>
                <w:szCs w:val="18"/>
                <w:color w:val="auto"/>
              </w:rPr>
            </w:pPr>
          </w:p>
        </w:tc>
      </w:tr>
      <w:tr>
        <w:trPr>
          <w:trHeight w:val="229"/>
        </w:trPr>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(14.3 )</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(7.3 )</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(49.2 )</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(40.1 )</w:t>
            </w:r>
          </w:p>
        </w:tc>
      </w:tr>
      <w:tr>
        <w:trPr>
          <w:trHeight w:val="39"/>
        </w:trPr>
        <w:tc>
          <w:tcPr>
            <w:tcW w:w="12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387"/>
        </w:trPr>
        <w:tc>
          <w:tcPr>
            <w:tcW w:w="1240" w:type="dxa"/>
            <w:vAlign w:val="bottom"/>
          </w:tcPr>
          <w:p>
            <w:pPr>
              <w:jc w:val="right"/>
              <w:spacing w:after="0"/>
              <w:rPr>
                <w:sz w:val="20"/>
                <w:szCs w:val="20"/>
                <w:color w:val="auto"/>
              </w:rPr>
            </w:pPr>
            <w:r>
              <w:rPr>
                <w:rFonts w:ascii="Arial" w:cs="Arial" w:eastAsia="Arial" w:hAnsi="Arial"/>
                <w:sz w:val="17"/>
                <w:szCs w:val="17"/>
                <w:color w:val="auto"/>
              </w:rPr>
              <w:t>540.1</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370.4</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1,150.0</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858.1</w:t>
            </w:r>
          </w:p>
        </w:tc>
        <w:tc>
          <w:tcPr>
            <w:tcW w:w="60" w:type="dxa"/>
            <w:vAlign w:val="bottom"/>
          </w:tcPr>
          <w:p>
            <w:pPr>
              <w:spacing w:after="0"/>
              <w:rPr>
                <w:sz w:val="24"/>
                <w:szCs w:val="24"/>
                <w:color w:val="auto"/>
              </w:rPr>
            </w:pPr>
          </w:p>
        </w:tc>
      </w:tr>
      <w:tr>
        <w:trPr>
          <w:trHeight w:val="229"/>
        </w:trPr>
        <w:tc>
          <w:tcPr>
            <w:tcW w:w="1240" w:type="dxa"/>
            <w:vAlign w:val="bottom"/>
          </w:tcPr>
          <w:p>
            <w:pPr>
              <w:jc w:val="right"/>
              <w:spacing w:after="0"/>
              <w:rPr>
                <w:sz w:val="20"/>
                <w:szCs w:val="20"/>
                <w:color w:val="auto"/>
              </w:rPr>
            </w:pPr>
            <w:r>
              <w:rPr>
                <w:rFonts w:ascii="Arial" w:cs="Arial" w:eastAsia="Arial" w:hAnsi="Arial"/>
                <w:sz w:val="17"/>
                <w:szCs w:val="17"/>
                <w:color w:val="auto"/>
              </w:rPr>
              <w:t>109.9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237.4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189.4</w:t>
            </w:r>
          </w:p>
        </w:tc>
        <w:tc>
          <w:tcPr>
            <w:tcW w:w="60" w:type="dxa"/>
            <w:vAlign w:val="bottom"/>
          </w:tcPr>
          <w:p>
            <w:pPr>
              <w:spacing w:after="0"/>
              <w:rPr>
                <w:sz w:val="19"/>
                <w:szCs w:val="19"/>
                <w:color w:val="auto"/>
              </w:rPr>
            </w:pPr>
          </w:p>
        </w:tc>
      </w:tr>
      <w:tr>
        <w:trPr>
          <w:trHeight w:val="39"/>
        </w:trPr>
        <w:tc>
          <w:tcPr>
            <w:tcW w:w="12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8"/>
        </w:trPr>
        <w:tc>
          <w:tcPr>
            <w:tcW w:w="1240" w:type="dxa"/>
            <w:vAlign w:val="bottom"/>
          </w:tcPr>
          <w:p>
            <w:pPr>
              <w:jc w:val="right"/>
              <w:spacing w:after="0"/>
              <w:rPr>
                <w:sz w:val="20"/>
                <w:szCs w:val="20"/>
                <w:color w:val="auto"/>
              </w:rPr>
            </w:pPr>
            <w:r>
              <w:rPr>
                <w:rFonts w:ascii="Arial" w:cs="Arial" w:eastAsia="Arial" w:hAnsi="Arial"/>
                <w:sz w:val="17"/>
                <w:szCs w:val="17"/>
                <w:color w:val="auto"/>
              </w:rPr>
              <w:t>430.2</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291.2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912.6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668.7</w:t>
            </w:r>
          </w:p>
        </w:tc>
        <w:tc>
          <w:tcPr>
            <w:tcW w:w="60" w:type="dxa"/>
            <w:vAlign w:val="bottom"/>
          </w:tcPr>
          <w:p>
            <w:pPr>
              <w:spacing w:after="0"/>
              <w:rPr>
                <w:sz w:val="18"/>
                <w:szCs w:val="18"/>
                <w:color w:val="auto"/>
              </w:rPr>
            </w:pPr>
          </w:p>
        </w:tc>
      </w:tr>
      <w:tr>
        <w:trPr>
          <w:trHeight w:val="395"/>
        </w:trPr>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(13.6 )</w:t>
            </w:r>
          </w:p>
        </w:tc>
        <w:tc>
          <w:tcPr>
            <w:tcW w:w="1220" w:type="dxa"/>
            <w:vAlign w:val="bottom"/>
          </w:tcPr>
          <w:p>
            <w:pPr>
              <w:jc w:val="right"/>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(25.8 )</w:t>
            </w:r>
          </w:p>
        </w:tc>
        <w:tc>
          <w:tcPr>
            <w:tcW w:w="1200" w:type="dxa"/>
            <w:vAlign w:val="bottom"/>
          </w:tcPr>
          <w:p>
            <w:pPr>
              <w:jc w:val="right"/>
              <w:spacing w:after="0"/>
              <w:rPr>
                <w:sz w:val="20"/>
                <w:szCs w:val="20"/>
                <w:color w:val="auto"/>
              </w:rPr>
            </w:pPr>
            <w:r>
              <w:rPr>
                <w:rFonts w:ascii="Arial" w:cs="Arial" w:eastAsia="Arial" w:hAnsi="Arial"/>
                <w:sz w:val="17"/>
                <w:szCs w:val="17"/>
                <w:color w:val="auto"/>
              </w:rPr>
              <w:t>14.3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-1115060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-814705</wp:posOffset>
            </wp:positionV>
            <wp:extent cx="7132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-386080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4800" w:space="720"/>
            <w:col w:w="5720"/>
          </w:cols>
          <w:pgMar w:left="320" w:top="539"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Consolidated net earnings</w:t>
            </w:r>
          </w:p>
        </w:tc>
        <w:tc>
          <w:tcPr>
            <w:tcW w:w="4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416.6</w:t>
            </w:r>
          </w:p>
        </w:tc>
        <w:tc>
          <w:tcPr>
            <w:tcW w:w="26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295.3</w:t>
            </w:r>
          </w:p>
        </w:tc>
        <w:tc>
          <w:tcPr>
            <w:tcW w:w="24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886.8</w:t>
            </w:r>
          </w:p>
        </w:tc>
        <w:tc>
          <w:tcPr>
            <w:tcW w:w="26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Less: Net (loss) earnings atributable to noncontrolling interests</w:t>
            </w:r>
          </w:p>
        </w:tc>
        <w:tc>
          <w:tcPr>
            <w:tcW w:w="4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(0.1 )</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70"/>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Earnings Atributable to Martn Marieta</w:t>
            </w:r>
          </w:p>
        </w:tc>
        <w:tc>
          <w:tcPr>
            <w:tcW w:w="480" w:type="dxa"/>
            <w:vAlign w:val="bottom"/>
            <w:tcBorders>
              <w:top w:val="single" w:sz="8" w:color="auto"/>
              <w:bottom w:val="single" w:sz="8" w:color="auto"/>
            </w:tcBorders>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416.7</w:t>
            </w:r>
          </w:p>
        </w:tc>
        <w:tc>
          <w:tcPr>
            <w:tcW w:w="26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295.3</w:t>
            </w:r>
          </w:p>
        </w:tc>
        <w:tc>
          <w:tcPr>
            <w:tcW w:w="24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886.4</w:t>
            </w:r>
          </w:p>
        </w:tc>
        <w:tc>
          <w:tcPr>
            <w:tcW w:w="26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683.2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Consolidated Comprehensive Earnings (Loss) (See Note 1):</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20"/>
              <w:spacing w:after="0"/>
              <w:rPr>
                <w:sz w:val="20"/>
                <w:szCs w:val="20"/>
                <w:color w:val="auto"/>
              </w:rPr>
            </w:pPr>
            <w:r>
              <w:rPr>
                <w:rFonts w:ascii="Arial" w:cs="Arial" w:eastAsia="Arial" w:hAnsi="Arial"/>
                <w:sz w:val="17"/>
                <w:szCs w:val="17"/>
                <w:color w:val="auto"/>
              </w:rPr>
              <w:t>Earnings atributable to Martn Marieta</w:t>
            </w: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417.1</w:t>
            </w:r>
          </w:p>
        </w:tc>
        <w:tc>
          <w:tcPr>
            <w:tcW w:w="26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298.3</w:t>
            </w:r>
          </w:p>
        </w:tc>
        <w:tc>
          <w:tcPr>
            <w:tcW w:w="700" w:type="dxa"/>
            <w:vAlign w:val="bottom"/>
            <w:gridSpan w:val="2"/>
          </w:tcPr>
          <w:p>
            <w:pPr>
              <w:jc w:val="right"/>
              <w:ind w:right="2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889.6</w:t>
            </w:r>
          </w:p>
        </w:tc>
        <w:tc>
          <w:tcPr>
            <w:tcW w:w="26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(Loss) Earnings atributable to noncontrolling interests</w:t>
            </w:r>
          </w:p>
        </w:tc>
        <w:tc>
          <w:tcPr>
            <w:tcW w:w="4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(0.1 )</w:t>
            </w:r>
          </w:p>
        </w:tc>
        <w:tc>
          <w:tcPr>
            <w:tcW w:w="4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417.0</w:t>
            </w:r>
          </w:p>
        </w:tc>
        <w:tc>
          <w:tcPr>
            <w:tcW w:w="26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298.3</w:t>
            </w:r>
          </w:p>
        </w:tc>
        <w:tc>
          <w:tcPr>
            <w:tcW w:w="24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890.0</w:t>
            </w: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655.5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Earnings (Loss) Atributable to Martn Marieta</w:t>
            </w:r>
          </w:p>
        </w:tc>
        <w:tc>
          <w:tcPr>
            <w:tcW w:w="4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20"/>
              <w:spacing w:after="0"/>
              <w:rPr>
                <w:sz w:val="20"/>
                <w:szCs w:val="20"/>
                <w:color w:val="auto"/>
              </w:rPr>
            </w:pPr>
            <w:r>
              <w:rPr>
                <w:rFonts w:ascii="Arial" w:cs="Arial" w:eastAsia="Arial" w:hAnsi="Arial"/>
                <w:sz w:val="17"/>
                <w:szCs w:val="17"/>
                <w:color w:val="auto"/>
              </w:rPr>
              <w:t>Per Common Share:</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520" w:type="dxa"/>
            <w:vAlign w:val="bottom"/>
            <w:shd w:val="clear" w:color="auto" w:fill="CFF0FC"/>
          </w:tcPr>
          <w:p>
            <w:pPr>
              <w:ind w:left="300"/>
              <w:spacing w:after="0" w:line="186" w:lineRule="exact"/>
              <w:rPr>
                <w:sz w:val="20"/>
                <w:szCs w:val="20"/>
                <w:color w:val="auto"/>
              </w:rPr>
            </w:pPr>
            <w:r>
              <w:rPr>
                <w:rFonts w:ascii="Arial" w:cs="Arial" w:eastAsia="Arial" w:hAnsi="Arial"/>
                <w:sz w:val="17"/>
                <w:szCs w:val="17"/>
                <w:color w:val="auto"/>
              </w:rPr>
              <w:t>Basic from contnuing operatons atributable to common</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5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7"/>
                <w:szCs w:val="17"/>
                <w:color w:val="auto"/>
              </w:rPr>
              <w:t>shareholders</w:t>
            </w:r>
          </w:p>
        </w:tc>
        <w:tc>
          <w:tcPr>
            <w:tcW w:w="48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6.96</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4.67</w:t>
            </w:r>
          </w:p>
        </w:tc>
        <w:tc>
          <w:tcPr>
            <w:tcW w:w="700" w:type="dxa"/>
            <w:vAlign w:val="bottom"/>
            <w:tcBorders>
              <w:bottom w:val="single" w:sz="8" w:color="CFF0FC"/>
            </w:tcBorders>
            <w:gridSpan w:val="2"/>
            <w:shd w:val="clear" w:color="auto" w:fill="CFF0FC"/>
          </w:tcPr>
          <w:p>
            <w:pPr>
              <w:jc w:val="right"/>
              <w:ind w:right="2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14.73</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520" w:type="dxa"/>
            <w:vAlign w:val="bottom"/>
          </w:tcPr>
          <w:p>
            <w:pPr>
              <w:ind w:left="300"/>
              <w:spacing w:after="0" w:line="179" w:lineRule="exact"/>
              <w:rPr>
                <w:sz w:val="20"/>
                <w:szCs w:val="20"/>
                <w:color w:val="auto"/>
              </w:rPr>
            </w:pPr>
            <w:r>
              <w:rPr>
                <w:rFonts w:ascii="Arial" w:cs="Arial" w:eastAsia="Arial" w:hAnsi="Arial"/>
                <w:sz w:val="17"/>
                <w:szCs w:val="17"/>
                <w:color w:val="auto"/>
              </w:rPr>
              <w:t>Basic from discontnued operatons atributable to</w:t>
            </w:r>
          </w:p>
        </w:tc>
        <w:tc>
          <w:tcPr>
            <w:tcW w:w="48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(0.22 )</w:t>
            </w:r>
          </w:p>
        </w:tc>
        <w:tc>
          <w:tcPr>
            <w:tcW w:w="4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0.07</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(0.42 )</w:t>
            </w: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520" w:type="dxa"/>
            <w:vAlign w:val="bottom"/>
          </w:tcPr>
          <w:p>
            <w:pPr>
              <w:ind w:left="400"/>
              <w:spacing w:after="0"/>
              <w:rPr>
                <w:sz w:val="20"/>
                <w:szCs w:val="20"/>
                <w:color w:val="auto"/>
              </w:rPr>
            </w:pPr>
            <w:r>
              <w:rPr>
                <w:rFonts w:ascii="Arial" w:cs="Arial" w:eastAsia="Arial" w:hAnsi="Arial"/>
                <w:sz w:val="17"/>
                <w:szCs w:val="17"/>
                <w:color w:val="auto"/>
              </w:rPr>
              <w:t>common shareholders</w:t>
            </w:r>
          </w:p>
        </w:tc>
        <w:tc>
          <w:tcPr>
            <w:tcW w:w="4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6.74</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4.74</w:t>
            </w:r>
          </w:p>
        </w:tc>
        <w:tc>
          <w:tcPr>
            <w:tcW w:w="2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14.31</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520" w:type="dxa"/>
            <w:vAlign w:val="bottom"/>
            <w:shd w:val="clear" w:color="auto" w:fill="CFF0FC"/>
          </w:tcPr>
          <w:p>
            <w:pPr>
              <w:ind w:left="300"/>
              <w:spacing w:after="0" w:line="179" w:lineRule="exact"/>
              <w:rPr>
                <w:sz w:val="20"/>
                <w:szCs w:val="20"/>
                <w:color w:val="auto"/>
              </w:rPr>
            </w:pPr>
            <w:r>
              <w:rPr>
                <w:rFonts w:ascii="Arial" w:cs="Arial" w:eastAsia="Arial" w:hAnsi="Arial"/>
                <w:sz w:val="17"/>
                <w:szCs w:val="17"/>
                <w:color w:val="auto"/>
              </w:rPr>
              <w:t>Diluted from contnuing operatons atributable to common</w:t>
            </w:r>
          </w:p>
        </w:tc>
        <w:tc>
          <w:tcPr>
            <w:tcW w:w="4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7"/>
                <w:szCs w:val="17"/>
                <w:color w:val="auto"/>
              </w:rPr>
              <w:t>shareholders</w:t>
            </w:r>
          </w:p>
        </w:tc>
        <w:tc>
          <w:tcPr>
            <w:tcW w:w="48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6.94</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4.67</w:t>
            </w:r>
          </w:p>
        </w:tc>
        <w:tc>
          <w:tcPr>
            <w:tcW w:w="700" w:type="dxa"/>
            <w:vAlign w:val="bottom"/>
            <w:tcBorders>
              <w:bottom w:val="single" w:sz="8" w:color="CFF0FC"/>
            </w:tcBorders>
            <w:gridSpan w:val="2"/>
            <w:shd w:val="clear" w:color="auto" w:fill="CFF0FC"/>
          </w:tcPr>
          <w:p>
            <w:pPr>
              <w:jc w:val="right"/>
              <w:ind w:right="2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14.69</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520" w:type="dxa"/>
            <w:vAlign w:val="bottom"/>
          </w:tcPr>
          <w:p>
            <w:pPr>
              <w:ind w:left="300"/>
              <w:spacing w:after="0" w:line="179" w:lineRule="exact"/>
              <w:rPr>
                <w:sz w:val="20"/>
                <w:szCs w:val="20"/>
                <w:color w:val="auto"/>
              </w:rPr>
            </w:pPr>
            <w:r>
              <w:rPr>
                <w:rFonts w:ascii="Arial" w:cs="Arial" w:eastAsia="Arial" w:hAnsi="Arial"/>
                <w:sz w:val="17"/>
                <w:szCs w:val="17"/>
                <w:color w:val="auto"/>
              </w:rPr>
              <w:t>Diluted from discontnued operatons atributable to</w:t>
            </w:r>
          </w:p>
        </w:tc>
        <w:tc>
          <w:tcPr>
            <w:tcW w:w="48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(0.22 )</w:t>
            </w:r>
          </w:p>
        </w:tc>
        <w:tc>
          <w:tcPr>
            <w:tcW w:w="4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0.06</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(0.42 )</w:t>
            </w: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520" w:type="dxa"/>
            <w:vAlign w:val="bottom"/>
          </w:tcPr>
          <w:p>
            <w:pPr>
              <w:ind w:left="400"/>
              <w:spacing w:after="0"/>
              <w:rPr>
                <w:sz w:val="20"/>
                <w:szCs w:val="20"/>
                <w:color w:val="auto"/>
              </w:rPr>
            </w:pPr>
            <w:r>
              <w:rPr>
                <w:rFonts w:ascii="Arial" w:cs="Arial" w:eastAsia="Arial" w:hAnsi="Arial"/>
                <w:sz w:val="17"/>
                <w:szCs w:val="17"/>
                <w:color w:val="auto"/>
              </w:rPr>
              <w:t>common shareholders</w:t>
            </w:r>
          </w:p>
        </w:tc>
        <w:tc>
          <w:tcPr>
            <w:tcW w:w="4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6.72</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4.73</w:t>
            </w:r>
          </w:p>
        </w:tc>
        <w:tc>
          <w:tcPr>
            <w:tcW w:w="2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14.27</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0"/>
              <w:spacing w:after="0"/>
              <w:rPr>
                <w:sz w:val="20"/>
                <w:szCs w:val="20"/>
                <w:color w:val="auto"/>
              </w:rPr>
            </w:pPr>
            <w:r>
              <w:rPr>
                <w:rFonts w:ascii="Arial" w:cs="Arial" w:eastAsia="Arial" w:hAnsi="Arial"/>
                <w:sz w:val="17"/>
                <w:szCs w:val="17"/>
                <w:color w:val="auto"/>
              </w:rPr>
              <w:t>Basic</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Diluted</w:t>
            </w:r>
          </w:p>
        </w:tc>
        <w:tc>
          <w:tcPr>
            <w:tcW w:w="4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62.1</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-3299460</wp:posOffset>
            </wp:positionV>
            <wp:extent cx="28460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-2691130</wp:posOffset>
            </wp:positionV>
            <wp:extent cx="7683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-2691130</wp:posOffset>
            </wp:positionV>
            <wp:extent cx="685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-2691130</wp:posOffset>
            </wp:positionV>
            <wp:extent cx="685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-1525270</wp:posOffset>
            </wp:positionV>
            <wp:extent cx="284607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-659130</wp:posOffset>
            </wp:positionV>
            <wp:extent cx="28460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91"/>
              </w:rPr>
              <w:t>Nine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91"/>
              </w:rPr>
              <w:t>September 30,</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
        </w:trPr>
        <w:tc>
          <w:tcPr>
            <w:tcW w:w="75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0"/>
        </w:trPr>
        <w:tc>
          <w:tcPr>
            <w:tcW w:w="75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r>
      <w:tr>
        <w:trPr>
          <w:trHeight w:val="235"/>
        </w:trPr>
        <w:tc>
          <w:tcPr>
            <w:tcW w:w="7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w w:val="96"/>
              </w:rPr>
              <w:t>(Dollars</w:t>
            </w:r>
          </w:p>
        </w:tc>
        <w:tc>
          <w:tcPr>
            <w:tcW w:w="300" w:type="dxa"/>
            <w:vAlign w:val="bottom"/>
            <w:gridSpan w:val="2"/>
          </w:tcPr>
          <w:p>
            <w:pPr>
              <w:ind w:left="40"/>
              <w:spacing w:after="0"/>
              <w:rPr>
                <w:sz w:val="20"/>
                <w:szCs w:val="20"/>
                <w:color w:val="auto"/>
              </w:rPr>
            </w:pPr>
            <w:r>
              <w:rPr>
                <w:rFonts w:ascii="Arial" w:cs="Arial" w:eastAsia="Arial" w:hAnsi="Arial"/>
                <w:sz w:val="18"/>
                <w:szCs w:val="18"/>
                <w:i w:val="1"/>
                <w:iCs w:val="1"/>
                <w:color w:val="auto"/>
              </w:rPr>
              <w:t>in</w:t>
            </w:r>
          </w:p>
        </w:tc>
        <w:tc>
          <w:tcPr>
            <w:tcW w:w="600" w:type="dxa"/>
            <w:vAlign w:val="bottom"/>
          </w:tcPr>
          <w:p>
            <w:pPr>
              <w:spacing w:after="0"/>
              <w:rPr>
                <w:sz w:val="20"/>
                <w:szCs w:val="20"/>
                <w:color w:val="auto"/>
              </w:rPr>
            </w:pPr>
            <w:r>
              <w:rPr>
                <w:rFonts w:ascii="Arial" w:cs="Arial" w:eastAsia="Arial" w:hAnsi="Arial"/>
                <w:sz w:val="18"/>
                <w:szCs w:val="18"/>
                <w:i w:val="1"/>
                <w:iCs w:val="1"/>
                <w:color w:val="auto"/>
                <w:w w:val="87"/>
              </w:rPr>
              <w:t>Millions)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Operatng Actvites: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Consolidated net earnings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0"/>
                <w:szCs w:val="20"/>
                <w:color w:val="auto"/>
              </w:rPr>
            </w:pPr>
          </w:p>
        </w:tc>
      </w:tr>
      <w:tr>
        <w:trPr>
          <w:trHeight w:val="205"/>
        </w:trPr>
        <w:tc>
          <w:tcPr>
            <w:tcW w:w="758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Adjustments to reconcile consolidated net earnings to net cash</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2"/>
        </w:trPr>
        <w:tc>
          <w:tcPr>
            <w:tcW w:w="75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provided by operatng actvites:</w:t>
            </w:r>
          </w:p>
        </w:tc>
        <w:tc>
          <w:tcPr>
            <w:tcW w:w="10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Depreciaton, depleton and amortzaton</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20"/>
                <w:szCs w:val="20"/>
                <w:color w:val="auto"/>
              </w:rPr>
            </w:pP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compensaton expense</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21"/>
                <w:szCs w:val="21"/>
                <w:color w:val="auto"/>
              </w:rPr>
            </w:pP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Loss (Gain) on divesttures, sales of assets and extnguishment of debt</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(190.7 )</w:t>
            </w: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10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05"/>
        </w:trPr>
        <w:tc>
          <w:tcPr>
            <w:tcW w:w="7580" w:type="dxa"/>
            <w:vAlign w:val="bottom"/>
            <w:shd w:val="clear" w:color="auto" w:fill="CFF0FC"/>
          </w:tcPr>
          <w:p>
            <w:pPr>
              <w:ind w:left="200"/>
              <w:spacing w:after="0" w:line="205" w:lineRule="exact"/>
              <w:rPr>
                <w:sz w:val="20"/>
                <w:szCs w:val="20"/>
                <w:color w:val="auto"/>
              </w:rPr>
            </w:pPr>
            <w:r>
              <w:rPr>
                <w:rFonts w:ascii="Arial" w:cs="Arial" w:eastAsia="Arial" w:hAnsi="Arial"/>
                <w:sz w:val="18"/>
                <w:szCs w:val="18"/>
                <w:color w:val="auto"/>
              </w:rPr>
              <w:t>Changes in operatng assets and liabilites, net of efects of</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2"/>
        </w:trPr>
        <w:tc>
          <w:tcPr>
            <w:tcW w:w="75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acquisitons and divesttures:</w:t>
            </w:r>
          </w:p>
        </w:tc>
        <w:tc>
          <w:tcPr>
            <w:tcW w:w="10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75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(264.4 )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(237.9 )</w:t>
            </w:r>
          </w:p>
        </w:tc>
      </w:tr>
      <w:tr>
        <w:trPr>
          <w:trHeight w:val="251"/>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 net</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(130.3 )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(87.0 )</w:t>
            </w:r>
          </w:p>
        </w:tc>
      </w:tr>
      <w:tr>
        <w:trPr>
          <w:trHeight w:val="235"/>
        </w:trPr>
        <w:tc>
          <w:tcPr>
            <w:tcW w:w="7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r>
      <w:tr>
        <w:trPr>
          <w:trHeight w:val="245"/>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liabilites, net</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(37.4 )</w:t>
            </w:r>
          </w:p>
        </w:tc>
      </w:tr>
      <w:tr>
        <w:trPr>
          <w:trHeight w:val="237"/>
        </w:trPr>
        <w:tc>
          <w:tcPr>
            <w:tcW w:w="75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Operatng Actvites</w:t>
            </w:r>
          </w:p>
        </w:tc>
        <w:tc>
          <w:tcPr>
            <w:tcW w:w="10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972.5</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Borders>
              <w:top w:val="single" w:sz="8" w:color="CFF0FC"/>
            </w:tcBorders>
          </w:tcPr>
          <w:p>
            <w:pPr>
              <w:spacing w:after="0"/>
              <w:rPr>
                <w:sz w:val="20"/>
                <w:szCs w:val="20"/>
                <w:color w:val="auto"/>
              </w:rPr>
            </w:pPr>
          </w:p>
        </w:tc>
      </w:tr>
      <w:tr>
        <w:trPr>
          <w:trHeight w:val="243"/>
        </w:trPr>
        <w:tc>
          <w:tcPr>
            <w:tcW w:w="7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Cash Flows from Investng Actvites: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Additons to property, plant and equipment</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(464.1 )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(309.1 )</w:t>
            </w: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Acquisitons, net of cash acquired</w:t>
            </w:r>
          </w:p>
        </w:tc>
        <w:tc>
          <w:tcPr>
            <w:tcW w:w="102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divesttures and sales of assets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FF0FC"/>
          </w:tcPr>
          <w:p>
            <w:pPr>
              <w:spacing w:after="0"/>
              <w:rPr>
                <w:sz w:val="21"/>
                <w:szCs w:val="21"/>
                <w:color w:val="auto"/>
              </w:rPr>
            </w:pP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Proceeds from sale of restricted investments related to discharge of long-term debt</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restricted investments to discharge long-term debt</w:t>
            </w:r>
          </w:p>
        </w:tc>
        <w:tc>
          <w:tcPr>
            <w:tcW w:w="10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(704.6 )</w:t>
            </w: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Investments in life insurance contracts, net</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r>
      <w:tr>
        <w:trPr>
          <w:trHeight w:val="24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investng actvites, net</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2"/>
        </w:trPr>
        <w:tc>
          <w:tcPr>
            <w:tcW w:w="75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Net Cash Provided by (Used for) Investng Actvites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(324.4 )</w:t>
            </w:r>
          </w:p>
        </w:tc>
      </w:tr>
      <w:tr>
        <w:trPr>
          <w:trHeight w:val="243"/>
        </w:trPr>
        <w:tc>
          <w:tcPr>
            <w:tcW w:w="758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Cash Flows from Financing Actvites: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Repayments of debt</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(700.0 )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(54.5 )</w:t>
            </w: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Payments on fnance lease obligatons</w:t>
            </w:r>
          </w:p>
        </w:tc>
        <w:tc>
          <w:tcPr>
            <w:tcW w:w="10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(11.1 )</w:t>
            </w: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issuance and extnguishment costs</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(0.3 )</w:t>
            </w: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(128.2 )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(118.1 )</w:t>
            </w: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(150.0 )</w:t>
            </w:r>
          </w:p>
        </w:tc>
      </w:tr>
      <w:tr>
        <w:trPr>
          <w:trHeight w:val="235"/>
        </w:trPr>
        <w:tc>
          <w:tcPr>
            <w:tcW w:w="7580" w:type="dxa"/>
            <w:vAlign w:val="bottom"/>
          </w:tcPr>
          <w:p>
            <w:pPr>
              <w:ind w:left="200"/>
              <w:spacing w:after="0"/>
              <w:rPr>
                <w:sz w:val="20"/>
                <w:szCs w:val="20"/>
                <w:color w:val="auto"/>
              </w:rPr>
            </w:pPr>
            <w:r>
              <w:rPr>
                <w:rFonts w:ascii="Arial" w:cs="Arial" w:eastAsia="Arial" w:hAnsi="Arial"/>
                <w:sz w:val="18"/>
                <w:szCs w:val="18"/>
                <w:color w:val="auto"/>
              </w:rPr>
              <w:t>Distributons to owners of noncontrolling interest</w:t>
            </w:r>
          </w:p>
        </w:tc>
        <w:tc>
          <w:tcPr>
            <w:tcW w:w="10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5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optons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Shares withheld for employees’ income tax obligatons</w:t>
            </w:r>
          </w:p>
        </w:tc>
        <w:tc>
          <w:tcPr>
            <w:tcW w:w="10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(26.1 )</w:t>
            </w:r>
          </w:p>
        </w:tc>
      </w:tr>
      <w:tr>
        <w:trPr>
          <w:trHeight w:val="236"/>
        </w:trPr>
        <w:tc>
          <w:tcPr>
            <w:tcW w:w="75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for Financing Actvites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(1,010.0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(123.2 )</w:t>
            </w:r>
          </w:p>
        </w:tc>
      </w:tr>
      <w:tr>
        <w:trPr>
          <w:trHeight w:val="245"/>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r>
      <w:tr>
        <w:trPr>
          <w:trHeight w:val="20"/>
        </w:trPr>
        <w:tc>
          <w:tcPr>
            <w:tcW w:w="7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-3942715</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-2382520</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45020" cy="338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78"/>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78"/>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3"/>
                <w:szCs w:val="13"/>
                <w:color w:val="auto"/>
                <w:w w:val="82"/>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Shares 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color w:val="auto"/>
              </w:rPr>
              <w:t>Additonal Paid-</w:t>
            </w:r>
          </w:p>
        </w:tc>
        <w:tc>
          <w:tcPr>
            <w:tcW w:w="80" w:type="dxa"/>
            <w:vAlign w:val="bottom"/>
          </w:tcPr>
          <w:p>
            <w:pPr>
              <w:spacing w:after="0"/>
              <w:rPr>
                <w:sz w:val="12"/>
                <w:szCs w:val="12"/>
                <w:color w:val="auto"/>
              </w:rPr>
            </w:pPr>
          </w:p>
        </w:tc>
        <w:tc>
          <w:tcPr>
            <w:tcW w:w="1120" w:type="dxa"/>
            <w:vAlign w:val="bottom"/>
            <w:gridSpan w:val="2"/>
          </w:tcPr>
          <w:p>
            <w:pPr>
              <w:jc w:val="center"/>
              <w:ind w:right="278"/>
              <w:spacing w:after="0"/>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w w:val="88"/>
              </w:rPr>
              <w:t>Retained</w:t>
            </w: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color w:val="auto"/>
                <w:w w:val="87"/>
              </w:rPr>
              <w:t>Shareholders'</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w w:val="98"/>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0"/>
              <w:spacing w:after="0"/>
              <w:rPr>
                <w:sz w:val="20"/>
                <w:szCs w:val="20"/>
                <w:color w:val="auto"/>
              </w:rPr>
            </w:pPr>
            <w:r>
              <w:rPr>
                <w:rFonts w:ascii="Arial" w:cs="Arial" w:eastAsia="Arial" w:hAnsi="Arial"/>
                <w:sz w:val="13"/>
                <w:szCs w:val="13"/>
                <w:i w:val="1"/>
                <w:iCs w:val="1"/>
                <w:color w:val="auto"/>
                <w:w w:val="94"/>
              </w:rPr>
              <w:t>(In Millions, Except Share And Per Share Data)</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w w:val="87"/>
              </w:rPr>
              <w:t>Common Stock</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w w:val="89"/>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w w:val="95"/>
              </w:rPr>
              <w:t>in Capital</w:t>
            </w:r>
          </w:p>
        </w:tc>
        <w:tc>
          <w:tcPr>
            <w:tcW w:w="80" w:type="dxa"/>
            <w:vAlign w:val="bottom"/>
          </w:tcPr>
          <w:p>
            <w:pPr>
              <w:spacing w:after="0"/>
              <w:rPr>
                <w:sz w:val="13"/>
                <w:szCs w:val="13"/>
                <w:color w:val="auto"/>
              </w:rPr>
            </w:pPr>
          </w:p>
        </w:tc>
        <w:tc>
          <w:tcPr>
            <w:tcW w:w="1120" w:type="dxa"/>
            <w:vAlign w:val="bottom"/>
            <w:gridSpan w:val="2"/>
          </w:tcPr>
          <w:p>
            <w:pPr>
              <w:jc w:val="center"/>
              <w:ind w:right="258"/>
              <w:spacing w:after="0"/>
              <w:rPr>
                <w:sz w:val="20"/>
                <w:szCs w:val="20"/>
                <w:color w:val="auto"/>
              </w:rPr>
            </w:pPr>
            <w:r>
              <w:rPr>
                <w:rFonts w:ascii="Arial" w:cs="Arial" w:eastAsia="Arial" w:hAnsi="Arial"/>
                <w:sz w:val="13"/>
                <w:szCs w:val="13"/>
                <w:color w:val="auto"/>
                <w:w w:val="79"/>
              </w:rPr>
              <w:t>Loss</w:t>
            </w:r>
          </w:p>
        </w:tc>
        <w:tc>
          <w:tcPr>
            <w:tcW w:w="10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w w:val="89"/>
              </w:rPr>
              <w:t>Earnings</w:t>
            </w:r>
          </w:p>
        </w:tc>
        <w:tc>
          <w:tcPr>
            <w:tcW w:w="18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color w:val="auto"/>
                <w:w w:val="88"/>
              </w:rPr>
              <w:t>Equity</w:t>
            </w:r>
          </w:p>
        </w:tc>
        <w:tc>
          <w:tcPr>
            <w:tcW w:w="16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w w:val="87"/>
              </w:rPr>
              <w:t>Total Equity</w:t>
            </w: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61,803,396</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3,955.4</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7,421.1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rPr>
              <w:t>Consolidated net earnings (loss)</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416.7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w w:val="89"/>
              </w:rPr>
              <w:t>Dividends declared ($0.74 per common share)</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(46.1 )</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(46.1 )</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(46.1 )</w:t>
            </w: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3,765</w:t>
            </w:r>
          </w:p>
        </w:tc>
        <w:tc>
          <w:tcPr>
            <w:tcW w:w="2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80"/>
              <w:spacing w:after="0"/>
              <w:rPr>
                <w:sz w:val="20"/>
                <w:szCs w:val="20"/>
                <w:color w:val="auto"/>
              </w:rPr>
            </w:pPr>
            <w:r>
              <w:rPr>
                <w:rFonts w:ascii="Arial" w:cs="Arial" w:eastAsia="Arial" w:hAnsi="Arial"/>
                <w:sz w:val="13"/>
                <w:szCs w:val="13"/>
                <w:color w:val="auto"/>
              </w:rPr>
              <w:t>income tax obligatons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(1.0 )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Stock-based compensaton</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expense</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Contributon from owners of</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20" w:type="dxa"/>
            <w:vAlign w:val="bottom"/>
          </w:tcPr>
          <w:p>
            <w:pPr>
              <w:ind w:left="280"/>
              <w:spacing w:after="0"/>
              <w:rPr>
                <w:sz w:val="20"/>
                <w:szCs w:val="20"/>
                <w:color w:val="auto"/>
              </w:rPr>
            </w:pPr>
            <w:r>
              <w:rPr>
                <w:rFonts w:ascii="Arial" w:cs="Arial" w:eastAsia="Arial" w:hAnsi="Arial"/>
                <w:sz w:val="13"/>
                <w:szCs w:val="13"/>
                <w:color w:val="auto"/>
              </w:rPr>
              <w:t>minority interest</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September 30, 2023</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61,807,161</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3,511.2</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4,326.0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7,802.5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62,102,353</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3,489.0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(38.5 )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3,719.4</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7,170.5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rPr>
              <w:t>Consolidated net earnings</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886.4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886.4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w w:val="89"/>
              </w:rPr>
              <w:t>Dividends declared ($2.06 per common share)</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(128.6 )</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(128.6 )</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(128.6 )</w:t>
            </w: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86,328</w:t>
            </w:r>
          </w:p>
        </w:tc>
        <w:tc>
          <w:tcPr>
            <w:tcW w:w="2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80"/>
              <w:spacing w:after="0"/>
              <w:rPr>
                <w:sz w:val="20"/>
                <w:szCs w:val="20"/>
                <w:color w:val="auto"/>
              </w:rPr>
            </w:pPr>
            <w:r>
              <w:rPr>
                <w:rFonts w:ascii="Arial" w:cs="Arial" w:eastAsia="Arial" w:hAnsi="Arial"/>
                <w:sz w:val="13"/>
                <w:szCs w:val="13"/>
                <w:color w:val="auto"/>
              </w:rPr>
              <w:t>income tax obligatons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(18.8 )</w:t>
            </w:r>
          </w:p>
        </w:tc>
        <w:tc>
          <w:tcPr>
            <w:tcW w:w="8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(18.8 )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(18.8 )</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 of common stock</w:t>
            </w: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(381,520 )</w:t>
            </w:r>
          </w:p>
        </w:tc>
        <w:tc>
          <w:tcPr>
            <w:tcW w:w="3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(151.2 )</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(151.2 )</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(151.2 )</w:t>
            </w: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Stock-based compensaton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80"/>
              <w:spacing w:after="0"/>
              <w:rPr>
                <w:sz w:val="20"/>
                <w:szCs w:val="20"/>
                <w:color w:val="auto"/>
              </w:rPr>
            </w:pPr>
            <w:r>
              <w:rPr>
                <w:rFonts w:ascii="Arial" w:cs="Arial" w:eastAsia="Arial" w:hAnsi="Arial"/>
                <w:sz w:val="13"/>
                <w:szCs w:val="13"/>
                <w:color w:val="auto"/>
              </w:rPr>
              <w:t>expense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Distributons to owners of</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noncontrolling interest</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(0.5 )</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Contributon from owners of</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20" w:type="dxa"/>
            <w:vAlign w:val="bottom"/>
          </w:tcPr>
          <w:p>
            <w:pPr>
              <w:ind w:left="280"/>
              <w:spacing w:after="0"/>
              <w:rPr>
                <w:sz w:val="20"/>
                <w:szCs w:val="20"/>
                <w:color w:val="auto"/>
              </w:rPr>
            </w:pPr>
            <w:r>
              <w:rPr>
                <w:rFonts w:ascii="Arial" w:cs="Arial" w:eastAsia="Arial" w:hAnsi="Arial"/>
                <w:sz w:val="13"/>
                <w:szCs w:val="13"/>
                <w:color w:val="auto"/>
              </w:rPr>
              <w:t>minority interest</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September 30, 2023</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61,807,161</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3,511.2</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4,326.0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7,802.5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-1953895</wp:posOffset>
            </wp:positionV>
            <wp:extent cx="487743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77435" cy="13716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-25400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-8255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 (Contnued)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78"/>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78"/>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3"/>
                <w:szCs w:val="13"/>
                <w:color w:val="auto"/>
                <w:w w:val="82"/>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Shares 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color w:val="auto"/>
              </w:rPr>
              <w:t>Additonal Paid-</w:t>
            </w:r>
          </w:p>
        </w:tc>
        <w:tc>
          <w:tcPr>
            <w:tcW w:w="80" w:type="dxa"/>
            <w:vAlign w:val="bottom"/>
          </w:tcPr>
          <w:p>
            <w:pPr>
              <w:spacing w:after="0"/>
              <w:rPr>
                <w:sz w:val="12"/>
                <w:szCs w:val="12"/>
                <w:color w:val="auto"/>
              </w:rPr>
            </w:pPr>
          </w:p>
        </w:tc>
        <w:tc>
          <w:tcPr>
            <w:tcW w:w="1120" w:type="dxa"/>
            <w:vAlign w:val="bottom"/>
            <w:gridSpan w:val="2"/>
          </w:tcPr>
          <w:p>
            <w:pPr>
              <w:jc w:val="center"/>
              <w:ind w:right="278"/>
              <w:spacing w:after="0"/>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w w:val="88"/>
              </w:rPr>
              <w:t>Retained</w:t>
            </w: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color w:val="auto"/>
                <w:w w:val="87"/>
              </w:rPr>
              <w:t>Shareholders'</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w w:val="98"/>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0"/>
              <w:spacing w:after="0"/>
              <w:rPr>
                <w:sz w:val="20"/>
                <w:szCs w:val="20"/>
                <w:color w:val="auto"/>
              </w:rPr>
            </w:pPr>
            <w:r>
              <w:rPr>
                <w:rFonts w:ascii="Arial" w:cs="Arial" w:eastAsia="Arial" w:hAnsi="Arial"/>
                <w:sz w:val="13"/>
                <w:szCs w:val="13"/>
                <w:i w:val="1"/>
                <w:iCs w:val="1"/>
                <w:color w:val="auto"/>
                <w:w w:val="94"/>
              </w:rPr>
              <w:t>(In Millions, Except Share And Per Share Data)</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w w:val="87"/>
              </w:rPr>
              <w:t>Common Stock</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w w:val="89"/>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w w:val="95"/>
              </w:rPr>
              <w:t>in Capital</w:t>
            </w:r>
          </w:p>
        </w:tc>
        <w:tc>
          <w:tcPr>
            <w:tcW w:w="80" w:type="dxa"/>
            <w:vAlign w:val="bottom"/>
          </w:tcPr>
          <w:p>
            <w:pPr>
              <w:spacing w:after="0"/>
              <w:rPr>
                <w:sz w:val="13"/>
                <w:szCs w:val="13"/>
                <w:color w:val="auto"/>
              </w:rPr>
            </w:pPr>
          </w:p>
        </w:tc>
        <w:tc>
          <w:tcPr>
            <w:tcW w:w="1120" w:type="dxa"/>
            <w:vAlign w:val="bottom"/>
            <w:gridSpan w:val="2"/>
          </w:tcPr>
          <w:p>
            <w:pPr>
              <w:jc w:val="center"/>
              <w:ind w:right="258"/>
              <w:spacing w:after="0"/>
              <w:rPr>
                <w:sz w:val="20"/>
                <w:szCs w:val="20"/>
                <w:color w:val="auto"/>
              </w:rPr>
            </w:pPr>
            <w:r>
              <w:rPr>
                <w:rFonts w:ascii="Arial" w:cs="Arial" w:eastAsia="Arial" w:hAnsi="Arial"/>
                <w:sz w:val="13"/>
                <w:szCs w:val="13"/>
                <w:color w:val="auto"/>
                <w:w w:val="79"/>
              </w:rPr>
              <w:t>Loss</w:t>
            </w:r>
          </w:p>
        </w:tc>
        <w:tc>
          <w:tcPr>
            <w:tcW w:w="10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w w:val="89"/>
              </w:rPr>
              <w:t>Earnings</w:t>
            </w:r>
          </w:p>
        </w:tc>
        <w:tc>
          <w:tcPr>
            <w:tcW w:w="18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color w:val="auto"/>
                <w:w w:val="88"/>
              </w:rPr>
              <w:t>Equity</w:t>
            </w:r>
          </w:p>
        </w:tc>
        <w:tc>
          <w:tcPr>
            <w:tcW w:w="16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w w:val="87"/>
              </w:rPr>
              <w:t>Total Equity</w:t>
            </w: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Balance at June 30, 2022</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62,374,140</w:t>
            </w:r>
          </w:p>
        </w:tc>
        <w:tc>
          <w:tcPr>
            <w:tcW w:w="24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0.6</w:t>
            </w:r>
          </w:p>
        </w:tc>
        <w:tc>
          <w:tcPr>
            <w:tcW w:w="2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3,474.4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(128.1</w:t>
            </w:r>
          </w:p>
        </w:tc>
        <w:tc>
          <w:tcPr>
            <w:tcW w:w="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3,423.1</w:t>
            </w:r>
          </w:p>
        </w:tc>
        <w:tc>
          <w:tcPr>
            <w:tcW w:w="2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6,770.0</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6,772.1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Consolidated net earnings</w:t>
            </w: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295.3</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Other comprehensive earnings,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80"/>
              <w:spacing w:after="0"/>
              <w:rPr>
                <w:sz w:val="20"/>
                <w:szCs w:val="20"/>
                <w:color w:val="auto"/>
              </w:rPr>
            </w:pPr>
            <w:r>
              <w:rPr>
                <w:rFonts w:ascii="Arial" w:cs="Arial" w:eastAsia="Arial" w:hAnsi="Arial"/>
                <w:sz w:val="13"/>
                <w:szCs w:val="13"/>
                <w:color w:val="auto"/>
              </w:rPr>
              <w:t>net of tax</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w w:val="89"/>
              </w:rPr>
              <w:t>Dividends declared ($0.66 per common share)</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(41.4 )</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(41.4 )</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(41.4 )</w:t>
            </w: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Issuances of common stock for stock</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80"/>
              <w:spacing w:after="0"/>
              <w:rPr>
                <w:sz w:val="20"/>
                <w:szCs w:val="20"/>
                <w:color w:val="auto"/>
              </w:rPr>
            </w:pPr>
            <w:r>
              <w:rPr>
                <w:rFonts w:ascii="Arial" w:cs="Arial" w:eastAsia="Arial" w:hAnsi="Arial"/>
                <w:sz w:val="13"/>
                <w:szCs w:val="13"/>
                <w:color w:val="auto"/>
              </w:rPr>
              <w:t>award plans</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4,339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(1.1 )</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rPr>
              <w:t>Repurchases of common stock</w:t>
            </w:r>
          </w:p>
        </w:tc>
        <w:tc>
          <w:tcPr>
            <w:tcW w:w="1180" w:type="dxa"/>
            <w:vAlign w:val="bottom"/>
            <w:gridSpan w:val="3"/>
          </w:tcPr>
          <w:p>
            <w:pPr>
              <w:jc w:val="right"/>
              <w:ind w:right="180"/>
              <w:spacing w:after="0"/>
              <w:rPr>
                <w:sz w:val="20"/>
                <w:szCs w:val="20"/>
                <w:color w:val="auto"/>
              </w:rPr>
            </w:pPr>
            <w:r>
              <w:rPr>
                <w:rFonts w:ascii="Arial" w:cs="Arial" w:eastAsia="Arial" w:hAnsi="Arial"/>
                <w:sz w:val="13"/>
                <w:szCs w:val="13"/>
                <w:color w:val="auto"/>
              </w:rPr>
              <w:t>(287,785 )</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(100.0 )</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(100.0 )</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84"/>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compensaton expense</w:t>
            </w: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Balance at September 30, 2022</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62,090,694</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3,483.2</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(125.1</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3,577.0</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6,935.7</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262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62,393,990</w:t>
            </w:r>
          </w:p>
        </w:tc>
        <w:tc>
          <w:tcPr>
            <w:tcW w:w="240" w:type="dxa"/>
            <w:vAlign w:val="bottom"/>
          </w:tcPr>
          <w:p>
            <w:pPr>
              <w:spacing w:after="0"/>
              <w:rPr>
                <w:sz w:val="24"/>
                <w:szCs w:val="24"/>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0.6</w:t>
            </w: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3,470.4</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18"/>
              <w:spacing w:after="0"/>
              <w:rPr>
                <w:sz w:val="20"/>
                <w:szCs w:val="20"/>
                <w:color w:val="auto"/>
              </w:rPr>
            </w:pPr>
            <w:r>
              <w:rPr>
                <w:rFonts w:ascii="Arial" w:cs="Arial" w:eastAsia="Arial" w:hAnsi="Arial"/>
                <w:sz w:val="13"/>
                <w:szCs w:val="13"/>
                <w:color w:val="auto"/>
              </w:rPr>
              <w:t>(97.6 )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3,161.9</w:t>
            </w:r>
          </w:p>
        </w:tc>
        <w:tc>
          <w:tcPr>
            <w:tcW w:w="2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6,535.3</w:t>
            </w:r>
          </w:p>
        </w:tc>
        <w:tc>
          <w:tcPr>
            <w:tcW w:w="2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6,537.6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Consolidated net earnings (loss)</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rPr>
              <w:t>Other comprehensive loss, net of tax</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18"/>
              <w:spacing w:after="0"/>
              <w:rPr>
                <w:sz w:val="20"/>
                <w:szCs w:val="20"/>
                <w:color w:val="auto"/>
              </w:rPr>
            </w:pPr>
            <w:r>
              <w:rPr>
                <w:rFonts w:ascii="Arial" w:cs="Arial" w:eastAsia="Arial" w:hAnsi="Arial"/>
                <w:sz w:val="13"/>
                <w:szCs w:val="13"/>
                <w:color w:val="auto"/>
              </w:rPr>
              <w:t>(27.5 )</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(27.5 )</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(27.5 )</w:t>
            </w:r>
          </w:p>
        </w:tc>
        <w:tc>
          <w:tcPr>
            <w:tcW w:w="0" w:type="dxa"/>
            <w:vAlign w:val="bottom"/>
          </w:tcPr>
          <w:p>
            <w:pPr>
              <w:spacing w:after="0"/>
              <w:rPr>
                <w:sz w:val="1"/>
                <w:szCs w:val="1"/>
                <w:color w:val="auto"/>
              </w:rPr>
            </w:pPr>
          </w:p>
        </w:tc>
      </w:tr>
      <w:tr>
        <w:trPr>
          <w:trHeight w:val="184"/>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w w:val="89"/>
              </w:rPr>
              <w:t>Dividends declared ($1.88 per common share)</w:t>
            </w: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(118.1 )</w:t>
            </w: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(118.1 )</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(118.1 )</w:t>
            </w:r>
          </w:p>
        </w:tc>
        <w:tc>
          <w:tcPr>
            <w:tcW w:w="0" w:type="dxa"/>
            <w:vAlign w:val="bottom"/>
          </w:tcPr>
          <w:p>
            <w:pPr>
              <w:spacing w:after="0"/>
              <w:rPr>
                <w:sz w:val="1"/>
                <w:szCs w:val="1"/>
                <w:color w:val="auto"/>
              </w:rPr>
            </w:pPr>
          </w:p>
        </w:tc>
      </w:tr>
      <w:tr>
        <w:trPr>
          <w:trHeight w:val="144"/>
        </w:trPr>
        <w:tc>
          <w:tcPr>
            <w:tcW w:w="2620" w:type="dxa"/>
            <w:vAlign w:val="bottom"/>
          </w:tcPr>
          <w:p>
            <w:pPr>
              <w:ind w:left="200"/>
              <w:spacing w:after="0" w:line="144" w:lineRule="exact"/>
              <w:rPr>
                <w:sz w:val="20"/>
                <w:szCs w:val="20"/>
                <w:color w:val="auto"/>
              </w:rPr>
            </w:pPr>
            <w:r>
              <w:rPr>
                <w:rFonts w:ascii="Arial" w:cs="Arial" w:eastAsia="Arial" w:hAnsi="Arial"/>
                <w:sz w:val="13"/>
                <w:szCs w:val="13"/>
                <w:color w:val="auto"/>
              </w:rPr>
              <w:t>Issuances of common stock for stock</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280"/>
              <w:spacing w:after="0"/>
              <w:rPr>
                <w:sz w:val="20"/>
                <w:szCs w:val="20"/>
                <w:color w:val="auto"/>
              </w:rPr>
            </w:pPr>
            <w:r>
              <w:rPr>
                <w:rFonts w:ascii="Arial" w:cs="Arial" w:eastAsia="Arial" w:hAnsi="Arial"/>
                <w:sz w:val="13"/>
                <w:szCs w:val="13"/>
                <w:color w:val="auto"/>
              </w:rPr>
              <w:t>award plans</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115,040</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(26.2 )</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(26.2 )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(26.2 )</w:t>
            </w:r>
          </w:p>
        </w:tc>
        <w:tc>
          <w:tcPr>
            <w:tcW w:w="0" w:type="dxa"/>
            <w:vAlign w:val="bottom"/>
          </w:tcPr>
          <w:p>
            <w:pPr>
              <w:spacing w:after="0"/>
              <w:rPr>
                <w:sz w:val="1"/>
                <w:szCs w:val="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3"/>
                <w:szCs w:val="13"/>
                <w:color w:val="auto"/>
              </w:rPr>
              <w:t>Repurchases of common stock</w:t>
            </w:r>
          </w:p>
        </w:tc>
        <w:tc>
          <w:tcPr>
            <w:tcW w:w="1180" w:type="dxa"/>
            <w:vAlign w:val="bottom"/>
            <w:gridSpan w:val="3"/>
          </w:tcPr>
          <w:p>
            <w:pPr>
              <w:jc w:val="right"/>
              <w:ind w:right="180"/>
              <w:spacing w:after="0"/>
              <w:rPr>
                <w:sz w:val="20"/>
                <w:szCs w:val="20"/>
                <w:color w:val="auto"/>
              </w:rPr>
            </w:pPr>
            <w:r>
              <w:rPr>
                <w:rFonts w:ascii="Arial" w:cs="Arial" w:eastAsia="Arial" w:hAnsi="Arial"/>
                <w:sz w:val="13"/>
                <w:szCs w:val="13"/>
                <w:color w:val="auto"/>
              </w:rPr>
              <w:t>(418,336 )</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(150.0 )</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(150.0 )</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(150.0 )</w:t>
            </w:r>
          </w:p>
        </w:tc>
        <w:tc>
          <w:tcPr>
            <w:tcW w:w="0" w:type="dxa"/>
            <w:vAlign w:val="bottom"/>
          </w:tcPr>
          <w:p>
            <w:pPr>
              <w:spacing w:after="0"/>
              <w:rPr>
                <w:sz w:val="1"/>
                <w:szCs w:val="1"/>
                <w:color w:val="auto"/>
              </w:rPr>
            </w:pPr>
          </w:p>
        </w:tc>
      </w:tr>
      <w:tr>
        <w:trPr>
          <w:trHeight w:val="184"/>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compensaton expense</w:t>
            </w: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Balance at September 30, 2022</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62,090,694</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3,483.2</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(125.1</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3,577.0</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6,935.7</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Signifcant Accountng Policies</w:t>
      </w:r>
    </w:p>
    <w:p>
      <w:pPr>
        <w:spacing w:after="0" w:line="22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Organizaton</w:t>
      </w:r>
    </w:p>
    <w:p>
      <w:pPr>
        <w:spacing w:after="0" w:line="121" w:lineRule="exact"/>
        <w:rPr>
          <w:rFonts w:ascii="Arial" w:cs="Arial" w:eastAsia="Arial" w:hAnsi="Arial"/>
          <w:sz w:val="20"/>
          <w:szCs w:val="20"/>
          <w:b w:val="1"/>
          <w:bCs w:val="1"/>
          <w:color w:val="auto"/>
        </w:rPr>
      </w:pPr>
    </w:p>
    <w:p>
      <w:pPr>
        <w:jc w:val="both"/>
        <w:ind w:left="380"/>
        <w:spacing w:after="0" w:line="286" w:lineRule="auto"/>
        <w:rPr>
          <w:rFonts w:ascii="Arial" w:cs="Arial" w:eastAsia="Arial" w:hAnsi="Arial"/>
          <w:sz w:val="20"/>
          <w:szCs w:val="20"/>
          <w:b w:val="1"/>
          <w:bCs w:val="1"/>
          <w:color w:val="auto"/>
        </w:rPr>
      </w:pPr>
      <w:r>
        <w:rPr>
          <w:rFonts w:ascii="Arial" w:cs="Arial" w:eastAsia="Arial" w:hAnsi="Arial"/>
          <w:sz w:val="18"/>
          <w:szCs w:val="18"/>
          <w:color w:val="auto"/>
        </w:rPr>
        <w:t>Martn Marieta Materials, Inc. (the Company or Martn Marieta) is a natural resource-based building materials company. As of September 30, 2023, the Company supplies aggregates (crushed stone, sand and gravel) 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In additon, the Company has one cement plant that is classifed as assets held for sale and reported as discontnued operatons as of and for the three and nine months ended September 30, 2023 and 2022. The Company's Stockton, California cement import terminal, through its May 2023 date of divestture (see Note 2), was reported as discontnued operatons for the nine months ended September 30, 2023 and 2022, and classifed as assets held for sale as of December 31, 2022. The Company’s heavy-side building materials are used in infrastructure, nonresidental and residental constructon projects. Aggregates are also used in agricultural, utlity and environmental applicatons and as railroad ballast. The aggregates, cement, ready mixed concrete, asphalt and paving product lines are reported collectvely as the “Building Materials” business.</w:t>
      </w:r>
    </w:p>
    <w:p>
      <w:pPr>
        <w:spacing w:after="0" w:line="6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(contnuing operatons only)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60" w:type="dxa"/>
            <w:vAlign w:val="bottom"/>
          </w:tcPr>
          <w:p>
            <w:pPr>
              <w:jc w:val="center"/>
              <w:spacing w:after="0"/>
              <w:rPr>
                <w:sz w:val="20"/>
                <w:szCs w:val="20"/>
                <w:color w:val="auto"/>
              </w:rPr>
            </w:pPr>
            <w:r>
              <w:rPr>
                <w:rFonts w:ascii="Arial" w:cs="Arial" w:eastAsia="Arial" w:hAnsi="Arial"/>
                <w:sz w:val="20"/>
                <w:szCs w:val="20"/>
                <w:color w:val="auto"/>
                <w:w w:val="88"/>
              </w:rPr>
              <w:t>Reportable Segments</w:t>
            </w:r>
          </w:p>
        </w:tc>
        <w:tc>
          <w:tcPr>
            <w:tcW w:w="18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6"/>
              </w:rPr>
              <w:t>East Group</w:t>
            </w: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89"/>
              </w:rPr>
              <w:t>West Group</w:t>
            </w:r>
          </w:p>
        </w:tc>
        <w:tc>
          <w:tcPr>
            <w:tcW w:w="0" w:type="dxa"/>
            <w:vAlign w:val="bottom"/>
          </w:tcPr>
          <w:p>
            <w:pPr>
              <w:spacing w:after="0"/>
              <w:rPr>
                <w:sz w:val="1"/>
                <w:szCs w:val="1"/>
                <w:color w:val="auto"/>
              </w:rPr>
            </w:pPr>
          </w:p>
        </w:tc>
      </w:tr>
      <w:tr>
        <w:trPr>
          <w:trHeight w:val="45"/>
        </w:trPr>
        <w:tc>
          <w:tcPr>
            <w:tcW w:w="316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60" w:type="dxa"/>
            <w:vAlign w:val="bottom"/>
          </w:tcPr>
          <w:p>
            <w:pPr>
              <w:jc w:val="center"/>
              <w:spacing w:after="0" w:line="198" w:lineRule="exact"/>
              <w:rPr>
                <w:sz w:val="20"/>
                <w:szCs w:val="20"/>
                <w:color w:val="auto"/>
              </w:rPr>
            </w:pPr>
            <w:r>
              <w:rPr>
                <w:rFonts w:ascii="Arial" w:cs="Arial" w:eastAsia="Arial" w:hAnsi="Arial"/>
                <w:sz w:val="20"/>
                <w:szCs w:val="20"/>
                <w:color w:val="auto"/>
                <w:w w:val="94"/>
              </w:rPr>
              <w:t>Operatng Locatons</w:t>
            </w:r>
          </w:p>
        </w:tc>
        <w:tc>
          <w:tcPr>
            <w:tcW w:w="180" w:type="dxa"/>
            <w:vAlign w:val="bottom"/>
            <w:vMerge w:val="continue"/>
          </w:tcPr>
          <w:p>
            <w:pPr>
              <w:spacing w:after="0"/>
              <w:rPr>
                <w:sz w:val="17"/>
                <w:szCs w:val="17"/>
                <w:color w:val="auto"/>
              </w:rPr>
            </w:pPr>
          </w:p>
        </w:tc>
        <w:tc>
          <w:tcPr>
            <w:tcW w:w="3720" w:type="dxa"/>
            <w:vAlign w:val="bottom"/>
          </w:tcPr>
          <w:p>
            <w:pPr>
              <w:jc w:val="center"/>
              <w:spacing w:after="0" w:line="198" w:lineRule="exact"/>
              <w:rPr>
                <w:sz w:val="20"/>
                <w:szCs w:val="20"/>
                <w:color w:val="auto"/>
              </w:rPr>
            </w:pPr>
            <w:r>
              <w:rPr>
                <w:rFonts w:ascii="Arial" w:cs="Arial" w:eastAsia="Arial" w:hAnsi="Arial"/>
                <w:sz w:val="20"/>
                <w:szCs w:val="20"/>
                <w:color w:val="auto"/>
                <w:w w:val="89"/>
              </w:rPr>
              <w:t>Alabama, Florida, Georgia, Indiana,</w:t>
            </w:r>
          </w:p>
        </w:tc>
        <w:tc>
          <w:tcPr>
            <w:tcW w:w="180" w:type="dxa"/>
            <w:vAlign w:val="bottom"/>
            <w:vMerge w:val="continue"/>
          </w:tcPr>
          <w:p>
            <w:pPr>
              <w:spacing w:after="0"/>
              <w:rPr>
                <w:sz w:val="17"/>
                <w:szCs w:val="17"/>
                <w:color w:val="auto"/>
              </w:rPr>
            </w:pPr>
          </w:p>
        </w:tc>
        <w:tc>
          <w:tcPr>
            <w:tcW w:w="4000" w:type="dxa"/>
            <w:vAlign w:val="bottom"/>
          </w:tcPr>
          <w:p>
            <w:pPr>
              <w:jc w:val="center"/>
              <w:spacing w:after="0" w:line="198" w:lineRule="exact"/>
              <w:rPr>
                <w:sz w:val="20"/>
                <w:szCs w:val="20"/>
                <w:color w:val="auto"/>
              </w:rPr>
            </w:pPr>
            <w:r>
              <w:rPr>
                <w:rFonts w:ascii="Arial" w:cs="Arial" w:eastAsia="Arial" w:hAnsi="Arial"/>
                <w:sz w:val="20"/>
                <w:szCs w:val="20"/>
                <w:color w:val="auto"/>
                <w:w w:val="88"/>
              </w:rPr>
              <w:t>Arizona, Arkansas, California, Colorado,</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Iowa, Kansas, Kentucky, Maryland,</w:t>
            </w:r>
          </w:p>
        </w:tc>
        <w:tc>
          <w:tcPr>
            <w:tcW w:w="180" w:type="dxa"/>
            <w:vAlign w:val="bottom"/>
          </w:tcPr>
          <w:p>
            <w:pPr>
              <w:spacing w:after="0"/>
              <w:rPr>
                <w:sz w:val="21"/>
                <w:szCs w:val="21"/>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87"/>
              </w:rPr>
              <w:t>Louisiana, Oklahoma, Texas, Utah,</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ind w:left="980"/>
              <w:spacing w:after="0"/>
              <w:rPr>
                <w:sz w:val="20"/>
                <w:szCs w:val="20"/>
                <w:color w:val="auto"/>
              </w:rPr>
            </w:pPr>
            <w:r>
              <w:rPr>
                <w:rFonts w:ascii="Arial" w:cs="Arial" w:eastAsia="Arial" w:hAnsi="Arial"/>
                <w:sz w:val="20"/>
                <w:szCs w:val="20"/>
                <w:color w:val="auto"/>
              </w:rPr>
              <w:t>Minnesota, Missouri,</w:t>
            </w:r>
          </w:p>
        </w:tc>
        <w:tc>
          <w:tcPr>
            <w:tcW w:w="180" w:type="dxa"/>
            <w:vAlign w:val="bottom"/>
          </w:tcPr>
          <w:p>
            <w:pPr>
              <w:spacing w:after="0"/>
              <w:rPr>
                <w:sz w:val="21"/>
                <w:szCs w:val="21"/>
                <w:color w:val="auto"/>
              </w:rPr>
            </w:pPr>
          </w:p>
        </w:tc>
        <w:tc>
          <w:tcPr>
            <w:tcW w:w="4000" w:type="dxa"/>
            <w:vAlign w:val="bottom"/>
          </w:tcPr>
          <w:p>
            <w:pPr>
              <w:ind w:left="900"/>
              <w:spacing w:after="0"/>
              <w:rPr>
                <w:sz w:val="20"/>
                <w:szCs w:val="20"/>
                <w:color w:val="auto"/>
              </w:rPr>
            </w:pPr>
            <w:r>
              <w:rPr>
                <w:rFonts w:ascii="Arial" w:cs="Arial" w:eastAsia="Arial" w:hAnsi="Arial"/>
                <w:sz w:val="20"/>
                <w:szCs w:val="20"/>
                <w:color w:val="auto"/>
              </w:rPr>
              <w:t>Washington and Wyoming</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9"/>
              </w:rPr>
              <w:t>Nebraska, North Carolina, Ohio,</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Pennsylvania, South Carolina,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Tennessee, Virginia, West Virginia,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Nova Scota and The Bahamas</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160" w:type="dxa"/>
            <w:vAlign w:val="bottom"/>
          </w:tcPr>
          <w:p>
            <w:pPr>
              <w:jc w:val="center"/>
              <w:spacing w:after="0"/>
              <w:rPr>
                <w:sz w:val="20"/>
                <w:szCs w:val="20"/>
                <w:color w:val="auto"/>
              </w:rPr>
            </w:pPr>
            <w:r>
              <w:rPr>
                <w:rFonts w:ascii="Arial" w:cs="Arial" w:eastAsia="Arial" w:hAnsi="Arial"/>
                <w:sz w:val="20"/>
                <w:szCs w:val="20"/>
                <w:color w:val="auto"/>
                <w:w w:val="88"/>
              </w:rPr>
              <w:t>Product Lines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Aggregates and Asphalt</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 Concrete,</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88"/>
              </w:rPr>
              <w:t>Asphalt and Paving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-1736725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for steel producton and soil stabilizaton.</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Presentaton and Use of Estmates</w:t>
      </w:r>
    </w:p>
    <w:p>
      <w:pPr>
        <w:spacing w:after="0" w:line="121" w:lineRule="exact"/>
        <w:rPr>
          <w:sz w:val="20"/>
          <w:szCs w:val="20"/>
          <w:color w:val="auto"/>
        </w:rPr>
      </w:pPr>
    </w:p>
    <w:p>
      <w:pPr>
        <w:jc w:val="both"/>
        <w:ind w:left="380"/>
        <w:spacing w:after="0" w:line="254" w:lineRule="auto"/>
        <w:rPr>
          <w:sz w:val="20"/>
          <w:szCs w:val="20"/>
          <w:color w:val="auto"/>
        </w:rPr>
      </w:pPr>
      <w:r>
        <w:rPr>
          <w:rFonts w:ascii="Arial" w:cs="Arial" w:eastAsia="Arial" w:hAnsi="Arial"/>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2022. In the opinion of management, the interim consolidated fnancial informaton provided herein refects all adjustments,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consistng of normal recurring accruals, necessary for a fair statement of the results of operatons, fnancial positon and cash fows for the interim periods. The consolidated results of operatons for the three and nine months ended September 30, 2023 are not necessarily indicatve of the results expected for other interim periods or the full year. The consolidated balance sheet at December 31, 2022 has been derived from the audited consolidated fnancial statements at that date but does not include all of the informaton and notes required by U.S. GAAP for complete fnancial statements. These consolidated fnancial statements should be read in conjuncton with the audited consolidated fnancial statements and notes thereto included in the Company’s Annual Report on Form 10-K for the year ended December 31, 2022.</w:t>
      </w:r>
    </w:p>
    <w:p>
      <w:pPr>
        <w:spacing w:after="0" w:line="85"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Cash</w:t>
      </w:r>
    </w:p>
    <w:p>
      <w:pPr>
        <w:spacing w:after="0" w:line="121" w:lineRule="exact"/>
        <w:rPr>
          <w:sz w:val="20"/>
          <w:szCs w:val="20"/>
          <w:color w:val="auto"/>
        </w:rPr>
      </w:pPr>
    </w:p>
    <w:p>
      <w:pPr>
        <w:jc w:val="both"/>
        <w:ind w:left="380"/>
        <w:spacing w:after="0" w:line="294" w:lineRule="auto"/>
        <w:rPr>
          <w:sz w:val="20"/>
          <w:szCs w:val="20"/>
          <w:color w:val="auto"/>
        </w:rPr>
      </w:pPr>
      <w:r>
        <w:rPr>
          <w:rFonts w:ascii="Arial" w:cs="Arial" w:eastAsia="Arial" w:hAnsi="Arial"/>
          <w:sz w:val="18"/>
          <w:szCs w:val="18"/>
          <w:color w:val="auto"/>
        </w:rPr>
        <w:t>At December 31, 2022, the Company had restricted cash of $0.8 million, which was invested in an account designated for the purchase of like-kind exchange replacement assets under Secton 1031 of the Internal Revenue Code and related IRS procedures (Secton 1031). The Company was restricted from utlizing the cash for purposes other than the purchase of qualifed assets for 180 days from receipt of the proceeds from the sale of the exchanged property. Any unused cash at the end of the 180 days was transferred to unrestricted accounts of the Company and used for general corporate purposes. There was no restricted cash at September 30, 2023.</w:t>
      </w:r>
    </w:p>
    <w:p>
      <w:pPr>
        <w:spacing w:after="0" w:line="55"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281"/>
              <w:spacing w:after="0"/>
              <w:rPr>
                <w:sz w:val="20"/>
                <w:szCs w:val="20"/>
                <w:color w:val="auto"/>
              </w:rPr>
            </w:pPr>
            <w:r>
              <w:rPr>
                <w:rFonts w:ascii="Arial" w:cs="Arial" w:eastAsia="Arial" w:hAnsi="Arial"/>
                <w:sz w:val="20"/>
                <w:szCs w:val="20"/>
                <w:color w:val="auto"/>
                <w:w w:val="99"/>
              </w:rPr>
              <w:t>September 30,</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301"/>
              <w:spacing w:after="0"/>
              <w:rPr>
                <w:sz w:val="20"/>
                <w:szCs w:val="20"/>
                <w:color w:val="auto"/>
              </w:rPr>
            </w:pPr>
            <w:r>
              <w:rPr>
                <w:rFonts w:ascii="Arial" w:cs="Arial" w:eastAsia="Arial" w:hAnsi="Arial"/>
                <w:sz w:val="20"/>
                <w:szCs w:val="20"/>
                <w:color w:val="auto"/>
              </w:rPr>
              <w:t>December 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681"/>
              <w:spacing w:after="0"/>
              <w:rPr>
                <w:sz w:val="20"/>
                <w:szCs w:val="20"/>
                <w:color w:val="auto"/>
              </w:rPr>
            </w:pPr>
            <w:r>
              <w:rPr>
                <w:rFonts w:ascii="Arial" w:cs="Arial" w:eastAsia="Arial" w:hAnsi="Arial"/>
                <w:sz w:val="20"/>
                <w:szCs w:val="20"/>
                <w:color w:val="auto"/>
              </w:rPr>
              <w:t>2023</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66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69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20"/>
                <w:szCs w:val="20"/>
                <w:i w:val="1"/>
                <w:iCs w:val="1"/>
                <w:color w:val="auto"/>
              </w:rPr>
              <w:t>in</w:t>
            </w:r>
          </w:p>
        </w:tc>
        <w:tc>
          <w:tcPr>
            <w:tcW w:w="19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80" w:type="dxa"/>
            <w:vAlign w:val="bottom"/>
            <w:vMerge w:val="continue"/>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Cash and cash equivalents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647.6</w:t>
            </w:r>
          </w:p>
        </w:tc>
        <w:tc>
          <w:tcPr>
            <w:tcW w:w="620" w:type="dxa"/>
            <w:vAlign w:val="bottom"/>
            <w:gridSpan w:val="2"/>
            <w:shd w:val="clear" w:color="auto" w:fill="CFF0FC"/>
          </w:tcPr>
          <w:p>
            <w:pPr>
              <w:ind w:left="380"/>
              <w:spacing w:after="0"/>
              <w:rPr>
                <w:sz w:val="20"/>
                <w:szCs w:val="20"/>
                <w:color w:val="auto"/>
              </w:rPr>
            </w:pPr>
            <w:r>
              <w:rPr>
                <w:rFonts w:ascii="Arial" w:cs="Arial" w:eastAsia="Arial" w:hAnsi="Arial"/>
                <w:sz w:val="20"/>
                <w:szCs w:val="20"/>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00" w:type="dxa"/>
            <w:vAlign w:val="bottom"/>
          </w:tcPr>
          <w:p>
            <w:pPr>
              <w:ind w:left="20"/>
              <w:spacing w:after="0"/>
              <w:rPr>
                <w:sz w:val="20"/>
                <w:szCs w:val="20"/>
                <w:color w:val="auto"/>
              </w:rPr>
            </w:pPr>
            <w:r>
              <w:rPr>
                <w:rFonts w:ascii="Arial" w:cs="Arial" w:eastAsia="Arial" w:hAnsi="Arial"/>
                <w:sz w:val="20"/>
                <w:szCs w:val="20"/>
                <w:color w:val="auto"/>
              </w:rPr>
              <w:t>Restricted cash</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90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Total cash, cash equivalents and restricted cash</w:t>
            </w:r>
          </w:p>
        </w:tc>
        <w:tc>
          <w:tcPr>
            <w:tcW w:w="240" w:type="dxa"/>
            <w:vAlign w:val="bottom"/>
            <w:vMerge w:val="restart"/>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7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647.6</w:t>
            </w:r>
          </w:p>
        </w:tc>
        <w:tc>
          <w:tcPr>
            <w:tcW w:w="380" w:type="dxa"/>
            <w:vAlign w:val="bottom"/>
            <w:vMerge w:val="restart"/>
            <w:shd w:val="clear" w:color="auto" w:fill="CFF0FC"/>
          </w:tcPr>
          <w:p>
            <w:pPr>
              <w:spacing w:after="0"/>
              <w:rPr>
                <w:sz w:val="18"/>
                <w:szCs w:val="18"/>
                <w:color w:val="auto"/>
              </w:rPr>
            </w:pPr>
          </w:p>
        </w:tc>
        <w:tc>
          <w:tcPr>
            <w:tcW w:w="24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w:t>
            </w:r>
          </w:p>
        </w:tc>
        <w:tc>
          <w:tcPr>
            <w:tcW w:w="16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358.8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9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presented in the consolidated statements of cash fows</w:t>
            </w:r>
          </w:p>
        </w:tc>
        <w:tc>
          <w:tcPr>
            <w:tcW w:w="240" w:type="dxa"/>
            <w:vAlign w:val="bottom"/>
            <w:tcBorders>
              <w:bottom w:val="single" w:sz="8" w:color="auto"/>
            </w:tcBorders>
            <w:vMerge w:val="continue"/>
            <w:shd w:val="clear" w:color="auto" w:fill="CFF0FC"/>
          </w:tcPr>
          <w:p>
            <w:pPr>
              <w:spacing w:after="0"/>
              <w:rPr>
                <w:sz w:val="24"/>
                <w:szCs w:val="24"/>
                <w:color w:val="auto"/>
              </w:rPr>
            </w:pPr>
          </w:p>
        </w:tc>
        <w:tc>
          <w:tcPr>
            <w:tcW w:w="1700" w:type="dxa"/>
            <w:vAlign w:val="bottom"/>
            <w:tcBorders>
              <w:bottom w:val="single" w:sz="8" w:color="auto"/>
            </w:tcBorders>
            <w:vMerge w:val="continue"/>
            <w:shd w:val="clear" w:color="auto" w:fill="CFF0FC"/>
          </w:tcPr>
          <w:p>
            <w:pPr>
              <w:spacing w:after="0"/>
              <w:rPr>
                <w:sz w:val="24"/>
                <w:szCs w:val="24"/>
                <w:color w:val="auto"/>
              </w:rPr>
            </w:pPr>
          </w:p>
        </w:tc>
        <w:tc>
          <w:tcPr>
            <w:tcW w:w="380" w:type="dxa"/>
            <w:vAlign w:val="bottom"/>
            <w:tcBorders>
              <w:bottom w:val="single" w:sz="8" w:color="CFF0FC"/>
            </w:tcBorders>
            <w:vMerge w:val="continue"/>
            <w:shd w:val="clear" w:color="auto" w:fill="CFF0FC"/>
          </w:tcPr>
          <w:p>
            <w:pPr>
              <w:spacing w:after="0"/>
              <w:rPr>
                <w:sz w:val="24"/>
                <w:szCs w:val="24"/>
                <w:color w:val="auto"/>
              </w:rPr>
            </w:pPr>
          </w:p>
        </w:tc>
        <w:tc>
          <w:tcPr>
            <w:tcW w:w="240" w:type="dxa"/>
            <w:vAlign w:val="bottom"/>
            <w:tcBorders>
              <w:bottom w:val="single" w:sz="8" w:color="auto"/>
            </w:tcBorders>
            <w:vMerge w:val="continue"/>
            <w:shd w:val="clear" w:color="auto" w:fill="CFF0FC"/>
          </w:tcPr>
          <w:p>
            <w:pPr>
              <w:spacing w:after="0"/>
              <w:rPr>
                <w:sz w:val="24"/>
                <w:szCs w:val="24"/>
                <w:color w:val="auto"/>
              </w:rPr>
            </w:pPr>
          </w:p>
        </w:tc>
        <w:tc>
          <w:tcPr>
            <w:tcW w:w="168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Investments</w:t>
      </w:r>
    </w:p>
    <w:p>
      <w:pPr>
        <w:spacing w:after="0" w:line="121"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At December 31, 2022, the Company had $704.6 million of restricted investments, representng assets irrevocably transferred to an escrow trust account to satsfy and discharge the Company’s $700.0 million of 0.650% Senior Notes due 2023 (the 2023 Notes) (see Note 4). The assets in the escrow trust account could not be used for any purpose other than to satsfy the remaining interest payments and to repay the principal amount of the 2023 Notes that matured on July 15, 2023. The assets transferred to the escrow trust account were invested in a U.S. Treasury securites fund (see Note 5) and investment returns on those trust assets were for the account of the Company (afer satsfacton of all amounts payable in connecton with the 2023 Notes). The Company consolidated the trust account on its balance sheet at December 31, 2022. On July 17, 2023, Regions Bank satsfed the remaining principal and interest payments and the 2023 Notes are considered repaid in full. There were no restricted investments at September 30, 2023.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 (Loss) and Accumulated Other Comprehensive Loss</w:t>
      </w:r>
    </w:p>
    <w:p>
      <w:pPr>
        <w:spacing w:after="0" w:line="121"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Consolidated comprehensive earnings (loss)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Consolidated comprehensive earnings (loss) atributable to Martn Marieta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gridSpan w:val="4"/>
          </w:tcPr>
          <w:p>
            <w:pPr>
              <w:jc w:val="right"/>
              <w:ind w:right="461"/>
              <w:spacing w:after="0"/>
              <w:rPr>
                <w:sz w:val="20"/>
                <w:szCs w:val="20"/>
                <w:color w:val="auto"/>
              </w:rPr>
            </w:pPr>
            <w:r>
              <w:rPr>
                <w:rFonts w:ascii="Arial" w:cs="Arial" w:eastAsia="Arial" w:hAnsi="Arial"/>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20" w:type="dxa"/>
            <w:vAlign w:val="bottom"/>
            <w:gridSpan w:val="4"/>
          </w:tcPr>
          <w:p>
            <w:pPr>
              <w:jc w:val="right"/>
              <w:ind w:right="701"/>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45"/>
        </w:trPr>
        <w:tc>
          <w:tcPr>
            <w:tcW w:w="5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2023</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2022</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60" w:type="dxa"/>
            <w:vAlign w:val="bottom"/>
          </w:tcPr>
          <w:p>
            <w:pPr>
              <w:spacing w:after="0" w:line="226" w:lineRule="exact"/>
              <w:rPr>
                <w:sz w:val="20"/>
                <w:szCs w:val="20"/>
                <w:color w:val="auto"/>
              </w:rPr>
            </w:pPr>
            <w:r>
              <w:rPr>
                <w:rFonts w:ascii="Arial" w:cs="Arial" w:eastAsia="Arial" w:hAnsi="Arial"/>
                <w:sz w:val="20"/>
                <w:szCs w:val="20"/>
                <w:i w:val="1"/>
                <w:iCs w:val="1"/>
                <w:color w:val="auto"/>
              </w:rPr>
              <w:t>in</w:t>
            </w:r>
          </w:p>
        </w:tc>
        <w:tc>
          <w:tcPr>
            <w:tcW w:w="124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340" w:type="dxa"/>
            <w:vAlign w:val="bottom"/>
            <w:shd w:val="clear" w:color="auto" w:fill="CFF0FC"/>
          </w:tcPr>
          <w:p>
            <w:pPr>
              <w:ind w:left="20"/>
              <w:spacing w:after="0"/>
              <w:rPr>
                <w:sz w:val="20"/>
                <w:szCs w:val="20"/>
                <w:color w:val="auto"/>
              </w:rPr>
            </w:pPr>
            <w:r>
              <w:rPr>
                <w:rFonts w:ascii="Arial" w:cs="Arial" w:eastAsia="Arial" w:hAnsi="Arial"/>
                <w:sz w:val="20"/>
                <w:szCs w:val="20"/>
                <w:color w:val="auto"/>
              </w:rPr>
              <w:t>Net earnings atributable to Martn Marieta</w:t>
            </w:r>
          </w:p>
        </w:tc>
        <w:tc>
          <w:tcPr>
            <w:tcW w:w="2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416.7</w:t>
            </w:r>
          </w:p>
        </w:tc>
        <w:tc>
          <w:tcPr>
            <w:tcW w:w="56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295.3</w:t>
            </w:r>
          </w:p>
        </w:tc>
        <w:tc>
          <w:tcPr>
            <w:tcW w:w="5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886.4</w:t>
            </w:r>
          </w:p>
        </w:tc>
        <w:tc>
          <w:tcPr>
            <w:tcW w:w="5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683.2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40" w:type="dxa"/>
            <w:vAlign w:val="bottom"/>
          </w:tcPr>
          <w:p>
            <w:pPr>
              <w:ind w:left="20"/>
              <w:spacing w:after="0"/>
              <w:rPr>
                <w:sz w:val="20"/>
                <w:szCs w:val="20"/>
                <w:color w:val="auto"/>
              </w:rPr>
            </w:pPr>
            <w:r>
              <w:rPr>
                <w:rFonts w:ascii="Arial" w:cs="Arial" w:eastAsia="Arial" w:hAnsi="Arial"/>
                <w:sz w:val="20"/>
                <w:szCs w:val="20"/>
                <w:color w:val="auto"/>
              </w:rPr>
              <w:t>Other comprehensive earnings (loss), net of tax</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0.4</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(27.5 )</w:t>
            </w:r>
          </w:p>
        </w:tc>
        <w:tc>
          <w:tcPr>
            <w:tcW w:w="0" w:type="dxa"/>
            <w:vAlign w:val="bottom"/>
          </w:tcPr>
          <w:p>
            <w:pPr>
              <w:spacing w:after="0"/>
              <w:rPr>
                <w:sz w:val="1"/>
                <w:szCs w:val="1"/>
                <w:color w:val="auto"/>
              </w:rPr>
            </w:pPr>
          </w:p>
        </w:tc>
      </w:tr>
      <w:tr>
        <w:trPr>
          <w:trHeight w:val="218"/>
        </w:trPr>
        <w:tc>
          <w:tcPr>
            <w:tcW w:w="53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Consolidated comprehensive earnings</w:t>
            </w:r>
          </w:p>
        </w:tc>
        <w:tc>
          <w:tcPr>
            <w:tcW w:w="280" w:type="dxa"/>
            <w:vAlign w:val="bottom"/>
            <w:tcBorders>
              <w:top w:val="single" w:sz="8" w:color="auto"/>
            </w:tcBorders>
            <w:vMerge w:val="restart"/>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417.1</w:t>
            </w:r>
          </w:p>
        </w:tc>
        <w:tc>
          <w:tcPr>
            <w:tcW w:w="280" w:type="dxa"/>
            <w:vAlign w:val="bottom"/>
            <w:vMerge w:val="restart"/>
            <w:shd w:val="clear" w:color="auto" w:fill="CFF0FC"/>
          </w:tcPr>
          <w:p>
            <w:pPr>
              <w:spacing w:after="0"/>
              <w:rPr>
                <w:sz w:val="18"/>
                <w:szCs w:val="18"/>
                <w:color w:val="auto"/>
              </w:rPr>
            </w:pPr>
          </w:p>
        </w:tc>
        <w:tc>
          <w:tcPr>
            <w:tcW w:w="280" w:type="dxa"/>
            <w:vAlign w:val="bottom"/>
            <w:tcBorders>
              <w:top w:val="single" w:sz="8" w:color="auto"/>
            </w:tcBorders>
            <w:vMerge w:val="restart"/>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298.3</w:t>
            </w:r>
          </w:p>
        </w:tc>
        <w:tc>
          <w:tcPr>
            <w:tcW w:w="260" w:type="dxa"/>
            <w:vAlign w:val="bottom"/>
            <w:vMerge w:val="restart"/>
            <w:shd w:val="clear" w:color="auto" w:fill="CFF0FC"/>
          </w:tcPr>
          <w:p>
            <w:pPr>
              <w:spacing w:after="0"/>
              <w:rPr>
                <w:sz w:val="18"/>
                <w:szCs w:val="18"/>
                <w:color w:val="auto"/>
              </w:rPr>
            </w:pPr>
          </w:p>
        </w:tc>
        <w:tc>
          <w:tcPr>
            <w:tcW w:w="26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889.6</w:t>
            </w:r>
          </w:p>
        </w:tc>
        <w:tc>
          <w:tcPr>
            <w:tcW w:w="240" w:type="dxa"/>
            <w:vAlign w:val="bottom"/>
            <w:vMerge w:val="restart"/>
            <w:shd w:val="clear" w:color="auto" w:fill="CFF0FC"/>
          </w:tcPr>
          <w:p>
            <w:pPr>
              <w:spacing w:after="0"/>
              <w:rPr>
                <w:sz w:val="18"/>
                <w:szCs w:val="18"/>
                <w:color w:val="auto"/>
              </w:rPr>
            </w:pPr>
          </w:p>
        </w:tc>
        <w:tc>
          <w:tcPr>
            <w:tcW w:w="260" w:type="dxa"/>
            <w:vAlign w:val="bottom"/>
            <w:tcBorders>
              <w:top w:val="single" w:sz="8" w:color="auto"/>
            </w:tcBorders>
            <w:vMerge w:val="restart"/>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655.7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atributable to Martn Marieta</w:t>
            </w:r>
          </w:p>
        </w:tc>
        <w:tc>
          <w:tcPr>
            <w:tcW w:w="280" w:type="dxa"/>
            <w:vAlign w:val="bottom"/>
            <w:tcBorders>
              <w:bottom w:val="single" w:sz="8" w:color="auto"/>
            </w:tcBorders>
            <w:vMerge w:val="continue"/>
            <w:shd w:val="clear" w:color="auto" w:fill="CFF0FC"/>
          </w:tcPr>
          <w:p>
            <w:pPr>
              <w:spacing w:after="0"/>
              <w:rPr>
                <w:sz w:val="24"/>
                <w:szCs w:val="24"/>
                <w:color w:val="auto"/>
              </w:rPr>
            </w:pPr>
          </w:p>
        </w:tc>
        <w:tc>
          <w:tcPr>
            <w:tcW w:w="980" w:type="dxa"/>
            <w:vAlign w:val="bottom"/>
            <w:tcBorders>
              <w:bottom w:val="single" w:sz="8" w:color="auto"/>
            </w:tcBorders>
            <w:vMerge w:val="continue"/>
            <w:shd w:val="clear" w:color="auto" w:fill="CFF0FC"/>
          </w:tcPr>
          <w:p>
            <w:pPr>
              <w:spacing w:after="0"/>
              <w:rPr>
                <w:sz w:val="24"/>
                <w:szCs w:val="24"/>
                <w:color w:val="auto"/>
              </w:rPr>
            </w:pPr>
          </w:p>
        </w:tc>
        <w:tc>
          <w:tcPr>
            <w:tcW w:w="280" w:type="dxa"/>
            <w:vAlign w:val="bottom"/>
            <w:tcBorders>
              <w:bottom w:val="single" w:sz="8" w:color="CFF0FC"/>
            </w:tcBorders>
            <w:vMerge w:val="continue"/>
            <w:shd w:val="clear" w:color="auto" w:fill="CFF0FC"/>
          </w:tcPr>
          <w:p>
            <w:pPr>
              <w:spacing w:after="0"/>
              <w:rPr>
                <w:sz w:val="24"/>
                <w:szCs w:val="24"/>
                <w:color w:val="auto"/>
              </w:rPr>
            </w:pPr>
          </w:p>
        </w:tc>
        <w:tc>
          <w:tcPr>
            <w:tcW w:w="280" w:type="dxa"/>
            <w:vAlign w:val="bottom"/>
            <w:tcBorders>
              <w:bottom w:val="single" w:sz="8" w:color="auto"/>
            </w:tcBorders>
            <w:vMerge w:val="continue"/>
            <w:shd w:val="clear" w:color="auto" w:fill="CFF0FC"/>
          </w:tcPr>
          <w:p>
            <w:pPr>
              <w:spacing w:after="0"/>
              <w:rPr>
                <w:sz w:val="24"/>
                <w:szCs w:val="24"/>
                <w:color w:val="auto"/>
              </w:rPr>
            </w:pPr>
          </w:p>
        </w:tc>
        <w:tc>
          <w:tcPr>
            <w:tcW w:w="980" w:type="dxa"/>
            <w:vAlign w:val="bottom"/>
            <w:tcBorders>
              <w:bottom w:val="single" w:sz="8" w:color="auto"/>
            </w:tcBorders>
            <w:vMerge w:val="continue"/>
            <w:shd w:val="clear" w:color="auto" w:fill="CFF0FC"/>
          </w:tcPr>
          <w:p>
            <w:pPr>
              <w:spacing w:after="0"/>
              <w:rPr>
                <w:sz w:val="24"/>
                <w:szCs w:val="24"/>
                <w:color w:val="auto"/>
              </w:rPr>
            </w:pPr>
          </w:p>
        </w:tc>
        <w:tc>
          <w:tcPr>
            <w:tcW w:w="26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980" w:type="dxa"/>
            <w:vAlign w:val="bottom"/>
            <w:tcBorders>
              <w:bottom w:val="single" w:sz="8" w:color="auto"/>
            </w:tcBorders>
            <w:vMerge w:val="continue"/>
            <w:shd w:val="clear" w:color="auto" w:fill="CFF0FC"/>
          </w:tcPr>
          <w:p>
            <w:pPr>
              <w:spacing w:after="0"/>
              <w:rPr>
                <w:sz w:val="24"/>
                <w:szCs w:val="24"/>
                <w:color w:val="auto"/>
              </w:rPr>
            </w:pPr>
          </w:p>
        </w:tc>
        <w:tc>
          <w:tcPr>
            <w:tcW w:w="24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-25400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1"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Accumulated other comprehensive loss consists of unrecognized gains and losses related to the funded status of the pension and postretrement beneft plans and foreign currency translaton adjustments and is presented on the Company’s consolidated balance sheets.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7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components of the changes in accumulated other comprehensive loss, net of tax,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center"/>
              <w:ind w:right="116"/>
              <w:spacing w:after="0"/>
              <w:rPr>
                <w:sz w:val="20"/>
                <w:szCs w:val="20"/>
                <w:color w:val="auto"/>
              </w:rPr>
            </w:pPr>
            <w:r>
              <w:rPr>
                <w:rFonts w:ascii="Arial" w:cs="Arial" w:eastAsia="Arial" w:hAnsi="Arial"/>
                <w:sz w:val="19"/>
                <w:szCs w:val="19"/>
                <w:i w:val="1"/>
                <w:iCs w:val="1"/>
                <w:color w:val="auto"/>
                <w:w w:val="92"/>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6"/>
              <w:spacing w:after="0"/>
              <w:rPr>
                <w:sz w:val="20"/>
                <w:szCs w:val="20"/>
                <w:color w:val="auto"/>
              </w:rPr>
            </w:pPr>
            <w:r>
              <w:rPr>
                <w:rFonts w:ascii="Arial" w:cs="Arial" w:eastAsia="Arial" w:hAnsi="Arial"/>
                <w:sz w:val="19"/>
                <w:szCs w:val="19"/>
                <w:color w:val="auto"/>
                <w:w w:val="91"/>
              </w:rPr>
              <w:t>Accumulated</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16"/>
              <w:spacing w:after="0"/>
              <w:rPr>
                <w:sz w:val="20"/>
                <w:szCs w:val="20"/>
                <w:color w:val="auto"/>
              </w:rPr>
            </w:pPr>
            <w:r>
              <w:rPr>
                <w:rFonts w:ascii="Arial" w:cs="Arial" w:eastAsia="Arial" w:hAnsi="Arial"/>
                <w:sz w:val="19"/>
                <w:szCs w:val="19"/>
                <w:color w:val="auto"/>
                <w:w w:val="87"/>
              </w:rPr>
              <w:t>Pension and</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256"/>
              <w:spacing w:after="0"/>
              <w:rPr>
                <w:sz w:val="20"/>
                <w:szCs w:val="20"/>
                <w:color w:val="auto"/>
              </w:rPr>
            </w:pPr>
            <w:r>
              <w:rPr>
                <w:rFonts w:ascii="Arial" w:cs="Arial" w:eastAsia="Arial" w:hAnsi="Arial"/>
                <w:sz w:val="19"/>
                <w:szCs w:val="19"/>
                <w:color w:val="auto"/>
                <w:w w:val="97"/>
              </w:rPr>
              <w:t>Postretrement</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161"/>
              <w:spacing w:after="0"/>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216"/>
              <w:spacing w:after="0"/>
              <w:rPr>
                <w:sz w:val="20"/>
                <w:szCs w:val="20"/>
                <w:color w:val="auto"/>
              </w:rPr>
            </w:pPr>
            <w:r>
              <w:rPr>
                <w:rFonts w:ascii="Arial" w:cs="Arial" w:eastAsia="Arial" w:hAnsi="Arial"/>
                <w:sz w:val="19"/>
                <w:szCs w:val="19"/>
                <w:color w:val="auto"/>
                <w:w w:val="92"/>
              </w:rPr>
              <w:t>Beneft Plans</w:t>
            </w:r>
          </w:p>
        </w:tc>
        <w:tc>
          <w:tcPr>
            <w:tcW w:w="120" w:type="dxa"/>
            <w:vAlign w:val="bottom"/>
          </w:tcPr>
          <w:p>
            <w:pPr>
              <w:spacing w:after="0"/>
              <w:rPr>
                <w:sz w:val="21"/>
                <w:szCs w:val="21"/>
                <w:color w:val="auto"/>
              </w:rPr>
            </w:pPr>
          </w:p>
        </w:tc>
        <w:tc>
          <w:tcPr>
            <w:tcW w:w="1760" w:type="dxa"/>
            <w:vAlign w:val="bottom"/>
            <w:gridSpan w:val="3"/>
          </w:tcPr>
          <w:p>
            <w:pPr>
              <w:jc w:val="center"/>
              <w:ind w:right="176"/>
              <w:spacing w:after="0"/>
              <w:rPr>
                <w:sz w:val="20"/>
                <w:szCs w:val="20"/>
                <w:color w:val="auto"/>
              </w:rPr>
            </w:pPr>
            <w:r>
              <w:rPr>
                <w:rFonts w:ascii="Arial" w:cs="Arial" w:eastAsia="Arial" w:hAnsi="Arial"/>
                <w:sz w:val="19"/>
                <w:szCs w:val="19"/>
                <w:color w:val="auto"/>
                <w:w w:val="88"/>
              </w:rPr>
              <w:t>Foreign Currency</w:t>
            </w:r>
          </w:p>
        </w:tc>
        <w:tc>
          <w:tcPr>
            <w:tcW w:w="120" w:type="dxa"/>
            <w:vAlign w:val="bottom"/>
          </w:tcPr>
          <w:p>
            <w:pPr>
              <w:spacing w:after="0"/>
              <w:rPr>
                <w:sz w:val="21"/>
                <w:szCs w:val="21"/>
                <w:color w:val="auto"/>
              </w:rPr>
            </w:pPr>
          </w:p>
        </w:tc>
        <w:tc>
          <w:tcPr>
            <w:tcW w:w="1480" w:type="dxa"/>
            <w:vAlign w:val="bottom"/>
            <w:gridSpan w:val="2"/>
          </w:tcPr>
          <w:p>
            <w:pPr>
              <w:jc w:val="center"/>
              <w:ind w:right="161"/>
              <w:spacing w:after="0"/>
              <w:rPr>
                <w:sz w:val="20"/>
                <w:szCs w:val="20"/>
                <w:color w:val="auto"/>
              </w:rPr>
            </w:pPr>
            <w:r>
              <w:rPr>
                <w:rFonts w:ascii="Arial" w:cs="Arial" w:eastAsia="Arial" w:hAnsi="Arial"/>
                <w:sz w:val="19"/>
                <w:szCs w:val="19"/>
                <w:color w:val="auto"/>
                <w:w w:val="79"/>
              </w:rPr>
              <w:t>Loss</w:t>
            </w: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66"/>
              <w:spacing w:after="0"/>
              <w:rPr>
                <w:sz w:val="20"/>
                <w:szCs w:val="20"/>
                <w:color w:val="auto"/>
              </w:rPr>
            </w:pPr>
            <w:r>
              <w:rPr>
                <w:rFonts w:ascii="Arial" w:cs="Arial" w:eastAsia="Arial" w:hAnsi="Arial"/>
                <w:sz w:val="19"/>
                <w:szCs w:val="19"/>
                <w:color w:val="auto"/>
              </w:rPr>
              <w:t>Three</w:t>
            </w:r>
          </w:p>
        </w:tc>
        <w:tc>
          <w:tcPr>
            <w:tcW w:w="1780" w:type="dxa"/>
            <w:vAlign w:val="bottom"/>
            <w:gridSpan w:val="4"/>
          </w:tcPr>
          <w:p>
            <w:pPr>
              <w:jc w:val="right"/>
              <w:spacing w:after="0"/>
              <w:rPr>
                <w:sz w:val="20"/>
                <w:szCs w:val="20"/>
                <w:color w:val="auto"/>
              </w:rPr>
            </w:pPr>
            <w:r>
              <w:rPr>
                <w:rFonts w:ascii="Arial" w:cs="Arial" w:eastAsia="Arial" w:hAnsi="Arial"/>
                <w:sz w:val="19"/>
                <w:szCs w:val="19"/>
                <w:color w:val="auto"/>
                <w:w w:val="79"/>
              </w:rPr>
              <w:t>Months Ended September</w:t>
            </w:r>
          </w:p>
        </w:tc>
        <w:tc>
          <w:tcPr>
            <w:tcW w:w="1760" w:type="dxa"/>
            <w:vAlign w:val="bottom"/>
            <w:gridSpan w:val="3"/>
          </w:tcPr>
          <w:p>
            <w:pPr>
              <w:jc w:val="right"/>
              <w:ind w:right="846"/>
              <w:spacing w:after="0"/>
              <w:rPr>
                <w:sz w:val="20"/>
                <w:szCs w:val="20"/>
                <w:color w:val="auto"/>
              </w:rPr>
            </w:pPr>
            <w:r>
              <w:rPr>
                <w:rFonts w:ascii="Arial" w:cs="Arial" w:eastAsia="Arial" w:hAnsi="Arial"/>
                <w:sz w:val="19"/>
                <w:szCs w:val="19"/>
                <w:color w:val="auto"/>
              </w:rPr>
              <w:t>30, 2023</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FF0FC"/>
            </w:tcBorders>
            <w:gridSpan w:val="2"/>
            <w:shd w:val="clear" w:color="auto" w:fill="CFF0FC"/>
          </w:tcPr>
          <w:p>
            <w:pPr>
              <w:jc w:val="right"/>
              <w:ind w:right="16"/>
              <w:spacing w:after="0"/>
              <w:rPr>
                <w:sz w:val="20"/>
                <w:szCs w:val="20"/>
                <w:color w:val="auto"/>
              </w:rPr>
            </w:pPr>
            <w:r>
              <w:rPr>
                <w:rFonts w:ascii="Arial" w:cs="Arial" w:eastAsia="Arial" w:hAnsi="Arial"/>
                <w:sz w:val="19"/>
                <w:szCs w:val="19"/>
                <w:color w:val="auto"/>
              </w:rPr>
              <w:t>(34.3 )</w:t>
            </w:r>
          </w:p>
        </w:tc>
        <w:tc>
          <w:tcPr>
            <w:tcW w:w="760" w:type="dxa"/>
            <w:vAlign w:val="bottom"/>
            <w:tcBorders>
              <w:bottom w:val="single" w:sz="8" w:color="CFF0FC"/>
            </w:tcBorders>
            <w:gridSpan w:val="2"/>
            <w:shd w:val="clear" w:color="auto" w:fill="CFF0FC"/>
          </w:tcPr>
          <w:p>
            <w:pPr>
              <w:jc w:val="right"/>
              <w:ind w:right="446"/>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CFF0FC"/>
            </w:tcBorders>
            <w:gridSpan w:val="2"/>
            <w:shd w:val="clear" w:color="auto" w:fill="CFF0FC"/>
          </w:tcPr>
          <w:p>
            <w:pPr>
              <w:jc w:val="right"/>
              <w:ind w:right="116"/>
              <w:spacing w:after="0"/>
              <w:rPr>
                <w:sz w:val="20"/>
                <w:szCs w:val="20"/>
                <w:color w:val="auto"/>
              </w:rPr>
            </w:pPr>
            <w:r>
              <w:rPr>
                <w:rFonts w:ascii="Arial" w:cs="Arial" w:eastAsia="Arial" w:hAnsi="Arial"/>
                <w:sz w:val="19"/>
                <w:szCs w:val="19"/>
                <w:color w:val="auto"/>
              </w:rPr>
              <w:t>(1.4 )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0"/>
        </w:trPr>
        <w:tc>
          <w:tcPr>
            <w:tcW w:w="608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loss before reclassifcatons,</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8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tcPr>
          <w:p>
            <w:pPr>
              <w:spacing w:after="0"/>
              <w:rPr>
                <w:sz w:val="20"/>
                <w:szCs w:val="20"/>
                <w:color w:val="auto"/>
              </w:rPr>
            </w:pPr>
          </w:p>
        </w:tc>
        <w:tc>
          <w:tcPr>
            <w:tcW w:w="1540" w:type="dxa"/>
            <w:vAlign w:val="bottom"/>
            <w:gridSpan w:val="2"/>
          </w:tcPr>
          <w:p>
            <w:pPr>
              <w:jc w:val="right"/>
              <w:ind w:right="96"/>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116"/>
              <w:spacing w:after="0"/>
              <w:rPr>
                <w:sz w:val="20"/>
                <w:szCs w:val="20"/>
                <w:color w:val="auto"/>
              </w:rPr>
            </w:pPr>
            <w:r>
              <w:rPr>
                <w:rFonts w:ascii="Arial" w:cs="Arial" w:eastAsia="Arial" w:hAnsi="Arial"/>
                <w:sz w:val="19"/>
                <w:szCs w:val="19"/>
                <w:color w:val="auto"/>
              </w:rPr>
              <w:t>(0.7 )</w:t>
            </w:r>
          </w:p>
        </w:tc>
        <w:tc>
          <w:tcPr>
            <w:tcW w:w="1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(0.7 )</w:t>
            </w: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80" w:type="dxa"/>
            <w:vAlign w:val="bottom"/>
            <w:shd w:val="clear" w:color="auto" w:fill="CFF0FC"/>
          </w:tcPr>
          <w:p>
            <w:pPr>
              <w:ind w:left="20"/>
              <w:spacing w:after="0"/>
              <w:rPr>
                <w:sz w:val="20"/>
                <w:szCs w:val="20"/>
                <w:color w:val="auto"/>
              </w:rPr>
            </w:pPr>
            <w:r>
              <w:rPr>
                <w:rFonts w:ascii="Arial" w:cs="Arial" w:eastAsia="Arial" w:hAnsi="Arial"/>
                <w:sz w:val="19"/>
                <w:szCs w:val="19"/>
                <w:color w:val="auto"/>
              </w:rPr>
              <w:t>Amounts reclassifed from accumulated other</w:t>
            </w:r>
          </w:p>
        </w:tc>
        <w:tc>
          <w:tcPr>
            <w:tcW w:w="140" w:type="dxa"/>
            <w:vAlign w:val="bottom"/>
            <w:shd w:val="clear" w:color="auto" w:fill="CFF0FC"/>
          </w:tcPr>
          <w:p>
            <w:pPr>
              <w:spacing w:after="0"/>
              <w:rPr>
                <w:sz w:val="19"/>
                <w:szCs w:val="19"/>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ind w:right="196"/>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19"/>
                <w:szCs w:val="19"/>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116"/>
              <w:spacing w:after="0"/>
              <w:rPr>
                <w:sz w:val="20"/>
                <w:szCs w:val="20"/>
                <w:color w:val="auto"/>
              </w:rPr>
            </w:pPr>
            <w:r>
              <w:rPr>
                <w:rFonts w:ascii="Arial" w:cs="Arial" w:eastAsia="Arial" w:hAnsi="Arial"/>
                <w:sz w:val="19"/>
                <w:szCs w:val="19"/>
                <w:color w:val="auto"/>
              </w:rPr>
              <w:t>(0.7 )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(33.2</w:t>
            </w: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46"/>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w:t>
            </w:r>
          </w:p>
        </w:tc>
        <w:tc>
          <w:tcPr>
            <w:tcW w:w="26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77"/>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20" w:type="dxa"/>
            <w:vAlign w:val="bottom"/>
            <w:gridSpan w:val="9"/>
          </w:tcPr>
          <w:p>
            <w:pPr>
              <w:jc w:val="center"/>
              <w:ind w:right="181"/>
              <w:spacing w:after="0"/>
              <w:rPr>
                <w:sz w:val="20"/>
                <w:szCs w:val="20"/>
                <w:color w:val="auto"/>
              </w:rPr>
            </w:pPr>
            <w:r>
              <w:rPr>
                <w:rFonts w:ascii="Arial" w:cs="Arial" w:eastAsia="Arial" w:hAnsi="Arial"/>
                <w:sz w:val="19"/>
                <w:szCs w:val="19"/>
                <w:color w:val="auto"/>
                <w:w w:val="90"/>
              </w:rPr>
              <w:t>Three Months Ended September 30, 2022</w:t>
            </w:r>
          </w:p>
        </w:tc>
        <w:tc>
          <w:tcPr>
            <w:tcW w:w="0" w:type="dxa"/>
            <w:vAlign w:val="bottom"/>
          </w:tcPr>
          <w:p>
            <w:pPr>
              <w:spacing w:after="0"/>
              <w:rPr>
                <w:sz w:val="1"/>
                <w:szCs w:val="1"/>
                <w:color w:val="auto"/>
              </w:rPr>
            </w:pPr>
          </w:p>
        </w:tc>
      </w:tr>
      <w:tr>
        <w:trPr>
          <w:trHeight w:val="46"/>
        </w:trPr>
        <w:tc>
          <w:tcPr>
            <w:tcW w:w="60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FF0FC"/>
            </w:tcBorders>
            <w:gridSpan w:val="2"/>
            <w:shd w:val="clear" w:color="auto" w:fill="CFF0FC"/>
          </w:tcPr>
          <w:p>
            <w:pPr>
              <w:jc w:val="right"/>
              <w:ind w:right="16"/>
              <w:spacing w:after="0"/>
              <w:rPr>
                <w:sz w:val="20"/>
                <w:szCs w:val="20"/>
                <w:color w:val="auto"/>
              </w:rPr>
            </w:pPr>
            <w:r>
              <w:rPr>
                <w:rFonts w:ascii="Arial" w:cs="Arial" w:eastAsia="Arial" w:hAnsi="Arial"/>
                <w:sz w:val="19"/>
                <w:szCs w:val="19"/>
                <w:color w:val="auto"/>
              </w:rPr>
              <w:t>(127.6 )</w:t>
            </w:r>
          </w:p>
        </w:tc>
        <w:tc>
          <w:tcPr>
            <w:tcW w:w="760" w:type="dxa"/>
            <w:vAlign w:val="bottom"/>
            <w:tcBorders>
              <w:bottom w:val="single" w:sz="8" w:color="CFF0FC"/>
            </w:tcBorders>
            <w:gridSpan w:val="2"/>
            <w:shd w:val="clear" w:color="auto" w:fill="CFF0FC"/>
          </w:tcPr>
          <w:p>
            <w:pPr>
              <w:jc w:val="right"/>
              <w:ind w:right="446"/>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CFF0FC"/>
            </w:tcBorders>
            <w:gridSpan w:val="2"/>
            <w:shd w:val="clear" w:color="auto" w:fill="CFF0FC"/>
          </w:tcPr>
          <w:p>
            <w:pPr>
              <w:jc w:val="right"/>
              <w:ind w:right="116"/>
              <w:spacing w:after="0"/>
              <w:rPr>
                <w:sz w:val="20"/>
                <w:szCs w:val="20"/>
                <w:color w:val="auto"/>
              </w:rPr>
            </w:pPr>
            <w:r>
              <w:rPr>
                <w:rFonts w:ascii="Arial" w:cs="Arial" w:eastAsia="Arial" w:hAnsi="Arial"/>
                <w:sz w:val="19"/>
                <w:szCs w:val="19"/>
                <w:color w:val="auto"/>
              </w:rPr>
              <w:t>(0.5 )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0"/>
        </w:trPr>
        <w:tc>
          <w:tcPr>
            <w:tcW w:w="608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loss before reclassifcatons,</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8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tcPr>
          <w:p>
            <w:pPr>
              <w:spacing w:after="0"/>
              <w:rPr>
                <w:sz w:val="20"/>
                <w:szCs w:val="20"/>
                <w:color w:val="auto"/>
              </w:rPr>
            </w:pPr>
          </w:p>
        </w:tc>
        <w:tc>
          <w:tcPr>
            <w:tcW w:w="1540" w:type="dxa"/>
            <w:vAlign w:val="bottom"/>
            <w:gridSpan w:val="2"/>
          </w:tcPr>
          <w:p>
            <w:pPr>
              <w:jc w:val="right"/>
              <w:ind w:right="96"/>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116"/>
              <w:spacing w:after="0"/>
              <w:rPr>
                <w:sz w:val="20"/>
                <w:szCs w:val="20"/>
                <w:color w:val="auto"/>
              </w:rPr>
            </w:pPr>
            <w:r>
              <w:rPr>
                <w:rFonts w:ascii="Arial" w:cs="Arial" w:eastAsia="Arial" w:hAnsi="Arial"/>
                <w:sz w:val="19"/>
                <w:szCs w:val="19"/>
                <w:color w:val="auto"/>
              </w:rPr>
              <w:t>(1.9 )</w:t>
            </w:r>
          </w:p>
        </w:tc>
        <w:tc>
          <w:tcPr>
            <w:tcW w:w="1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(1.9 )</w:t>
            </w: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80" w:type="dxa"/>
            <w:vAlign w:val="bottom"/>
            <w:shd w:val="clear" w:color="auto" w:fill="CFF0FC"/>
          </w:tcPr>
          <w:p>
            <w:pPr>
              <w:ind w:left="20"/>
              <w:spacing w:after="0"/>
              <w:rPr>
                <w:sz w:val="20"/>
                <w:szCs w:val="20"/>
                <w:color w:val="auto"/>
              </w:rPr>
            </w:pPr>
            <w:r>
              <w:rPr>
                <w:rFonts w:ascii="Arial" w:cs="Arial" w:eastAsia="Arial" w:hAnsi="Arial"/>
                <w:sz w:val="19"/>
                <w:szCs w:val="19"/>
                <w:color w:val="auto"/>
              </w:rPr>
              <w:t>Amounts reclassifed from accumulated other</w:t>
            </w:r>
          </w:p>
        </w:tc>
        <w:tc>
          <w:tcPr>
            <w:tcW w:w="140" w:type="dxa"/>
            <w:vAlign w:val="bottom"/>
            <w:shd w:val="clear" w:color="auto" w:fill="CFF0FC"/>
          </w:tcPr>
          <w:p>
            <w:pPr>
              <w:spacing w:after="0"/>
              <w:rPr>
                <w:sz w:val="19"/>
                <w:szCs w:val="19"/>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ind w:right="196"/>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19"/>
                <w:szCs w:val="19"/>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116"/>
              <w:spacing w:after="0"/>
              <w:rPr>
                <w:sz w:val="20"/>
                <w:szCs w:val="20"/>
                <w:color w:val="auto"/>
              </w:rPr>
            </w:pPr>
            <w:r>
              <w:rPr>
                <w:rFonts w:ascii="Arial" w:cs="Arial" w:eastAsia="Arial" w:hAnsi="Arial"/>
                <w:sz w:val="19"/>
                <w:szCs w:val="19"/>
                <w:color w:val="auto"/>
              </w:rPr>
              <w:t>(1.9 )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(122.7</w:t>
            </w: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46"/>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w:t>
            </w:r>
          </w:p>
        </w:tc>
        <w:tc>
          <w:tcPr>
            <w:tcW w:w="26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-2596515</wp:posOffset>
            </wp:positionV>
            <wp:extent cx="76835" cy="334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3346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-2596515</wp:posOffset>
            </wp:positionV>
            <wp:extent cx="68580" cy="3346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334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-1945005</wp:posOffset>
            </wp:positionV>
            <wp:extent cx="768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-1945005</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-1585595</wp:posOffset>
            </wp:positionV>
            <wp:extent cx="2314575" cy="377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4575" cy="3771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-1036320</wp:posOffset>
            </wp:positionV>
            <wp:extent cx="76835" cy="3346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3346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-1036320</wp:posOffset>
            </wp:positionV>
            <wp:extent cx="68580" cy="3346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334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-384810</wp:posOffset>
            </wp:positionV>
            <wp:extent cx="768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-384810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ind w:left="7900"/>
        <w:spacing w:after="0"/>
        <w:rPr>
          <w:sz w:val="20"/>
          <w:szCs w:val="20"/>
          <w:color w:val="auto"/>
        </w:rPr>
      </w:pPr>
      <w:r>
        <w:rPr>
          <w:rFonts w:ascii="Arial" w:cs="Arial" w:eastAsia="Arial" w:hAnsi="Arial"/>
          <w:sz w:val="19"/>
          <w:szCs w:val="19"/>
          <w:i w:val="1"/>
          <w:iCs w:val="1"/>
          <w:color w:val="auto"/>
        </w:rPr>
        <w:t>(Dollars in Millions)</w:t>
      </w:r>
    </w:p>
    <w:p>
      <w:pPr>
        <w:spacing w:after="0" w:line="65" w:lineRule="exact"/>
        <w:rPr>
          <w:sz w:val="20"/>
          <w:szCs w:val="20"/>
          <w:color w:val="auto"/>
        </w:rPr>
      </w:pPr>
    </w:p>
    <w:p>
      <w:pPr>
        <w:ind w:left="9900"/>
        <w:spacing w:after="0"/>
        <w:rPr>
          <w:sz w:val="20"/>
          <w:szCs w:val="20"/>
          <w:color w:val="auto"/>
        </w:rPr>
      </w:pPr>
      <w:r>
        <w:rPr>
          <w:rFonts w:ascii="Arial" w:cs="Arial" w:eastAsia="Arial" w:hAnsi="Arial"/>
          <w:sz w:val="19"/>
          <w:szCs w:val="19"/>
          <w:color w:val="auto"/>
        </w:rPr>
        <w:t>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-136525</wp:posOffset>
            </wp:positionV>
            <wp:extent cx="31629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at beginning of period</w:t>
      </w:r>
    </w:p>
    <w:p>
      <w:pPr>
        <w:spacing w:after="0" w:line="52" w:lineRule="exact"/>
        <w:rPr>
          <w:sz w:val="20"/>
          <w:szCs w:val="20"/>
          <w:color w:val="auto"/>
        </w:rPr>
      </w:pPr>
    </w:p>
    <w:p>
      <w:pPr>
        <w:ind w:left="140" w:right="760" w:hanging="127"/>
        <w:spacing w:after="0" w:line="281" w:lineRule="auto"/>
        <w:rPr>
          <w:sz w:val="20"/>
          <w:szCs w:val="20"/>
          <w:color w:val="auto"/>
        </w:rPr>
      </w:pPr>
      <w:r>
        <w:rPr>
          <w:rFonts w:ascii="Arial" w:cs="Arial" w:eastAsia="Arial" w:hAnsi="Arial"/>
          <w:sz w:val="19"/>
          <w:szCs w:val="19"/>
          <w:color w:val="auto"/>
        </w:rPr>
        <w:t>Other comprehensive earnings (loss) before reclassifcatons, net of tax</w:t>
      </w:r>
    </w:p>
    <w:p>
      <w:pPr>
        <w:spacing w:after="0" w:line="1" w:lineRule="exact"/>
        <w:rPr>
          <w:sz w:val="20"/>
          <w:szCs w:val="20"/>
          <w:color w:val="auto"/>
        </w:rPr>
      </w:pPr>
    </w:p>
    <w:p>
      <w:pPr>
        <w:ind w:left="140" w:right="1920" w:hanging="127"/>
        <w:spacing w:after="0" w:line="283" w:lineRule="auto"/>
        <w:rPr>
          <w:sz w:val="20"/>
          <w:szCs w:val="20"/>
          <w:color w:val="auto"/>
        </w:rPr>
      </w:pPr>
      <w:r>
        <w:rPr>
          <w:rFonts w:ascii="Arial" w:cs="Arial" w:eastAsia="Arial" w:hAnsi="Arial"/>
          <w:sz w:val="19"/>
          <w:szCs w:val="19"/>
          <w:color w:val="auto"/>
        </w:rPr>
        <w:t>Amounts reclassifed from accumulated other comprehensive loss, net of tax</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2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9"/>
                <w:szCs w:val="19"/>
                <w:color w:val="auto"/>
                <w:w w:val="87"/>
              </w:rPr>
              <w:t>Pension and</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41"/>
              <w:spacing w:after="0"/>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9"/>
                <w:szCs w:val="19"/>
                <w:color w:val="auto"/>
                <w:w w:val="97"/>
              </w:rPr>
              <w:t>Postretrement</w:t>
            </w: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101"/>
              <w:spacing w:after="0"/>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9"/>
                <w:szCs w:val="19"/>
                <w:color w:val="auto"/>
                <w:w w:val="92"/>
              </w:rPr>
              <w:t>Beneft Plans</w:t>
            </w:r>
          </w:p>
        </w:tc>
        <w:tc>
          <w:tcPr>
            <w:tcW w:w="1860" w:type="dxa"/>
            <w:vAlign w:val="bottom"/>
            <w:gridSpan w:val="4"/>
          </w:tcPr>
          <w:p>
            <w:pPr>
              <w:jc w:val="right"/>
              <w:ind w:right="480"/>
              <w:spacing w:after="0"/>
              <w:rPr>
                <w:sz w:val="20"/>
                <w:szCs w:val="20"/>
                <w:color w:val="auto"/>
              </w:rPr>
            </w:pPr>
            <w:r>
              <w:rPr>
                <w:rFonts w:ascii="Arial" w:cs="Arial" w:eastAsia="Arial" w:hAnsi="Arial"/>
                <w:sz w:val="19"/>
                <w:szCs w:val="19"/>
                <w:color w:val="auto"/>
                <w:w w:val="92"/>
              </w:rPr>
              <w:t>Foreign Currency</w:t>
            </w:r>
          </w:p>
        </w:tc>
        <w:tc>
          <w:tcPr>
            <w:tcW w:w="1420" w:type="dxa"/>
            <w:vAlign w:val="bottom"/>
            <w:gridSpan w:val="2"/>
          </w:tcPr>
          <w:p>
            <w:pPr>
              <w:jc w:val="center"/>
              <w:ind w:right="101"/>
              <w:spacing w:after="0"/>
              <w:rPr>
                <w:sz w:val="20"/>
                <w:szCs w:val="20"/>
                <w:color w:val="auto"/>
              </w:rPr>
            </w:pPr>
            <w:r>
              <w:rPr>
                <w:rFonts w:ascii="Arial" w:cs="Arial" w:eastAsia="Arial" w:hAnsi="Arial"/>
                <w:sz w:val="19"/>
                <w:szCs w:val="19"/>
                <w:color w:val="auto"/>
                <w:w w:val="79"/>
              </w:rPr>
              <w:t>Loss</w:t>
            </w:r>
          </w:p>
        </w:tc>
        <w:tc>
          <w:tcPr>
            <w:tcW w:w="0" w:type="dxa"/>
            <w:vAlign w:val="bottom"/>
          </w:tcPr>
          <w:p>
            <w:pPr>
              <w:spacing w:after="0"/>
              <w:rPr>
                <w:sz w:val="1"/>
                <w:szCs w:val="1"/>
                <w:color w:val="auto"/>
              </w:rPr>
            </w:pPr>
          </w:p>
        </w:tc>
      </w:tr>
      <w:tr>
        <w:trPr>
          <w:trHeight w:val="47"/>
        </w:trPr>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4920" w:type="dxa"/>
            <w:vAlign w:val="bottom"/>
            <w:gridSpan w:val="8"/>
          </w:tcPr>
          <w:p>
            <w:pPr>
              <w:jc w:val="right"/>
              <w:ind w:right="921"/>
              <w:spacing w:after="0"/>
              <w:rPr>
                <w:sz w:val="20"/>
                <w:szCs w:val="20"/>
                <w:color w:val="auto"/>
              </w:rPr>
            </w:pPr>
            <w:r>
              <w:rPr>
                <w:rFonts w:ascii="Arial" w:cs="Arial" w:eastAsia="Arial" w:hAnsi="Arial"/>
                <w:sz w:val="19"/>
                <w:szCs w:val="19"/>
                <w:color w:val="auto"/>
              </w:rPr>
              <w:t>Nine Months Ended September 30, 2023</w:t>
            </w:r>
          </w:p>
        </w:tc>
        <w:tc>
          <w:tcPr>
            <w:tcW w:w="0" w:type="dxa"/>
            <w:vAlign w:val="bottom"/>
          </w:tcPr>
          <w:p>
            <w:pPr>
              <w:spacing w:after="0"/>
              <w:rPr>
                <w:sz w:val="1"/>
                <w:szCs w:val="1"/>
                <w:color w:val="auto"/>
              </w:rPr>
            </w:pPr>
          </w:p>
        </w:tc>
      </w:tr>
      <w:tr>
        <w:trPr>
          <w:trHeight w:val="30"/>
        </w:trPr>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3"/>
        </w:trPr>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40" w:type="dxa"/>
            <w:vAlign w:val="bottom"/>
            <w:gridSpan w:val="2"/>
          </w:tcPr>
          <w:p>
            <w:pPr>
              <w:jc w:val="right"/>
              <w:ind w:right="200"/>
              <w:spacing w:after="0"/>
              <w:rPr>
                <w:sz w:val="20"/>
                <w:szCs w:val="20"/>
                <w:color w:val="auto"/>
              </w:rPr>
            </w:pPr>
            <w:r>
              <w:rPr>
                <w:rFonts w:ascii="Arial" w:cs="Arial" w:eastAsia="Arial" w:hAnsi="Arial"/>
                <w:sz w:val="19"/>
                <w:szCs w:val="19"/>
                <w:color w:val="auto"/>
              </w:rPr>
              <w:t>(36.5 )</w:t>
            </w:r>
          </w:p>
        </w:tc>
        <w:tc>
          <w:tcPr>
            <w:tcW w:w="640" w:type="dxa"/>
            <w:vAlign w:val="bottom"/>
          </w:tcPr>
          <w:p>
            <w:pPr>
              <w:jc w:val="right"/>
              <w:ind w:right="446"/>
              <w:spacing w:after="0"/>
              <w:rPr>
                <w:sz w:val="20"/>
                <w:szCs w:val="20"/>
                <w:color w:val="auto"/>
              </w:rPr>
            </w:pPr>
            <w:r>
              <w:rPr>
                <w:rFonts w:ascii="Arial" w:cs="Arial" w:eastAsia="Arial" w:hAnsi="Arial"/>
                <w:sz w:val="19"/>
                <w:szCs w:val="19"/>
                <w:color w:val="auto"/>
                <w:w w:val="75"/>
              </w:rPr>
              <w:t>$</w:t>
            </w:r>
          </w:p>
        </w:tc>
        <w:tc>
          <w:tcPr>
            <w:tcW w:w="1220" w:type="dxa"/>
            <w:vAlign w:val="bottom"/>
            <w:gridSpan w:val="3"/>
          </w:tcPr>
          <w:p>
            <w:pPr>
              <w:jc w:val="right"/>
              <w:ind w:right="20"/>
              <w:spacing w:after="0"/>
              <w:rPr>
                <w:sz w:val="20"/>
                <w:szCs w:val="20"/>
                <w:color w:val="auto"/>
              </w:rPr>
            </w:pPr>
            <w:r>
              <w:rPr>
                <w:rFonts w:ascii="Arial" w:cs="Arial" w:eastAsia="Arial" w:hAnsi="Arial"/>
                <w:sz w:val="19"/>
                <w:szCs w:val="19"/>
                <w:color w:val="auto"/>
              </w:rPr>
              <w:t>(2.0 )   $</w:t>
            </w:r>
          </w:p>
        </w:tc>
        <w:tc>
          <w:tcPr>
            <w:tcW w:w="1360" w:type="dxa"/>
            <w:vAlign w:val="bottom"/>
          </w:tcPr>
          <w:p>
            <w:pPr>
              <w:jc w:val="right"/>
              <w:spacing w:after="0"/>
              <w:rPr>
                <w:sz w:val="20"/>
                <w:szCs w:val="20"/>
                <w:color w:val="auto"/>
              </w:rPr>
            </w:pPr>
            <w:r>
              <w:rPr>
                <w:rFonts w:ascii="Arial" w:cs="Arial" w:eastAsia="Arial" w:hAnsi="Arial"/>
                <w:sz w:val="19"/>
                <w:szCs w:val="19"/>
                <w:color w:val="auto"/>
              </w:rPr>
              <w:t>(38.5</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0.2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9"/>
                <w:szCs w:val="19"/>
                <w:color w:val="auto"/>
              </w:rPr>
              <w:t>(0.1 )</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3.1</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-612775</wp:posOffset>
            </wp:positionV>
            <wp:extent cx="7132320" cy="325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440" w:space="720"/>
            <w:col w:w="5080"/>
          </w:cols>
          <w:pgMar w:left="320" w:top="10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Other comprehensive earnings (loss), net of tax</w:t>
            </w:r>
          </w:p>
        </w:tc>
        <w:tc>
          <w:tcPr>
            <w:tcW w:w="5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3.3</w:t>
            </w: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21"/>
              <w:spacing w:after="0"/>
              <w:rPr>
                <w:sz w:val="20"/>
                <w:szCs w:val="20"/>
                <w:color w:val="auto"/>
              </w:rPr>
            </w:pPr>
            <w:r>
              <w:rPr>
                <w:rFonts w:ascii="Arial" w:cs="Arial" w:eastAsia="Arial" w:hAnsi="Arial"/>
                <w:sz w:val="19"/>
                <w:szCs w:val="19"/>
                <w:color w:val="auto"/>
              </w:rPr>
              <w:t>(0.1 )</w:t>
            </w:r>
          </w:p>
        </w:tc>
        <w:tc>
          <w:tcPr>
            <w:tcW w:w="7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160" w:type="dxa"/>
            <w:vAlign w:val="bottom"/>
          </w:tcPr>
          <w:p>
            <w:pPr>
              <w:ind w:left="20"/>
              <w:spacing w:after="0"/>
              <w:rPr>
                <w:sz w:val="20"/>
                <w:szCs w:val="20"/>
                <w:color w:val="auto"/>
              </w:rPr>
            </w:pPr>
            <w:r>
              <w:rPr>
                <w:rFonts w:ascii="Arial" w:cs="Arial" w:eastAsia="Arial" w:hAnsi="Arial"/>
                <w:sz w:val="19"/>
                <w:szCs w:val="19"/>
                <w:color w:val="auto"/>
              </w:rPr>
              <w:t>Balance at end of period</w:t>
            </w:r>
          </w:p>
        </w:tc>
        <w:tc>
          <w:tcPr>
            <w:tcW w:w="520" w:type="dxa"/>
            <w:vAlign w:val="bottom"/>
          </w:tcPr>
          <w:p>
            <w:pPr>
              <w:jc w:val="right"/>
              <w:ind w:right="326"/>
              <w:spacing w:after="0"/>
              <w:rPr>
                <w:sz w:val="20"/>
                <w:szCs w:val="20"/>
                <w:color w:val="auto"/>
              </w:rPr>
            </w:pPr>
            <w:r>
              <w:rPr>
                <w:rFonts w:ascii="Arial" w:cs="Arial" w:eastAsia="Arial" w:hAnsi="Arial"/>
                <w:sz w:val="19"/>
                <w:szCs w:val="19"/>
                <w:color w:val="auto"/>
                <w:w w:val="75"/>
              </w:rPr>
              <w:t>$</w:t>
            </w:r>
          </w:p>
        </w:tc>
        <w:tc>
          <w:tcPr>
            <w:tcW w:w="1240" w:type="dxa"/>
            <w:vAlign w:val="bottom"/>
            <w:gridSpan w:val="2"/>
          </w:tcPr>
          <w:p>
            <w:pPr>
              <w:jc w:val="right"/>
              <w:ind w:right="106"/>
              <w:spacing w:after="0"/>
              <w:rPr>
                <w:sz w:val="20"/>
                <w:szCs w:val="20"/>
                <w:color w:val="auto"/>
              </w:rPr>
            </w:pPr>
            <w:r>
              <w:rPr>
                <w:rFonts w:ascii="Arial" w:cs="Arial" w:eastAsia="Arial" w:hAnsi="Arial"/>
                <w:sz w:val="19"/>
                <w:szCs w:val="19"/>
                <w:color w:val="auto"/>
              </w:rPr>
              <w:t>(33.2 )</w:t>
            </w:r>
          </w:p>
        </w:tc>
        <w:tc>
          <w:tcPr>
            <w:tcW w:w="640" w:type="dxa"/>
            <w:vAlign w:val="bottom"/>
          </w:tcPr>
          <w:p>
            <w:pPr>
              <w:jc w:val="right"/>
              <w:ind w:right="446"/>
              <w:spacing w:after="0"/>
              <w:rPr>
                <w:sz w:val="20"/>
                <w:szCs w:val="20"/>
                <w:color w:val="auto"/>
              </w:rPr>
            </w:pPr>
            <w:r>
              <w:rPr>
                <w:rFonts w:ascii="Arial" w:cs="Arial" w:eastAsia="Arial" w:hAnsi="Arial"/>
                <w:sz w:val="19"/>
                <w:szCs w:val="19"/>
                <w:color w:val="auto"/>
                <w:w w:val="75"/>
              </w:rPr>
              <w:t>$</w:t>
            </w:r>
          </w:p>
        </w:tc>
        <w:tc>
          <w:tcPr>
            <w:tcW w:w="1100" w:type="dxa"/>
            <w:vAlign w:val="bottom"/>
            <w:gridSpan w:val="2"/>
          </w:tcPr>
          <w:p>
            <w:pPr>
              <w:jc w:val="right"/>
              <w:ind w:right="121"/>
              <w:spacing w:after="0"/>
              <w:rPr>
                <w:sz w:val="20"/>
                <w:szCs w:val="20"/>
                <w:color w:val="auto"/>
              </w:rPr>
            </w:pPr>
            <w:r>
              <w:rPr>
                <w:rFonts w:ascii="Arial" w:cs="Arial" w:eastAsia="Arial" w:hAnsi="Arial"/>
                <w:sz w:val="19"/>
                <w:szCs w:val="19"/>
                <w:color w:val="auto"/>
              </w:rPr>
              <w:t>(2.1 )</w:t>
            </w:r>
          </w:p>
        </w:tc>
        <w:tc>
          <w:tcPr>
            <w:tcW w:w="760" w:type="dxa"/>
            <w:vAlign w:val="bottom"/>
          </w:tcPr>
          <w:p>
            <w:pPr>
              <w:jc w:val="right"/>
              <w:ind w:right="566"/>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(35.3 )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6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40" w:type="dxa"/>
            <w:vAlign w:val="bottom"/>
            <w:gridSpan w:val="6"/>
          </w:tcPr>
          <w:p>
            <w:pPr>
              <w:jc w:val="right"/>
              <w:ind w:right="126"/>
              <w:spacing w:after="0"/>
              <w:rPr>
                <w:sz w:val="20"/>
                <w:szCs w:val="20"/>
                <w:color w:val="auto"/>
              </w:rPr>
            </w:pPr>
            <w:r>
              <w:rPr>
                <w:rFonts w:ascii="Arial" w:cs="Arial" w:eastAsia="Arial" w:hAnsi="Arial"/>
                <w:sz w:val="19"/>
                <w:szCs w:val="19"/>
                <w:color w:val="auto"/>
              </w:rPr>
              <w:t>Nine Months Ended September 30, 2022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1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beginning of period</w:t>
            </w:r>
          </w:p>
        </w:tc>
        <w:tc>
          <w:tcPr>
            <w:tcW w:w="520" w:type="dxa"/>
            <w:vAlign w:val="bottom"/>
            <w:tcBorders>
              <w:bottom w:val="single" w:sz="8" w:color="CFF0FC"/>
            </w:tcBorders>
            <w:shd w:val="clear" w:color="auto" w:fill="CFF0FC"/>
          </w:tcPr>
          <w:p>
            <w:pPr>
              <w:jc w:val="right"/>
              <w:ind w:right="326"/>
              <w:spacing w:after="0"/>
              <w:rPr>
                <w:sz w:val="20"/>
                <w:szCs w:val="20"/>
                <w:color w:val="auto"/>
              </w:rPr>
            </w:pPr>
            <w:r>
              <w:rPr>
                <w:rFonts w:ascii="Arial" w:cs="Arial" w:eastAsia="Arial" w:hAnsi="Arial"/>
                <w:sz w:val="19"/>
                <w:szCs w:val="19"/>
                <w:color w:val="auto"/>
                <w:w w:val="75"/>
              </w:rPr>
              <w:t>$</w:t>
            </w:r>
          </w:p>
        </w:tc>
        <w:tc>
          <w:tcPr>
            <w:tcW w:w="1240" w:type="dxa"/>
            <w:vAlign w:val="bottom"/>
            <w:tcBorders>
              <w:bottom w:val="single" w:sz="8" w:color="CFF0FC"/>
            </w:tcBorders>
            <w:gridSpan w:val="2"/>
            <w:shd w:val="clear" w:color="auto" w:fill="CFF0FC"/>
          </w:tcPr>
          <w:p>
            <w:pPr>
              <w:jc w:val="right"/>
              <w:ind w:right="106"/>
              <w:spacing w:after="0"/>
              <w:rPr>
                <w:sz w:val="20"/>
                <w:szCs w:val="20"/>
                <w:color w:val="auto"/>
              </w:rPr>
            </w:pPr>
            <w:r>
              <w:rPr>
                <w:rFonts w:ascii="Arial" w:cs="Arial" w:eastAsia="Arial" w:hAnsi="Arial"/>
                <w:sz w:val="19"/>
                <w:szCs w:val="19"/>
                <w:color w:val="auto"/>
              </w:rPr>
              <w:t>(97.6 )</w:t>
            </w:r>
          </w:p>
        </w:tc>
        <w:tc>
          <w:tcPr>
            <w:tcW w:w="640" w:type="dxa"/>
            <w:vAlign w:val="bottom"/>
            <w:tcBorders>
              <w:bottom w:val="single" w:sz="8" w:color="CFF0FC"/>
            </w:tcBorders>
            <w:shd w:val="clear" w:color="auto" w:fill="CFF0FC"/>
          </w:tcPr>
          <w:p>
            <w:pPr>
              <w:jc w:val="right"/>
              <w:ind w:right="446"/>
              <w:spacing w:after="0"/>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CFF0FC"/>
            </w:tcBorders>
            <w:gridSpan w:val="2"/>
            <w:shd w:val="clear" w:color="auto" w:fill="CFF0FC"/>
          </w:tcPr>
          <w:p>
            <w:pPr>
              <w:jc w:val="right"/>
              <w:ind w:right="201"/>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566"/>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(97.6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0"/>
        </w:trPr>
        <w:tc>
          <w:tcPr>
            <w:tcW w:w="616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loss before reclassifcatons,</w:t>
            </w: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16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520" w:type="dxa"/>
            <w:vAlign w:val="bottom"/>
          </w:tcPr>
          <w:p>
            <w:pPr>
              <w:spacing w:after="0"/>
              <w:rPr>
                <w:sz w:val="20"/>
                <w:szCs w:val="20"/>
                <w:color w:val="auto"/>
              </w:rPr>
            </w:pPr>
          </w:p>
        </w:tc>
        <w:tc>
          <w:tcPr>
            <w:tcW w:w="1240" w:type="dxa"/>
            <w:vAlign w:val="bottom"/>
            <w:gridSpan w:val="2"/>
          </w:tcPr>
          <w:p>
            <w:pPr>
              <w:jc w:val="right"/>
              <w:ind w:right="106"/>
              <w:spacing w:after="0"/>
              <w:rPr>
                <w:sz w:val="20"/>
                <w:szCs w:val="20"/>
                <w:color w:val="auto"/>
              </w:rPr>
            </w:pPr>
            <w:r>
              <w:rPr>
                <w:rFonts w:ascii="Arial" w:cs="Arial" w:eastAsia="Arial" w:hAnsi="Arial"/>
                <w:sz w:val="19"/>
                <w:szCs w:val="19"/>
                <w:color w:val="auto"/>
              </w:rPr>
              <w:t>(33.0 )</w:t>
            </w:r>
          </w:p>
        </w:tc>
        <w:tc>
          <w:tcPr>
            <w:tcW w:w="6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9"/>
                <w:szCs w:val="19"/>
                <w:color w:val="auto"/>
              </w:rPr>
              <w:t>(2.4 )</w:t>
            </w:r>
          </w:p>
        </w:tc>
        <w:tc>
          <w:tcPr>
            <w:tcW w:w="7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(35.4 )</w:t>
            </w:r>
          </w:p>
        </w:tc>
        <w:tc>
          <w:tcPr>
            <w:tcW w:w="0" w:type="dxa"/>
            <w:vAlign w:val="bottom"/>
          </w:tcPr>
          <w:p>
            <w:pPr>
              <w:spacing w:after="0"/>
              <w:rPr>
                <w:sz w:val="1"/>
                <w:szCs w:val="1"/>
                <w:color w:val="auto"/>
              </w:rPr>
            </w:pPr>
          </w:p>
        </w:tc>
      </w:tr>
      <w:tr>
        <w:trPr>
          <w:trHeight w:val="46"/>
        </w:trPr>
        <w:tc>
          <w:tcPr>
            <w:tcW w:w="6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0"/>
              <w:spacing w:after="0"/>
              <w:rPr>
                <w:sz w:val="20"/>
                <w:szCs w:val="20"/>
                <w:color w:val="auto"/>
              </w:rPr>
            </w:pPr>
            <w:r>
              <w:rPr>
                <w:rFonts w:ascii="Arial" w:cs="Arial" w:eastAsia="Arial" w:hAnsi="Arial"/>
                <w:sz w:val="19"/>
                <w:szCs w:val="19"/>
                <w:color w:val="auto"/>
              </w:rPr>
              <w:t>Amounts reclassifed from accumulated other</w:t>
            </w:r>
          </w:p>
        </w:tc>
        <w:tc>
          <w:tcPr>
            <w:tcW w:w="52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7.9</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00" w:type="dxa"/>
            <w:vAlign w:val="bottom"/>
            <w:gridSpan w:val="2"/>
            <w:vMerge w:val="restart"/>
            <w:shd w:val="clear" w:color="auto" w:fill="CFF0FC"/>
          </w:tcPr>
          <w:p>
            <w:pPr>
              <w:jc w:val="right"/>
              <w:ind w:right="201"/>
              <w:spacing w:after="0"/>
              <w:rPr>
                <w:sz w:val="20"/>
                <w:szCs w:val="20"/>
                <w:color w:val="auto"/>
              </w:rPr>
            </w:pPr>
            <w:r>
              <w:rPr>
                <w:rFonts w:ascii="Arial" w:cs="Arial" w:eastAsia="Arial" w:hAnsi="Arial"/>
                <w:sz w:val="19"/>
                <w:szCs w:val="19"/>
                <w:color w:val="auto"/>
              </w:rPr>
              <w:t>—</w:t>
            </w:r>
          </w:p>
        </w:tc>
        <w:tc>
          <w:tcPr>
            <w:tcW w:w="760" w:type="dxa"/>
            <w:vAlign w:val="bottom"/>
            <w:shd w:val="clear" w:color="auto" w:fill="CFF0FC"/>
          </w:tcPr>
          <w:p>
            <w:pPr>
              <w:spacing w:after="0"/>
              <w:rPr>
                <w:sz w:val="19"/>
                <w:szCs w:val="1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comprehensive loss, net of tax</w:t>
            </w:r>
          </w:p>
        </w:tc>
        <w:tc>
          <w:tcPr>
            <w:tcW w:w="5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vMerge w:val="continue"/>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60" w:type="dxa"/>
            <w:vAlign w:val="bottom"/>
          </w:tcPr>
          <w:p>
            <w:pPr>
              <w:ind w:left="20"/>
              <w:spacing w:after="0"/>
              <w:rPr>
                <w:sz w:val="20"/>
                <w:szCs w:val="20"/>
                <w:color w:val="auto"/>
              </w:rPr>
            </w:pPr>
            <w:r>
              <w:rPr>
                <w:rFonts w:ascii="Arial" w:cs="Arial" w:eastAsia="Arial" w:hAnsi="Arial"/>
                <w:sz w:val="19"/>
                <w:szCs w:val="19"/>
                <w:color w:val="auto"/>
              </w:rPr>
              <w:t>Other comprehensive loss, net of tax</w:t>
            </w:r>
          </w:p>
        </w:tc>
        <w:tc>
          <w:tcPr>
            <w:tcW w:w="520" w:type="dxa"/>
            <w:vAlign w:val="bottom"/>
          </w:tcPr>
          <w:p>
            <w:pPr>
              <w:spacing w:after="0"/>
              <w:rPr>
                <w:sz w:val="20"/>
                <w:szCs w:val="20"/>
                <w:color w:val="auto"/>
              </w:rPr>
            </w:pPr>
          </w:p>
        </w:tc>
        <w:tc>
          <w:tcPr>
            <w:tcW w:w="1240" w:type="dxa"/>
            <w:vAlign w:val="bottom"/>
            <w:gridSpan w:val="2"/>
          </w:tcPr>
          <w:p>
            <w:pPr>
              <w:jc w:val="right"/>
              <w:ind w:right="106"/>
              <w:spacing w:after="0"/>
              <w:rPr>
                <w:sz w:val="20"/>
                <w:szCs w:val="20"/>
                <w:color w:val="auto"/>
              </w:rPr>
            </w:pPr>
            <w:r>
              <w:rPr>
                <w:rFonts w:ascii="Arial" w:cs="Arial" w:eastAsia="Arial" w:hAnsi="Arial"/>
                <w:sz w:val="19"/>
                <w:szCs w:val="19"/>
                <w:color w:val="auto"/>
              </w:rPr>
              <w:t>(25.1 )</w:t>
            </w:r>
          </w:p>
        </w:tc>
        <w:tc>
          <w:tcPr>
            <w:tcW w:w="6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9"/>
                <w:szCs w:val="19"/>
                <w:color w:val="auto"/>
              </w:rPr>
              <w:t>(2.4 )</w:t>
            </w:r>
          </w:p>
        </w:tc>
        <w:tc>
          <w:tcPr>
            <w:tcW w:w="7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(27.5 )</w:t>
            </w:r>
          </w:p>
        </w:tc>
        <w:tc>
          <w:tcPr>
            <w:tcW w:w="0" w:type="dxa"/>
            <w:vAlign w:val="bottom"/>
          </w:tcPr>
          <w:p>
            <w:pPr>
              <w:spacing w:after="0"/>
              <w:rPr>
                <w:sz w:val="1"/>
                <w:szCs w:val="1"/>
                <w:color w:val="auto"/>
              </w:rPr>
            </w:pPr>
          </w:p>
        </w:tc>
      </w:tr>
      <w:tr>
        <w:trPr>
          <w:trHeight w:val="30"/>
        </w:trPr>
        <w:tc>
          <w:tcPr>
            <w:tcW w:w="6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end of period</w:t>
            </w:r>
          </w:p>
        </w:tc>
        <w:tc>
          <w:tcPr>
            <w:tcW w:w="52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(122.7</w:t>
            </w:r>
          </w:p>
        </w:tc>
        <w:tc>
          <w:tcPr>
            <w:tcW w:w="280" w:type="dxa"/>
            <w:vAlign w:val="bottom"/>
            <w:tcBorders>
              <w:bottom w:val="single" w:sz="8" w:color="CFF0FC"/>
            </w:tcBorders>
            <w:shd w:val="clear" w:color="auto" w:fill="CFF0FC"/>
          </w:tcPr>
          <w:p>
            <w:pPr>
              <w:jc w:val="right"/>
              <w:ind w:right="106"/>
              <w:spacing w:after="0"/>
              <w:rPr>
                <w:sz w:val="20"/>
                <w:szCs w:val="20"/>
                <w:color w:val="auto"/>
              </w:rPr>
            </w:pPr>
            <w:r>
              <w:rPr>
                <w:rFonts w:ascii="Arial" w:cs="Arial" w:eastAsia="Arial" w:hAnsi="Arial"/>
                <w:sz w:val="19"/>
                <w:szCs w:val="19"/>
                <w:color w:val="auto"/>
                <w:w w:val="94"/>
              </w:rPr>
              <w:t>)</w:t>
            </w:r>
          </w:p>
        </w:tc>
        <w:tc>
          <w:tcPr>
            <w:tcW w:w="640" w:type="dxa"/>
            <w:vAlign w:val="bottom"/>
            <w:tcBorders>
              <w:bottom w:val="single" w:sz="8" w:color="auto"/>
            </w:tcBorders>
            <w:shd w:val="clear" w:color="auto" w:fill="CFF0FC"/>
          </w:tcPr>
          <w:p>
            <w:pPr>
              <w:jc w:val="right"/>
              <w:ind w:right="446"/>
              <w:spacing w:after="0"/>
              <w:rPr>
                <w:sz w:val="20"/>
                <w:szCs w:val="20"/>
                <w:color w:val="auto"/>
              </w:rPr>
            </w:pPr>
            <w:r>
              <w:rPr>
                <w:rFonts w:ascii="Arial" w:cs="Arial" w:eastAsia="Arial" w:hAnsi="Arial"/>
                <w:sz w:val="19"/>
                <w:szCs w:val="19"/>
                <w:color w:val="auto"/>
                <w:w w:val="7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-1765300</wp:posOffset>
            </wp:positionV>
            <wp:extent cx="68580"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-1765300</wp:posOffset>
            </wp:positionV>
            <wp:extent cx="68580" cy="3771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556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568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-1036320</wp:posOffset>
            </wp:positionV>
            <wp:extent cx="68580" cy="3340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-1036320</wp:posOffset>
            </wp:positionV>
            <wp:extent cx="68580" cy="3340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3340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-384810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-384810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70" w:lineRule="exact"/>
        <w:rPr>
          <w:sz w:val="20"/>
          <w:szCs w:val="20"/>
          <w:color w:val="auto"/>
        </w:rPr>
      </w:pPr>
    </w:p>
    <w:p>
      <w:pPr>
        <w:jc w:val="both"/>
        <w:ind w:left="380"/>
        <w:spacing w:after="0" w:line="284" w:lineRule="auto"/>
        <w:rPr>
          <w:sz w:val="20"/>
          <w:szCs w:val="20"/>
          <w:color w:val="auto"/>
        </w:rPr>
      </w:pPr>
      <w:r>
        <w:rPr>
          <w:rFonts w:ascii="Arial" w:cs="Arial" w:eastAsia="Arial" w:hAnsi="Arial"/>
          <w:sz w:val="19"/>
          <w:szCs w:val="19"/>
          <w:color w:val="auto"/>
        </w:rPr>
        <w:t>The $33.0 million, net of tax, other comprehensive loss before reclassifcatons in the Pension and Postretrement Beneft Plans for the nine months ended September 30, 2022 was driven by the remeasurement of the funded status of the Company’s qualifed pension plan, required as a result of a plan amendment that provided an enhanced beneft for eligible hourly employees.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0" w:type="dxa"/>
            <w:vAlign w:val="bottom"/>
            <w:gridSpan w:val="10"/>
          </w:tcPr>
          <w:p>
            <w:pPr>
              <w:ind w:left="380"/>
              <w:spacing w:after="0"/>
              <w:rPr>
                <w:sz w:val="20"/>
                <w:szCs w:val="20"/>
                <w:color w:val="auto"/>
              </w:rPr>
            </w:pPr>
            <w:r>
              <w:rPr>
                <w:rFonts w:ascii="Arial" w:cs="Arial" w:eastAsia="Arial" w:hAnsi="Arial"/>
                <w:sz w:val="20"/>
                <w:szCs w:val="20"/>
                <w:color w:val="auto"/>
                <w:w w:val="95"/>
              </w:rPr>
              <w:t>Changes in net noncurrent deferred tax assets related to accumulated other comprehensive loss are as follows:</w:t>
            </w: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4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80" w:type="dxa"/>
            <w:vAlign w:val="bottom"/>
            <w:gridSpan w:val="7"/>
          </w:tcPr>
          <w:p>
            <w:pPr>
              <w:jc w:val="right"/>
              <w:ind w:right="100"/>
              <w:spacing w:after="0"/>
              <w:rPr>
                <w:sz w:val="20"/>
                <w:szCs w:val="20"/>
                <w:color w:val="auto"/>
              </w:rPr>
            </w:pPr>
            <w:r>
              <w:rPr>
                <w:rFonts w:ascii="Arial" w:cs="Arial" w:eastAsia="Arial" w:hAnsi="Arial"/>
                <w:sz w:val="20"/>
                <w:szCs w:val="20"/>
                <w:color w:val="auto"/>
                <w:w w:val="92"/>
              </w:rPr>
              <w:t>Pension and Postretrement Beneft Plans</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940" w:type="dxa"/>
            <w:vAlign w:val="bottom"/>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p>
        </w:tc>
        <w:tc>
          <w:tcPr>
            <w:tcW w:w="3260" w:type="dxa"/>
            <w:vAlign w:val="bottom"/>
            <w:gridSpan w:val="6"/>
          </w:tcPr>
          <w:p>
            <w:pPr>
              <w:jc w:val="right"/>
              <w:ind w:right="821"/>
              <w:spacing w:after="0"/>
              <w:rPr>
                <w:sz w:val="20"/>
                <w:szCs w:val="20"/>
                <w:color w:val="auto"/>
              </w:rPr>
            </w:pPr>
            <w:r>
              <w:rPr>
                <w:rFonts w:ascii="Arial" w:cs="Arial" w:eastAsia="Arial" w:hAnsi="Arial"/>
                <w:sz w:val="20"/>
                <w:szCs w:val="20"/>
                <w:color w:val="auto"/>
              </w:rPr>
              <w:t>Three Months Ended</w:t>
            </w:r>
          </w:p>
        </w:tc>
        <w:tc>
          <w:tcPr>
            <w:tcW w:w="300" w:type="dxa"/>
            <w:vAlign w:val="bottom"/>
          </w:tcPr>
          <w:p>
            <w:pPr>
              <w:spacing w:after="0"/>
              <w:rPr>
                <w:sz w:val="20"/>
                <w:szCs w:val="20"/>
                <w:color w:val="auto"/>
              </w:rPr>
            </w:pPr>
          </w:p>
        </w:tc>
        <w:tc>
          <w:tcPr>
            <w:tcW w:w="2640" w:type="dxa"/>
            <w:vAlign w:val="bottom"/>
            <w:gridSpan w:val="4"/>
          </w:tcPr>
          <w:p>
            <w:pPr>
              <w:jc w:val="right"/>
              <w:ind w:right="581"/>
              <w:spacing w:after="0"/>
              <w:rPr>
                <w:sz w:val="20"/>
                <w:szCs w:val="20"/>
                <w:color w:val="auto"/>
              </w:rPr>
            </w:pPr>
            <w:r>
              <w:rPr>
                <w:rFonts w:ascii="Arial" w:cs="Arial" w:eastAsia="Arial" w:hAnsi="Arial"/>
                <w:sz w:val="20"/>
                <w:szCs w:val="20"/>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w w:val="89"/>
              </w:rPr>
              <w:t>September 30,</w:t>
            </w: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49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4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2022</w:t>
            </w: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2023</w:t>
            </w: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5"/>
              </w:rPr>
              <w:t>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6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w w:val="76"/>
              </w:rPr>
              <w:t>in</w:t>
            </w:r>
          </w:p>
        </w:tc>
        <w:tc>
          <w:tcPr>
            <w:tcW w:w="134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color w:val="auto"/>
              </w:rPr>
              <w:t>Balance at beginning of period</w:t>
            </w:r>
          </w:p>
        </w:tc>
        <w:tc>
          <w:tcPr>
            <w:tcW w:w="900" w:type="dxa"/>
            <w:vAlign w:val="bottom"/>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49.4</w:t>
            </w:r>
          </w:p>
        </w:tc>
        <w:tc>
          <w:tcPr>
            <w:tcW w:w="740" w:type="dxa"/>
            <w:vAlign w:val="bottom"/>
            <w:gridSpan w:val="2"/>
            <w:shd w:val="clear" w:color="auto" w:fill="CFF0FC"/>
          </w:tcPr>
          <w:p>
            <w:pPr>
              <w:jc w:val="right"/>
              <w:ind w:right="26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79.5</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50.1</w:t>
            </w:r>
          </w:p>
        </w:tc>
        <w:tc>
          <w:tcPr>
            <w:tcW w:w="26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line="218" w:lineRule="exact"/>
              <w:rPr>
                <w:sz w:val="20"/>
                <w:szCs w:val="20"/>
                <w:color w:val="auto"/>
              </w:rPr>
            </w:pPr>
            <w:r>
              <w:rPr>
                <w:rFonts w:ascii="Arial" w:cs="Arial" w:eastAsia="Arial" w:hAnsi="Arial"/>
                <w:sz w:val="20"/>
                <w:szCs w:val="20"/>
                <w:color w:val="auto"/>
              </w:rPr>
              <w:t>Tax efect of other comprehensive</w:t>
            </w:r>
          </w:p>
        </w:tc>
        <w:tc>
          <w:tcPr>
            <w:tcW w:w="900" w:type="dxa"/>
            <w:vAlign w:val="bottom"/>
          </w:tcPr>
          <w:p>
            <w:pPr>
              <w:spacing w:after="0"/>
              <w:rPr>
                <w:sz w:val="18"/>
                <w:szCs w:val="18"/>
                <w:color w:val="auto"/>
              </w:rPr>
            </w:pPr>
          </w:p>
        </w:tc>
        <w:tc>
          <w:tcPr>
            <w:tcW w:w="760" w:type="dxa"/>
            <w:vAlign w:val="bottom"/>
            <w:gridSpan w:val="2"/>
            <w:vMerge w:val="restart"/>
          </w:tcPr>
          <w:p>
            <w:pPr>
              <w:jc w:val="right"/>
              <w:ind w:right="121"/>
              <w:spacing w:after="0"/>
              <w:rPr>
                <w:sz w:val="20"/>
                <w:szCs w:val="20"/>
                <w:color w:val="auto"/>
              </w:rPr>
            </w:pPr>
            <w:r>
              <w:rPr>
                <w:rFonts w:ascii="Arial" w:cs="Arial" w:eastAsia="Arial" w:hAnsi="Arial"/>
                <w:sz w:val="20"/>
                <w:szCs w:val="20"/>
                <w:color w:val="auto"/>
              </w:rPr>
              <w:t>(0.4 )</w:t>
            </w:r>
          </w:p>
        </w:tc>
        <w:tc>
          <w:tcPr>
            <w:tcW w:w="460" w:type="dxa"/>
            <w:vAlign w:val="bottom"/>
          </w:tcPr>
          <w:p>
            <w:pPr>
              <w:spacing w:after="0"/>
              <w:rPr>
                <w:sz w:val="18"/>
                <w:szCs w:val="18"/>
                <w:color w:val="auto"/>
              </w:rPr>
            </w:pPr>
          </w:p>
        </w:tc>
        <w:tc>
          <w:tcPr>
            <w:tcW w:w="1140" w:type="dxa"/>
            <w:vAlign w:val="bottom"/>
            <w:gridSpan w:val="2"/>
            <w:vMerge w:val="restart"/>
          </w:tcPr>
          <w:p>
            <w:pPr>
              <w:jc w:val="right"/>
              <w:ind w:right="81"/>
              <w:spacing w:after="0"/>
              <w:rPr>
                <w:sz w:val="20"/>
                <w:szCs w:val="20"/>
                <w:color w:val="auto"/>
              </w:rPr>
            </w:pPr>
            <w:r>
              <w:rPr>
                <w:rFonts w:ascii="Arial" w:cs="Arial" w:eastAsia="Arial" w:hAnsi="Arial"/>
                <w:sz w:val="20"/>
                <w:szCs w:val="20"/>
                <w:color w:val="auto"/>
              </w:rPr>
              <w:t>(1.6 )</w:t>
            </w:r>
          </w:p>
        </w:tc>
        <w:tc>
          <w:tcPr>
            <w:tcW w:w="300" w:type="dxa"/>
            <w:vAlign w:val="bottom"/>
          </w:tcPr>
          <w:p>
            <w:pPr>
              <w:spacing w:after="0"/>
              <w:rPr>
                <w:sz w:val="18"/>
                <w:szCs w:val="18"/>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(1.1 )</w:t>
            </w:r>
          </w:p>
        </w:tc>
        <w:tc>
          <w:tcPr>
            <w:tcW w:w="4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60"/>
              <w:spacing w:after="0"/>
              <w:rPr>
                <w:sz w:val="20"/>
                <w:szCs w:val="20"/>
                <w:color w:val="auto"/>
              </w:rPr>
            </w:pPr>
            <w:r>
              <w:rPr>
                <w:rFonts w:ascii="Arial" w:cs="Arial" w:eastAsia="Arial" w:hAnsi="Arial"/>
                <w:sz w:val="20"/>
                <w:szCs w:val="20"/>
                <w:color w:val="auto"/>
              </w:rPr>
              <w:t>(earnings) loss</w:t>
            </w:r>
          </w:p>
        </w:tc>
        <w:tc>
          <w:tcPr>
            <w:tcW w:w="90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4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Balance at end of period</w:t>
            </w:r>
          </w:p>
        </w:tc>
        <w:tc>
          <w:tcPr>
            <w:tcW w:w="900" w:type="dxa"/>
            <w:vAlign w:val="bottom"/>
            <w:tcBorders>
              <w:bottom w:val="single" w:sz="8" w:color="auto"/>
            </w:tcBorders>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49.0</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49.0</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Reclassifcatons out of accumulated other comprehensive loss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tcPr>
          <w:p>
            <w:pPr>
              <w:jc w:val="center"/>
              <w:ind w:left="1"/>
              <w:spacing w:after="0"/>
              <w:rPr>
                <w:sz w:val="20"/>
                <w:szCs w:val="20"/>
                <w:color w:val="auto"/>
              </w:rPr>
            </w:pPr>
            <w:r>
              <w:rPr>
                <w:rFonts w:ascii="Arial" w:cs="Arial" w:eastAsia="Arial" w:hAnsi="Arial"/>
                <w:sz w:val="20"/>
                <w:szCs w:val="20"/>
                <w:color w:val="auto"/>
                <w:w w:val="94"/>
              </w:rPr>
              <w:t>Afected line items in the</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472"/>
              <w:spacing w:after="0"/>
              <w:rPr>
                <w:sz w:val="20"/>
                <w:szCs w:val="20"/>
                <w:color w:val="auto"/>
              </w:rPr>
            </w:pPr>
            <w:r>
              <w:rPr>
                <w:rFonts w:ascii="Arial" w:cs="Arial" w:eastAsia="Arial" w:hAnsi="Arial"/>
                <w:sz w:val="20"/>
                <w:szCs w:val="20"/>
                <w:color w:val="auto"/>
                <w:w w:val="94"/>
              </w:rPr>
              <w:t>Three Months Ended</w:t>
            </w:r>
          </w:p>
        </w:tc>
        <w:tc>
          <w:tcPr>
            <w:tcW w:w="20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20"/>
                <w:szCs w:val="20"/>
                <w:color w:val="auto"/>
                <w:w w:val="96"/>
              </w:rPr>
              <w:t>Nine Months Ended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tcPr>
          <w:p>
            <w:pPr>
              <w:jc w:val="center"/>
              <w:ind w:left="41"/>
              <w:spacing w:after="0"/>
              <w:rPr>
                <w:sz w:val="20"/>
                <w:szCs w:val="20"/>
                <w:color w:val="auto"/>
              </w:rPr>
            </w:pPr>
            <w:r>
              <w:rPr>
                <w:rFonts w:ascii="Arial" w:cs="Arial" w:eastAsia="Arial" w:hAnsi="Arial"/>
                <w:sz w:val="20"/>
                <w:szCs w:val="20"/>
                <w:color w:val="auto"/>
                <w:w w:val="92"/>
              </w:rPr>
              <w:t>consolidated</w:t>
            </w: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712"/>
              <w:spacing w:after="0"/>
              <w:rPr>
                <w:sz w:val="20"/>
                <w:szCs w:val="20"/>
                <w:color w:val="auto"/>
              </w:rPr>
            </w:pPr>
            <w:r>
              <w:rPr>
                <w:rFonts w:ascii="Arial" w:cs="Arial" w:eastAsia="Arial" w:hAnsi="Arial"/>
                <w:sz w:val="20"/>
                <w:szCs w:val="20"/>
                <w:color w:val="auto"/>
              </w:rPr>
              <w:t>September 30,</w:t>
            </w:r>
          </w:p>
        </w:tc>
        <w:tc>
          <w:tcPr>
            <w:tcW w:w="200" w:type="dxa"/>
            <w:vAlign w:val="bottom"/>
          </w:tcPr>
          <w:p>
            <w:pPr>
              <w:spacing w:after="0"/>
              <w:rPr>
                <w:sz w:val="24"/>
                <w:szCs w:val="24"/>
                <w:color w:val="auto"/>
              </w:rPr>
            </w:pPr>
          </w:p>
        </w:tc>
        <w:tc>
          <w:tcPr>
            <w:tcW w:w="1760" w:type="dxa"/>
            <w:vAlign w:val="bottom"/>
            <w:gridSpan w:val="3"/>
          </w:tcPr>
          <w:p>
            <w:pPr>
              <w:jc w:val="right"/>
              <w:ind w:right="161"/>
              <w:spacing w:after="0"/>
              <w:rPr>
                <w:sz w:val="20"/>
                <w:szCs w:val="20"/>
                <w:color w:val="auto"/>
              </w:rPr>
            </w:pPr>
            <w:r>
              <w:rPr>
                <w:rFonts w:ascii="Arial" w:cs="Arial" w:eastAsia="Arial" w:hAnsi="Arial"/>
                <w:sz w:val="20"/>
                <w:szCs w:val="20"/>
                <w:color w:val="auto"/>
              </w:rPr>
              <w:t>September 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jc w:val="center"/>
              <w:ind w:left="41"/>
              <w:spacing w:after="0"/>
              <w:rPr>
                <w:sz w:val="20"/>
                <w:szCs w:val="20"/>
                <w:color w:val="auto"/>
              </w:rPr>
            </w:pPr>
            <w:r>
              <w:rPr>
                <w:rFonts w:ascii="Arial" w:cs="Arial" w:eastAsia="Arial" w:hAnsi="Arial"/>
                <w:sz w:val="20"/>
                <w:szCs w:val="20"/>
                <w:color w:val="auto"/>
                <w:w w:val="90"/>
              </w:rPr>
              <w:t>statements of earnings</w:t>
            </w:r>
          </w:p>
        </w:tc>
        <w:tc>
          <w:tcPr>
            <w:tcW w:w="0" w:type="dxa"/>
            <w:vAlign w:val="bottom"/>
          </w:tcPr>
          <w:p>
            <w:pPr>
              <w:spacing w:after="0"/>
              <w:rPr>
                <w:sz w:val="1"/>
                <w:szCs w:val="1"/>
                <w:color w:val="auto"/>
              </w:rPr>
            </w:pPr>
          </w:p>
        </w:tc>
      </w:tr>
      <w:tr>
        <w:trPr>
          <w:trHeight w:val="31"/>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vMerge w:val="restart"/>
          </w:tcPr>
          <w:p>
            <w:pPr>
              <w:jc w:val="center"/>
              <w:ind w:left="41"/>
              <w:spacing w:after="0"/>
              <w:rPr>
                <w:sz w:val="20"/>
                <w:szCs w:val="20"/>
                <w:color w:val="auto"/>
              </w:rPr>
            </w:pPr>
            <w:r>
              <w:rPr>
                <w:rFonts w:ascii="Arial" w:cs="Arial" w:eastAsia="Arial" w:hAnsi="Arial"/>
                <w:sz w:val="20"/>
                <w:szCs w:val="20"/>
                <w:color w:val="auto"/>
                <w:w w:val="90"/>
              </w:rPr>
              <w:t>and comprehensive earnings</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2023</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2022</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2023</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40" w:type="dxa"/>
            <w:vAlign w:val="bottom"/>
          </w:tcPr>
          <w:p>
            <w:pPr>
              <w:jc w:val="right"/>
              <w:ind w:right="32"/>
              <w:spacing w:after="0"/>
              <w:rPr>
                <w:sz w:val="20"/>
                <w:szCs w:val="20"/>
                <w:color w:val="auto"/>
              </w:rPr>
            </w:pPr>
            <w:r>
              <w:rPr>
                <w:rFonts w:ascii="Arial" w:cs="Arial" w:eastAsia="Arial" w:hAnsi="Arial"/>
                <w:sz w:val="18"/>
                <w:szCs w:val="18"/>
                <w:i w:val="1"/>
                <w:iCs w:val="1"/>
                <w:color w:val="auto"/>
                <w:w w:val="71"/>
              </w:rPr>
              <w:t>in</w:t>
            </w:r>
          </w:p>
        </w:tc>
        <w:tc>
          <w:tcPr>
            <w:tcW w:w="10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FF0FC"/>
          </w:tcPr>
          <w:p>
            <w:pPr>
              <w:ind w:left="20"/>
              <w:spacing w:after="0" w:line="228" w:lineRule="exact"/>
              <w:rPr>
                <w:sz w:val="20"/>
                <w:szCs w:val="20"/>
                <w:color w:val="auto"/>
              </w:rPr>
            </w:pPr>
            <w:r>
              <w:rPr>
                <w:rFonts w:ascii="Arial" w:cs="Arial" w:eastAsia="Arial" w:hAnsi="Arial"/>
                <w:sz w:val="20"/>
                <w:szCs w:val="20"/>
                <w:color w:val="auto"/>
              </w:rPr>
              <w:t>Pension and postretrement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beneft plans</w:t>
            </w:r>
          </w:p>
        </w:tc>
        <w:tc>
          <w:tcPr>
            <w:tcW w:w="2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3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200"/>
              <w:spacing w:after="0"/>
              <w:rPr>
                <w:sz w:val="20"/>
                <w:szCs w:val="20"/>
                <w:color w:val="auto"/>
              </w:rPr>
            </w:pPr>
            <w:r>
              <w:rPr>
                <w:rFonts w:ascii="Arial" w:cs="Arial" w:eastAsia="Arial" w:hAnsi="Arial"/>
                <w:sz w:val="20"/>
                <w:szCs w:val="20"/>
                <w:color w:val="auto"/>
              </w:rPr>
              <w:t>Setlement charge</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4.5</w:t>
            </w:r>
          </w:p>
        </w:tc>
        <w:tc>
          <w:tcPr>
            <w:tcW w:w="24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501"/>
              <w:spacing w:after="0"/>
              <w:rPr>
                <w:sz w:val="20"/>
                <w:szCs w:val="20"/>
                <w:color w:val="auto"/>
              </w:rPr>
            </w:pPr>
            <w:r>
              <w:rPr>
                <w:rFonts w:ascii="Arial" w:cs="Arial" w:eastAsia="Arial" w:hAnsi="Arial"/>
                <w:sz w:val="20"/>
                <w:szCs w:val="20"/>
                <w:color w:val="auto"/>
                <w:w w:val="89"/>
              </w:rPr>
              <w:t>$</w:t>
            </w:r>
          </w:p>
        </w:tc>
        <w:tc>
          <w:tcPr>
            <w:tcW w:w="280" w:type="dxa"/>
            <w:vAlign w:val="bottom"/>
          </w:tcPr>
          <w:p>
            <w:pPr>
              <w:jc w:val="right"/>
              <w:spacing w:after="0"/>
              <w:rPr>
                <w:sz w:val="20"/>
                <w:szCs w:val="20"/>
                <w:color w:val="auto"/>
              </w:rPr>
            </w:pPr>
            <w:r>
              <w:rPr>
                <w:rFonts w:ascii="Arial" w:cs="Arial" w:eastAsia="Arial" w:hAnsi="Arial"/>
                <w:sz w:val="20"/>
                <w:szCs w:val="20"/>
                <w:color w:val="auto"/>
                <w:w w:val="86"/>
              </w:rPr>
              <w:t>4.5</w:t>
            </w:r>
          </w:p>
        </w:tc>
        <w:tc>
          <w:tcPr>
            <w:tcW w:w="1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Amortzaton of:</w:t>
            </w:r>
          </w:p>
        </w:tc>
        <w:tc>
          <w:tcPr>
            <w:tcW w:w="2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380"/>
              <w:spacing w:after="0"/>
              <w:rPr>
                <w:sz w:val="20"/>
                <w:szCs w:val="20"/>
                <w:color w:val="auto"/>
              </w:rPr>
            </w:pPr>
            <w:r>
              <w:rPr>
                <w:rFonts w:ascii="Arial" w:cs="Arial" w:eastAsia="Arial" w:hAnsi="Arial"/>
                <w:sz w:val="20"/>
                <w:szCs w:val="20"/>
                <w:color w:val="auto"/>
              </w:rPr>
              <w:t>Prior service cost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4.2</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3.2</w:t>
            </w:r>
          </w:p>
        </w:tc>
        <w:tc>
          <w:tcPr>
            <w:tcW w:w="1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2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Actuarial loss</w:t>
            </w:r>
          </w:p>
        </w:tc>
        <w:tc>
          <w:tcPr>
            <w:tcW w:w="2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2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spacing w:after="0"/>
              <w:rPr>
                <w:sz w:val="23"/>
                <w:szCs w:val="2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2.8</w:t>
            </w:r>
          </w:p>
        </w:tc>
        <w:tc>
          <w:tcPr>
            <w:tcW w:w="100" w:type="dxa"/>
            <w:vAlign w:val="bottom"/>
            <w:shd w:val="clear" w:color="auto" w:fill="CFF0FC"/>
          </w:tcPr>
          <w:p>
            <w:pPr>
              <w:spacing w:after="0"/>
              <w:rPr>
                <w:sz w:val="23"/>
                <w:szCs w:val="23"/>
                <w:color w:val="auto"/>
              </w:rPr>
            </w:pPr>
          </w:p>
        </w:tc>
        <w:tc>
          <w:tcPr>
            <w:tcW w:w="3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20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26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24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240" w:type="dxa"/>
            <w:vAlign w:val="bottom"/>
            <w:tcBorders>
              <w:top w:val="single" w:sz="8" w:color="CFF0FC"/>
            </w:tcBorders>
          </w:tcPr>
          <w:p>
            <w:pPr>
              <w:spacing w:after="0"/>
              <w:rPr>
                <w:sz w:val="22"/>
                <w:szCs w:val="22"/>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10.5</w:t>
            </w:r>
          </w:p>
        </w:tc>
        <w:tc>
          <w:tcPr>
            <w:tcW w:w="100" w:type="dxa"/>
            <w:vAlign w:val="bottom"/>
            <w:tcBorders>
              <w:top w:val="single" w:sz="8" w:color="CFF0FC"/>
            </w:tcBorders>
          </w:tcPr>
          <w:p>
            <w:pPr>
              <w:spacing w:after="0"/>
              <w:rPr>
                <w:sz w:val="22"/>
                <w:szCs w:val="22"/>
                <w:color w:val="auto"/>
              </w:rPr>
            </w:pPr>
          </w:p>
        </w:tc>
        <w:tc>
          <w:tcPr>
            <w:tcW w:w="3140" w:type="dxa"/>
            <w:vAlign w:val="bottom"/>
            <w:tcBorders>
              <w:top w:val="single" w:sz="8" w:color="CFF0FC"/>
            </w:tcBorders>
          </w:tcPr>
          <w:p>
            <w:pPr>
              <w:ind w:left="160"/>
              <w:spacing w:after="0"/>
              <w:rPr>
                <w:sz w:val="20"/>
                <w:szCs w:val="20"/>
                <w:color w:val="auto"/>
              </w:rPr>
            </w:pPr>
            <w:r>
              <w:rPr>
                <w:rFonts w:ascii="Arial" w:cs="Arial" w:eastAsia="Arial" w:hAnsi="Arial"/>
                <w:sz w:val="20"/>
                <w:szCs w:val="20"/>
                <w:color w:val="auto"/>
              </w:rPr>
              <w:t>Other nonoperatng income, net</w:t>
            </w:r>
          </w:p>
        </w:tc>
        <w:tc>
          <w:tcPr>
            <w:tcW w:w="0" w:type="dxa"/>
            <w:vAlign w:val="bottom"/>
          </w:tcPr>
          <w:p>
            <w:pPr>
              <w:spacing w:after="0"/>
              <w:rPr>
                <w:sz w:val="1"/>
                <w:szCs w:val="1"/>
                <w:color w:val="auto"/>
              </w:rPr>
            </w:pPr>
          </w:p>
        </w:tc>
      </w:tr>
      <w:tr>
        <w:trPr>
          <w:trHeight w:val="273"/>
        </w:trPr>
        <w:tc>
          <w:tcPr>
            <w:tcW w:w="32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Tax efect</w:t>
            </w:r>
          </w:p>
        </w:tc>
        <w:tc>
          <w:tcPr>
            <w:tcW w:w="22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(0.4 )</w:t>
            </w:r>
          </w:p>
        </w:tc>
        <w:tc>
          <w:tcPr>
            <w:tcW w:w="22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ind w:right="92"/>
              <w:spacing w:after="0"/>
              <w:rPr>
                <w:sz w:val="20"/>
                <w:szCs w:val="20"/>
                <w:color w:val="auto"/>
              </w:rPr>
            </w:pPr>
            <w:r>
              <w:rPr>
                <w:rFonts w:ascii="Arial" w:cs="Arial" w:eastAsia="Arial" w:hAnsi="Arial"/>
                <w:sz w:val="20"/>
                <w:szCs w:val="20"/>
                <w:color w:val="auto"/>
              </w:rPr>
              <w:t>(1.6 )</w:t>
            </w:r>
          </w:p>
        </w:tc>
        <w:tc>
          <w:tcPr>
            <w:tcW w:w="20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(1.1 )</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(2.6 )</w:t>
            </w:r>
          </w:p>
        </w:tc>
        <w:tc>
          <w:tcPr>
            <w:tcW w:w="31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Income tax expense</w:t>
            </w:r>
          </w:p>
        </w:tc>
        <w:tc>
          <w:tcPr>
            <w:tcW w:w="0" w:type="dxa"/>
            <w:vAlign w:val="bottom"/>
          </w:tcPr>
          <w:p>
            <w:pPr>
              <w:spacing w:after="0"/>
              <w:rPr>
                <w:sz w:val="1"/>
                <w:szCs w:val="1"/>
                <w:color w:val="auto"/>
              </w:rPr>
            </w:pPr>
          </w:p>
        </w:tc>
      </w:tr>
      <w:tr>
        <w:trPr>
          <w:trHeight w:val="264"/>
        </w:trPr>
        <w:tc>
          <w:tcPr>
            <w:tcW w:w="320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26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w:t>
            </w:r>
          </w:p>
        </w:tc>
        <w:tc>
          <w:tcPr>
            <w:tcW w:w="240" w:type="dxa"/>
            <w:vAlign w:val="bottom"/>
            <w:tcBorders>
              <w:top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240" w:type="dxa"/>
            <w:vAlign w:val="bottom"/>
            <w:tcBorders>
              <w:top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6"/>
              </w:rPr>
              <w:t>7.9</w:t>
            </w:r>
          </w:p>
        </w:tc>
        <w:tc>
          <w:tcPr>
            <w:tcW w:w="100" w:type="dxa"/>
            <w:vAlign w:val="bottom"/>
            <w:tcBorders>
              <w:top w:val="single" w:sz="8" w:color="CFF0FC"/>
            </w:tcBorders>
          </w:tcPr>
          <w:p>
            <w:pPr>
              <w:spacing w:after="0"/>
              <w:rPr>
                <w:sz w:val="22"/>
                <w:szCs w:val="22"/>
                <w:color w:val="auto"/>
              </w:rPr>
            </w:pPr>
          </w:p>
        </w:tc>
        <w:tc>
          <w:tcPr>
            <w:tcW w:w="314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-556260</wp:posOffset>
            </wp:positionV>
            <wp:extent cx="7683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-556260</wp:posOffset>
            </wp:positionV>
            <wp:extent cx="6858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-556260</wp:posOffset>
            </wp:positionV>
            <wp:extent cx="6858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-556260</wp:posOffset>
            </wp:positionV>
            <wp:extent cx="6858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-205105</wp:posOffset>
            </wp:positionV>
            <wp:extent cx="7683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-205105</wp:posOffset>
            </wp:positionV>
            <wp:extent cx="6858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-205105</wp:posOffset>
            </wp:positionV>
            <wp:extent cx="6858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-205105</wp:posOffset>
            </wp:positionV>
            <wp:extent cx="6858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21" w:lineRule="exact"/>
        <w:rPr>
          <w:sz w:val="20"/>
          <w:szCs w:val="20"/>
          <w:color w:val="auto"/>
        </w:rPr>
      </w:pPr>
    </w:p>
    <w:p>
      <w:pPr>
        <w:jc w:val="both"/>
        <w:ind w:left="380"/>
        <w:spacing w:after="0" w:line="288" w:lineRule="auto"/>
        <w:rPr>
          <w:sz w:val="20"/>
          <w:szCs w:val="20"/>
          <w:color w:val="auto"/>
        </w:rPr>
      </w:pPr>
      <w:r>
        <w:rPr>
          <w:rFonts w:ascii="Arial" w:cs="Arial" w:eastAsia="Arial" w:hAnsi="Arial"/>
          <w:sz w:val="18"/>
          <w:szCs w:val="18"/>
          <w:color w:val="auto"/>
        </w:rPr>
        <w:t>The numerator for basic and diluted earnings per common share is net earnings atributable to Martn Marieta, reduced by dividends and undistributed earnings atributable to certain of the Company’s stock-based compensaton arrangements. If there is a net loss, no amount of the undistributed loss is atributed to unvested partcipatng securites.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and nine months ended September 30, 2023 and 2022, the diluted per-share computatons refect the number of common shares outstanding including the number of additonal shares that would have been outstanding if the potentally dilutve common shares had been issued.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table reconciles the denominator for basic and diluted earnings from contnuing operatons per common share:</w:t>
      </w:r>
    </w:p>
    <w:p>
      <w:pPr>
        <w:spacing w:after="0" w:line="146" w:lineRule="exact"/>
        <w:rPr>
          <w:sz w:val="20"/>
          <w:szCs w:val="20"/>
          <w:color w:val="auto"/>
        </w:rPr>
      </w:pPr>
    </w:p>
    <w:tbl>
      <w:tblPr>
        <w:tblLayout w:type="fixed"/>
        <w:tblInd w:w="5740" w:type="dxa"/>
        <w:tblCellMar>
          <w:top w:w="0" w:type="dxa"/>
          <w:left w:w="0" w:type="dxa"/>
          <w:bottom w:w="0" w:type="dxa"/>
          <w:right w:w="0" w:type="dxa"/>
        </w:tblCellMar>
      </w:tblPr>
      <w:tr>
        <w:trPr>
          <w:trHeight w:val="250"/>
        </w:trPr>
        <w:tc>
          <w:tcPr>
            <w:tcW w:w="2620" w:type="dxa"/>
            <w:vAlign w:val="bottom"/>
            <w:gridSpan w:val="2"/>
          </w:tcPr>
          <w:p>
            <w:pPr>
              <w:jc w:val="center"/>
              <w:spacing w:after="0"/>
              <w:rPr>
                <w:sz w:val="20"/>
                <w:szCs w:val="20"/>
                <w:color w:val="auto"/>
              </w:rPr>
            </w:pPr>
            <w:r>
              <w:rPr>
                <w:rFonts w:ascii="Arial" w:cs="Arial" w:eastAsia="Arial" w:hAnsi="Arial"/>
                <w:sz w:val="20"/>
                <w:szCs w:val="20"/>
                <w:color w:val="auto"/>
                <w:w w:val="89"/>
              </w:rPr>
              <w:t>Three Months Ended</w:t>
            </w:r>
          </w:p>
        </w:tc>
        <w:tc>
          <w:tcPr>
            <w:tcW w:w="220" w:type="dxa"/>
            <w:vAlign w:val="bottom"/>
          </w:tcPr>
          <w:p>
            <w:pPr>
              <w:spacing w:after="0"/>
              <w:rPr>
                <w:sz w:val="21"/>
                <w:szCs w:val="21"/>
                <w:color w:val="auto"/>
              </w:rPr>
            </w:pPr>
          </w:p>
        </w:tc>
        <w:tc>
          <w:tcPr>
            <w:tcW w:w="2560" w:type="dxa"/>
            <w:vAlign w:val="bottom"/>
            <w:gridSpan w:val="2"/>
          </w:tcPr>
          <w:p>
            <w:pPr>
              <w:jc w:val="center"/>
              <w:spacing w:after="0"/>
              <w:rPr>
                <w:sz w:val="20"/>
                <w:szCs w:val="20"/>
                <w:color w:val="auto"/>
              </w:rPr>
            </w:pPr>
            <w:r>
              <w:rPr>
                <w:rFonts w:ascii="Arial" w:cs="Arial" w:eastAsia="Arial" w:hAnsi="Arial"/>
                <w:sz w:val="20"/>
                <w:szCs w:val="20"/>
                <w:color w:val="auto"/>
                <w:w w:val="91"/>
              </w:rPr>
              <w:t>Nine Months Ended</w:t>
            </w:r>
          </w:p>
        </w:tc>
        <w:tc>
          <w:tcPr>
            <w:tcW w:w="0" w:type="dxa"/>
            <w:vAlign w:val="bottom"/>
          </w:tcPr>
          <w:p>
            <w:pPr>
              <w:spacing w:after="0"/>
              <w:rPr>
                <w:sz w:val="1"/>
                <w:szCs w:val="1"/>
                <w:color w:val="auto"/>
              </w:rPr>
            </w:pPr>
          </w:p>
        </w:tc>
      </w:tr>
      <w:tr>
        <w:trPr>
          <w:trHeight w:val="270"/>
        </w:trPr>
        <w:tc>
          <w:tcPr>
            <w:tcW w:w="2620" w:type="dxa"/>
            <w:vAlign w:val="bottom"/>
            <w:gridSpan w:val="2"/>
          </w:tcPr>
          <w:p>
            <w:pPr>
              <w:jc w:val="center"/>
              <w:spacing w:after="0"/>
              <w:rPr>
                <w:sz w:val="20"/>
                <w:szCs w:val="20"/>
                <w:color w:val="auto"/>
              </w:rPr>
            </w:pPr>
            <w:r>
              <w:rPr>
                <w:rFonts w:ascii="Arial" w:cs="Arial" w:eastAsia="Arial" w:hAnsi="Arial"/>
                <w:sz w:val="20"/>
                <w:szCs w:val="20"/>
                <w:color w:val="auto"/>
                <w:w w:val="89"/>
              </w:rPr>
              <w:t>September 30,</w:t>
            </w:r>
          </w:p>
        </w:tc>
        <w:tc>
          <w:tcPr>
            <w:tcW w:w="220" w:type="dxa"/>
            <w:vAlign w:val="bottom"/>
          </w:tcPr>
          <w:p>
            <w:pPr>
              <w:spacing w:after="0"/>
              <w:rPr>
                <w:sz w:val="23"/>
                <w:szCs w:val="23"/>
                <w:color w:val="auto"/>
              </w:rPr>
            </w:pPr>
          </w:p>
        </w:tc>
        <w:tc>
          <w:tcPr>
            <w:tcW w:w="2560" w:type="dxa"/>
            <w:vAlign w:val="bottom"/>
            <w:gridSpan w:val="2"/>
          </w:tcPr>
          <w:p>
            <w:pPr>
              <w:jc w:val="center"/>
              <w:spacing w:after="0"/>
              <w:rPr>
                <w:sz w:val="20"/>
                <w:szCs w:val="20"/>
                <w:color w:val="auto"/>
              </w:rPr>
            </w:pPr>
            <w:r>
              <w:rPr>
                <w:rFonts w:ascii="Arial" w:cs="Arial" w:eastAsia="Arial" w:hAnsi="Arial"/>
                <w:sz w:val="20"/>
                <w:szCs w:val="20"/>
                <w:color w:val="auto"/>
                <w:w w:val="89"/>
              </w:rPr>
              <w:t>September 30,</w:t>
            </w:r>
          </w:p>
        </w:tc>
        <w:tc>
          <w:tcPr>
            <w:tcW w:w="0" w:type="dxa"/>
            <w:vAlign w:val="bottom"/>
          </w:tcPr>
          <w:p>
            <w:pPr>
              <w:spacing w:after="0"/>
              <w:rPr>
                <w:sz w:val="1"/>
                <w:szCs w:val="1"/>
                <w:color w:val="auto"/>
              </w:rPr>
            </w:pPr>
          </w:p>
        </w:tc>
      </w:tr>
      <w:tr>
        <w:trPr>
          <w:trHeight w:val="45"/>
        </w:trPr>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tcPr>
          <w:p>
            <w:pPr>
              <w:jc w:val="right"/>
              <w:ind w:right="421"/>
              <w:spacing w:after="0"/>
              <w:rPr>
                <w:sz w:val="20"/>
                <w:szCs w:val="20"/>
                <w:color w:val="auto"/>
              </w:rPr>
            </w:pPr>
            <w:r>
              <w:rPr>
                <w:rFonts w:ascii="Arial" w:cs="Arial" w:eastAsia="Arial" w:hAnsi="Arial"/>
                <w:sz w:val="20"/>
                <w:szCs w:val="20"/>
                <w:color w:val="auto"/>
              </w:rPr>
              <w:t>2023</w:t>
            </w:r>
          </w:p>
        </w:tc>
        <w:tc>
          <w:tcPr>
            <w:tcW w:w="1300" w:type="dxa"/>
            <w:vAlign w:val="bottom"/>
          </w:tcPr>
          <w:p>
            <w:pPr>
              <w:jc w:val="right"/>
              <w:ind w:right="281"/>
              <w:spacing w:after="0"/>
              <w:rPr>
                <w:sz w:val="20"/>
                <w:szCs w:val="20"/>
                <w:color w:val="auto"/>
              </w:rPr>
            </w:pPr>
            <w:r>
              <w:rPr>
                <w:rFonts w:ascii="Arial" w:cs="Arial" w:eastAsia="Arial" w:hAnsi="Arial"/>
                <w:sz w:val="20"/>
                <w:szCs w:val="20"/>
                <w:color w:val="auto"/>
              </w:rPr>
              <w:t>2022</w:t>
            </w:r>
          </w:p>
        </w:tc>
        <w:tc>
          <w:tcPr>
            <w:tcW w:w="220" w:type="dxa"/>
            <w:vAlign w:val="bottom"/>
            <w:vMerge w:val="continue"/>
          </w:tcPr>
          <w:p>
            <w:pPr>
              <w:spacing w:after="0"/>
              <w:rPr>
                <w:sz w:val="21"/>
                <w:szCs w:val="21"/>
                <w:color w:val="auto"/>
              </w:rPr>
            </w:pPr>
          </w:p>
        </w:tc>
        <w:tc>
          <w:tcPr>
            <w:tcW w:w="1280" w:type="dxa"/>
            <w:vAlign w:val="bottom"/>
          </w:tcPr>
          <w:p>
            <w:pPr>
              <w:jc w:val="right"/>
              <w:ind w:right="401"/>
              <w:spacing w:after="0"/>
              <w:rPr>
                <w:sz w:val="20"/>
                <w:szCs w:val="20"/>
                <w:color w:val="auto"/>
              </w:rPr>
            </w:pPr>
            <w:r>
              <w:rPr>
                <w:rFonts w:ascii="Arial" w:cs="Arial" w:eastAsia="Arial" w:hAnsi="Arial"/>
                <w:sz w:val="20"/>
                <w:szCs w:val="20"/>
                <w:color w:val="auto"/>
              </w:rPr>
              <w:t>2023</w:t>
            </w:r>
          </w:p>
        </w:tc>
        <w:tc>
          <w:tcPr>
            <w:tcW w:w="1280" w:type="dxa"/>
            <w:vAlign w:val="bottom"/>
          </w:tcPr>
          <w:p>
            <w:pPr>
              <w:jc w:val="right"/>
              <w:ind w:right="301"/>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01"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weighted-average common shares outstanding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Efect of dilutve employee and director awards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3"/>
          </w:tcPr>
          <w:p>
            <w:pPr>
              <w:ind w:left="780"/>
              <w:spacing w:after="0"/>
              <w:rPr>
                <w:sz w:val="20"/>
                <w:szCs w:val="20"/>
                <w:color w:val="auto"/>
              </w:rPr>
            </w:pPr>
            <w:r>
              <w:rPr>
                <w:rFonts w:ascii="Arial" w:cs="Arial" w:eastAsia="Arial" w:hAnsi="Arial"/>
                <w:sz w:val="20"/>
                <w:szCs w:val="20"/>
                <w:i w:val="1"/>
                <w:iCs w:val="1"/>
                <w:color w:val="auto"/>
              </w:rPr>
              <w:t>(In Millions)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00" w:type="dxa"/>
            <w:vAlign w:val="bottom"/>
          </w:tcPr>
          <w:p>
            <w:pPr>
              <w:jc w:val="right"/>
              <w:spacing w:after="0"/>
              <w:rPr>
                <w:sz w:val="20"/>
                <w:szCs w:val="20"/>
                <w:color w:val="auto"/>
              </w:rPr>
            </w:pPr>
            <w:r>
              <w:rPr>
                <w:rFonts w:ascii="Arial" w:cs="Arial" w:eastAsia="Arial" w:hAnsi="Arial"/>
                <w:sz w:val="20"/>
                <w:szCs w:val="20"/>
                <w:color w:val="auto"/>
              </w:rPr>
              <w:t>61.8</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62.3</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61.9</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62.4</w:t>
            </w:r>
          </w:p>
        </w:tc>
        <w:tc>
          <w:tcPr>
            <w:tcW w:w="0" w:type="dxa"/>
            <w:vAlign w:val="bottom"/>
          </w:tcPr>
          <w:p>
            <w:pPr>
              <w:spacing w:after="0"/>
              <w:rPr>
                <w:sz w:val="1"/>
                <w:szCs w:val="1"/>
                <w:color w:val="auto"/>
              </w:rPr>
            </w:pPr>
          </w:p>
        </w:tc>
      </w:tr>
      <w:tr>
        <w:trPr>
          <w:trHeight w:val="270"/>
        </w:trPr>
        <w:tc>
          <w:tcPr>
            <w:tcW w:w="1200" w:type="dxa"/>
            <w:vAlign w:val="bottom"/>
          </w:tcPr>
          <w:p>
            <w:pPr>
              <w:jc w:val="right"/>
              <w:spacing w:after="0"/>
              <w:rPr>
                <w:sz w:val="20"/>
                <w:szCs w:val="20"/>
                <w:color w:val="auto"/>
              </w:rPr>
            </w:pPr>
            <w:r>
              <w:rPr>
                <w:rFonts w:ascii="Arial" w:cs="Arial" w:eastAsia="Arial" w:hAnsi="Arial"/>
                <w:sz w:val="20"/>
                <w:szCs w:val="20"/>
                <w:color w:val="auto"/>
              </w:rPr>
              <w:t>0.2</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0.2</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0.2</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62.0</w:t>
            </w:r>
          </w:p>
        </w:tc>
        <w:tc>
          <w:tcPr>
            <w:tcW w:w="240" w:type="dxa"/>
            <w:vAlign w:val="bottom"/>
            <w:vMerge w:val="continue"/>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62.5</w:t>
            </w:r>
          </w:p>
        </w:tc>
        <w:tc>
          <w:tcPr>
            <w:tcW w:w="220" w:type="dxa"/>
            <w:vAlign w:val="bottom"/>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w:t>
            </w:r>
          </w:p>
        </w:tc>
        <w:tc>
          <w:tcPr>
            <w:tcW w:w="220" w:type="dxa"/>
            <w:vAlign w:val="bottom"/>
            <w:vMerge w:val="continue"/>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62.5</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-728345</wp:posOffset>
            </wp:positionV>
            <wp:extent cx="34201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-548005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-196850</wp:posOffset>
            </wp:positionV>
            <wp:extent cx="7132320" cy="197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5020" w:space="720"/>
            <w:col w:w="5500"/>
          </w:cols>
          <w:pgMar w:left="320" w:top="101" w:right="339" w:bottom="1440" w:gutter="0" w:footer="0" w:header="0"/>
          <w:type w:val="continuous"/>
        </w:sectPr>
      </w:pPr>
    </w:p>
    <w:p>
      <w:pPr>
        <w:ind w:left="380"/>
        <w:spacing w:after="0"/>
        <w:rPr>
          <w:sz w:val="20"/>
          <w:szCs w:val="20"/>
          <w:color w:val="auto"/>
        </w:rPr>
      </w:pPr>
      <w:r>
        <w:rPr>
          <w:rFonts w:ascii="Arial" w:cs="Arial" w:eastAsia="Arial" w:hAnsi="Arial"/>
          <w:sz w:val="20"/>
          <w:szCs w:val="20"/>
          <w:b w:val="1"/>
          <w:bCs w:val="1"/>
          <w:color w:val="auto"/>
        </w:rPr>
        <w:t>Reclassifcatons</w:t>
      </w:r>
    </w:p>
    <w:p>
      <w:pPr>
        <w:spacing w:after="0" w:line="12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As of September 30, 2023, the Company combined products and services revenues and freight revenues into total revenues, and combined cost of revenues - products and services and cost of revenues - freight into total cost of revenues on the Company's consolidated statements of earnings and comprehensive earnings. Prior-year informaton has been reclassifed to conform to the current-year presentaton. The reclassifcatons had no impact on the Company’s previously reported results of operatons, fnancial positon or cash fows.</w:t>
      </w:r>
    </w:p>
    <w:p>
      <w:pPr>
        <w:spacing w:after="0" w:line="26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Divesttures, Discontnued Operatons and Assets and Liabilites Held for Sale</w:t>
      </w:r>
    </w:p>
    <w:p>
      <w:pPr>
        <w:spacing w:after="0" w:line="22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Divesttures</w:t>
      </w:r>
    </w:p>
    <w:p>
      <w:pPr>
        <w:spacing w:after="0" w:line="121"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On August 24, 2023, the Company announced a defnitve agreement to sell the Tehachapi, California cement plant to UNACEM Corp S.A.A. In connecton with the antcipated divestture, as of September 30, 2023, the Company recorded a $21.9 million charge in discontnued operatons with a corresponding valuaton allowance for the related assets held for sale (disclosed in the tables below). The sale of the Tehachapi cement plant was completed on October 31, 2023.</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On May 3, 2023, the Company divested its Stockton cement import terminal in California.</w:t>
      </w:r>
    </w:p>
    <w:p>
      <w:pPr>
        <w:spacing w:after="0" w:line="121" w:lineRule="exact"/>
        <w:rPr>
          <w:rFonts w:ascii="Arial" w:cs="Arial" w:eastAsia="Arial" w:hAnsi="Arial"/>
          <w:sz w:val="20"/>
          <w:szCs w:val="20"/>
          <w:b w:val="1"/>
          <w:bCs w:val="1"/>
          <w:color w:val="auto"/>
        </w:rPr>
      </w:pPr>
    </w:p>
    <w:p>
      <w:pPr>
        <w:ind w:left="38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On June 30, 2022, the Company completed the sale of the Redding, California cement plant, related cement distributon terminals and 14 California ready-mixed concrete operatons for $235 million in cash.</w:t>
      </w:r>
    </w:p>
    <w:p>
      <w:pPr>
        <w:spacing w:after="0" w:line="68"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 xml:space="preserve">On April 1, 2022, the Company divested its Colorado and Central Texas ready-mixed concrete operatons to Smyrna Ready Mix Concrete LLC. The transacton resulted in a pretax gain of $151.9 million, which was included in </w:t>
      </w:r>
      <w:r>
        <w:rPr>
          <w:rFonts w:ascii="Arial" w:cs="Arial" w:eastAsia="Arial" w:hAnsi="Arial"/>
          <w:sz w:val="20"/>
          <w:szCs w:val="20"/>
          <w:i w:val="1"/>
          <w:iCs w:val="1"/>
          <w:color w:val="auto"/>
        </w:rPr>
        <w:t>Other operatng income, net</w:t>
      </w:r>
      <w:r>
        <w:rPr>
          <w:rFonts w:ascii="Arial" w:cs="Arial" w:eastAsia="Arial" w:hAnsi="Arial"/>
          <w:sz w:val="20"/>
          <w:szCs w:val="20"/>
          <w:color w:val="auto"/>
        </w:rPr>
        <w:t>, for the nine months ended September 30, 2022 and was inclusive of expenses incurred due to the divestture. The divested operatons and the gain on divestture are reported in the West Group.</w:t>
      </w:r>
    </w:p>
    <w:p>
      <w:pPr>
        <w:spacing w:after="0" w:line="19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Discontnued Operatons</w:t>
      </w:r>
    </w:p>
    <w:p>
      <w:pPr>
        <w:spacing w:after="0" w:line="121" w:lineRule="exact"/>
        <w:rPr>
          <w:rFonts w:ascii="Arial" w:cs="Arial" w:eastAsia="Arial" w:hAnsi="Arial"/>
          <w:sz w:val="20"/>
          <w:szCs w:val="20"/>
          <w:b w:val="1"/>
          <w:bCs w:val="1"/>
          <w:color w:val="auto"/>
        </w:rPr>
      </w:pPr>
    </w:p>
    <w:p>
      <w:pPr>
        <w:jc w:val="both"/>
        <w:ind w:left="380"/>
        <w:spacing w:after="0" w:line="264" w:lineRule="auto"/>
        <w:rPr>
          <w:rFonts w:ascii="Arial" w:cs="Arial" w:eastAsia="Arial" w:hAnsi="Arial"/>
          <w:sz w:val="20"/>
          <w:szCs w:val="20"/>
          <w:b w:val="1"/>
          <w:bCs w:val="1"/>
          <w:color w:val="auto"/>
        </w:rPr>
      </w:pPr>
      <w:r>
        <w:rPr>
          <w:rFonts w:ascii="Arial" w:cs="Arial" w:eastAsia="Arial" w:hAnsi="Arial"/>
          <w:sz w:val="20"/>
          <w:szCs w:val="20"/>
          <w:color w:val="auto"/>
        </w:rPr>
        <w:t>Since October 1, 2021 and through the respectve divestture dates, the California cement businesses have been classifed as assets held for sale on the Company’s consolidated balance sheets and the associated fnancial results have been reported as discontnued operatons on the consolidated statements of earnings.</w:t>
      </w:r>
    </w:p>
    <w:p>
      <w:pPr>
        <w:spacing w:after="0" w:line="78"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For the nine months ended September 30, 2023, discontnued operatons included the Company's Tehachapi, California cement plant and the Stockton, California cement import terminal through the May 3, 2023 divestture. Discontnued operatons for the nine months ended September 30, 2022 also included the Company's Redding, California cement plant, related cement distributon terminals and 14 California ready-mixed concrete operatons that were sold in June 2022.</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Financial results for the Company's discontnued operatons are as follows: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20" w:type="dxa"/>
            <w:vAlign w:val="bottom"/>
          </w:tcPr>
          <w:p>
            <w:pPr>
              <w:spacing w:after="0"/>
              <w:rPr>
                <w:sz w:val="21"/>
                <w:szCs w:val="21"/>
                <w:color w:val="auto"/>
              </w:rPr>
            </w:pPr>
          </w:p>
        </w:tc>
        <w:tc>
          <w:tcPr>
            <w:tcW w:w="2500" w:type="dxa"/>
            <w:vAlign w:val="bottom"/>
            <w:gridSpan w:val="4"/>
          </w:tcPr>
          <w:p>
            <w:pPr>
              <w:jc w:val="right"/>
              <w:ind w:right="101"/>
              <w:spacing w:after="0"/>
              <w:rPr>
                <w:sz w:val="20"/>
                <w:szCs w:val="20"/>
                <w:color w:val="auto"/>
              </w:rPr>
            </w:pPr>
            <w:r>
              <w:rPr>
                <w:rFonts w:ascii="Arial" w:cs="Arial" w:eastAsia="Arial" w:hAnsi="Arial"/>
                <w:sz w:val="20"/>
                <w:szCs w:val="20"/>
                <w:color w:val="auto"/>
              </w:rPr>
              <w:t>Three Months Ended</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5"/>
          </w:tcPr>
          <w:p>
            <w:pPr>
              <w:jc w:val="right"/>
              <w:ind w:right="74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40" w:type="dxa"/>
            <w:vAlign w:val="bottom"/>
            <w:gridSpan w:val="3"/>
          </w:tcPr>
          <w:p>
            <w:pPr>
              <w:jc w:val="right"/>
              <w:ind w:right="361"/>
              <w:spacing w:after="0"/>
              <w:rPr>
                <w:sz w:val="20"/>
                <w:szCs w:val="20"/>
                <w:color w:val="auto"/>
              </w:rPr>
            </w:pPr>
            <w:r>
              <w:rPr>
                <w:rFonts w:ascii="Arial" w:cs="Arial" w:eastAsia="Arial" w:hAnsi="Arial"/>
                <w:sz w:val="20"/>
                <w:szCs w:val="20"/>
                <w:color w:val="auto"/>
                <w:w w:val="88"/>
              </w:rPr>
              <w:t>September 30,</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80" w:type="dxa"/>
            <w:vAlign w:val="bottom"/>
            <w:gridSpan w:val="5"/>
          </w:tcPr>
          <w:p>
            <w:pPr>
              <w:jc w:val="right"/>
              <w:ind w:right="94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44"/>
        </w:trPr>
        <w:tc>
          <w:tcPr>
            <w:tcW w:w="5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4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4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2023</w:t>
            </w:r>
          </w:p>
        </w:tc>
        <w:tc>
          <w:tcPr>
            <w:tcW w:w="26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2022</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i w:val="1"/>
                <w:iCs w:val="1"/>
                <w:color w:val="auto"/>
              </w:rPr>
              <w:t>(Dollars</w:t>
            </w:r>
          </w:p>
        </w:tc>
        <w:tc>
          <w:tcPr>
            <w:tcW w:w="260" w:type="dxa"/>
            <w:vAlign w:val="bottom"/>
          </w:tcPr>
          <w:p>
            <w:pPr>
              <w:spacing w:after="0" w:line="226" w:lineRule="exact"/>
              <w:rPr>
                <w:sz w:val="20"/>
                <w:szCs w:val="20"/>
                <w:color w:val="auto"/>
              </w:rPr>
            </w:pPr>
            <w:r>
              <w:rPr>
                <w:rFonts w:ascii="Arial" w:cs="Arial" w:eastAsia="Arial" w:hAnsi="Arial"/>
                <w:sz w:val="20"/>
                <w:szCs w:val="20"/>
                <w:i w:val="1"/>
                <w:iCs w:val="1"/>
                <w:color w:val="auto"/>
              </w:rPr>
              <w:t>in</w:t>
            </w:r>
          </w:p>
        </w:tc>
        <w:tc>
          <w:tcPr>
            <w:tcW w:w="13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 revenues</w:t>
            </w:r>
          </w:p>
        </w:tc>
        <w:tc>
          <w:tcPr>
            <w:tcW w:w="860" w:type="dxa"/>
            <w:vAlign w:val="bottom"/>
            <w:tcBorders>
              <w:bottom w:val="single" w:sz="8" w:color="auto"/>
            </w:tcBorders>
            <w:shd w:val="clear" w:color="auto" w:fill="CFF0FC"/>
          </w:tcPr>
          <w:p>
            <w:pPr>
              <w:jc w:val="right"/>
              <w:ind w:right="661"/>
              <w:spacing w:after="0"/>
              <w:rPr>
                <w:sz w:val="20"/>
                <w:szCs w:val="20"/>
                <w:color w:val="auto"/>
              </w:rPr>
            </w:pPr>
            <w:r>
              <w:rPr>
                <w:rFonts w:ascii="Arial" w:cs="Arial" w:eastAsia="Arial" w:hAnsi="Arial"/>
                <w:sz w:val="20"/>
                <w:szCs w:val="2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27.2</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62.4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2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CFF0FC"/>
          </w:tcPr>
          <w:p>
            <w:pPr>
              <w:ind w:left="20"/>
              <w:spacing w:after="0"/>
              <w:rPr>
                <w:sz w:val="20"/>
                <w:szCs w:val="20"/>
                <w:color w:val="auto"/>
              </w:rPr>
            </w:pPr>
            <w:r>
              <w:rPr>
                <w:rFonts w:ascii="Arial" w:cs="Arial" w:eastAsia="Arial" w:hAnsi="Arial"/>
                <w:sz w:val="20"/>
                <w:szCs w:val="20"/>
                <w:color w:val="auto"/>
              </w:rPr>
              <w:t>Pretax earnings (loss) from discontnued operatons</w:t>
            </w:r>
          </w:p>
        </w:tc>
        <w:tc>
          <w:tcPr>
            <w:tcW w:w="860" w:type="dxa"/>
            <w:vAlign w:val="bottom"/>
            <w:shd w:val="clear" w:color="auto" w:fill="CFF0FC"/>
          </w:tcPr>
          <w:p>
            <w:pPr>
              <w:jc w:val="right"/>
              <w:ind w:right="661"/>
              <w:spacing w:after="0"/>
              <w:rPr>
                <w:sz w:val="20"/>
                <w:szCs w:val="20"/>
                <w:color w:val="auto"/>
              </w:rPr>
            </w:pPr>
            <w:r>
              <w:rPr>
                <w:rFonts w:ascii="Arial" w:cs="Arial" w:eastAsia="Arial" w:hAnsi="Arial"/>
                <w:sz w:val="20"/>
                <w:szCs w:val="2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c>
          <w:tcPr>
            <w:tcW w:w="280" w:type="dxa"/>
            <w:vAlign w:val="bottom"/>
            <w:shd w:val="clear" w:color="auto" w:fill="CFF0FC"/>
          </w:tcPr>
          <w:p>
            <w:pPr>
              <w:spacing w:after="0"/>
              <w:rPr>
                <w:sz w:val="23"/>
                <w:szCs w:val="23"/>
                <w:color w:val="auto"/>
              </w:rPr>
            </w:pPr>
          </w:p>
        </w:tc>
        <w:tc>
          <w:tcPr>
            <w:tcW w:w="900" w:type="dxa"/>
            <w:vAlign w:val="bottom"/>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(14.6 )</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line="218" w:lineRule="exact"/>
              <w:rPr>
                <w:sz w:val="20"/>
                <w:szCs w:val="20"/>
                <w:color w:val="auto"/>
              </w:rPr>
            </w:pPr>
            <w:r>
              <w:rPr>
                <w:rFonts w:ascii="Arial" w:cs="Arial" w:eastAsia="Arial" w:hAnsi="Arial"/>
                <w:sz w:val="20"/>
                <w:szCs w:val="20"/>
                <w:color w:val="auto"/>
              </w:rPr>
              <w:t>Pretax (loss) gain on divesttures and sales</w:t>
            </w:r>
          </w:p>
        </w:tc>
        <w:tc>
          <w:tcPr>
            <w:tcW w:w="860" w:type="dxa"/>
            <w:vAlign w:val="bottom"/>
          </w:tcPr>
          <w:p>
            <w:pPr>
              <w:spacing w:after="0"/>
              <w:rPr>
                <w:sz w:val="18"/>
                <w:szCs w:val="18"/>
                <w:color w:val="auto"/>
              </w:rPr>
            </w:pPr>
          </w:p>
        </w:tc>
        <w:tc>
          <w:tcPr>
            <w:tcW w:w="740" w:type="dxa"/>
            <w:vAlign w:val="bottom"/>
            <w:gridSpan w:val="2"/>
            <w:vMerge w:val="restart"/>
          </w:tcPr>
          <w:p>
            <w:pPr>
              <w:jc w:val="right"/>
              <w:ind w:right="138"/>
              <w:spacing w:after="0"/>
              <w:rPr>
                <w:sz w:val="20"/>
                <w:szCs w:val="20"/>
                <w:color w:val="auto"/>
              </w:rPr>
            </w:pPr>
            <w:r>
              <w:rPr>
                <w:rFonts w:ascii="Arial" w:cs="Arial" w:eastAsia="Arial" w:hAnsi="Arial"/>
                <w:sz w:val="20"/>
                <w:szCs w:val="20"/>
                <w:color w:val="auto"/>
                <w:w w:val="86"/>
              </w:rPr>
              <w:t>(21.9 )</w:t>
            </w:r>
          </w:p>
        </w:tc>
        <w:tc>
          <w:tcPr>
            <w:tcW w:w="9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restart"/>
          </w:tcPr>
          <w:p>
            <w:pPr>
              <w:jc w:val="right"/>
              <w:ind w:right="81"/>
              <w:spacing w:after="0"/>
              <w:rPr>
                <w:sz w:val="20"/>
                <w:szCs w:val="20"/>
                <w:color w:val="auto"/>
              </w:rPr>
            </w:pPr>
            <w:r>
              <w:rPr>
                <w:rFonts w:ascii="Arial" w:cs="Arial" w:eastAsia="Arial" w:hAnsi="Arial"/>
                <w:sz w:val="20"/>
                <w:szCs w:val="20"/>
                <w:color w:val="auto"/>
              </w:rPr>
              <w:t>(19.6 )</w:t>
            </w:r>
          </w:p>
        </w:tc>
        <w:tc>
          <w:tcPr>
            <w:tcW w:w="28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(0.3 )</w:t>
            </w:r>
          </w:p>
        </w:tc>
        <w:tc>
          <w:tcPr>
            <w:tcW w:w="0" w:type="dxa"/>
            <w:vAlign w:val="bottom"/>
          </w:tcPr>
          <w:p>
            <w:pPr>
              <w:spacing w:after="0"/>
              <w:rPr>
                <w:sz w:val="1"/>
                <w:szCs w:val="1"/>
                <w:color w:val="auto"/>
              </w:rPr>
            </w:pPr>
          </w:p>
        </w:tc>
      </w:tr>
      <w:tr>
        <w:trPr>
          <w:trHeight w:val="250"/>
        </w:trPr>
        <w:tc>
          <w:tcPr>
            <w:tcW w:w="5120" w:type="dxa"/>
            <w:vAlign w:val="bottom"/>
          </w:tcPr>
          <w:p>
            <w:pPr>
              <w:ind w:left="160"/>
              <w:spacing w:after="0"/>
              <w:rPr>
                <w:sz w:val="20"/>
                <w:szCs w:val="20"/>
                <w:color w:val="auto"/>
              </w:rPr>
            </w:pPr>
            <w:r>
              <w:rPr>
                <w:rFonts w:ascii="Arial" w:cs="Arial" w:eastAsia="Arial" w:hAnsi="Arial"/>
                <w:sz w:val="20"/>
                <w:szCs w:val="20"/>
                <w:color w:val="auto"/>
              </w:rPr>
              <w:t>of assets</w:t>
            </w:r>
          </w:p>
        </w:tc>
        <w:tc>
          <w:tcPr>
            <w:tcW w:w="86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20"/>
                <w:szCs w:val="20"/>
                <w:color w:val="auto"/>
              </w:rPr>
              <w:t>Pretax (loss) earnings</w:t>
            </w:r>
          </w:p>
        </w:tc>
        <w:tc>
          <w:tcPr>
            <w:tcW w:w="8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2"/>
              </w:rPr>
              <w:t>(18.0</w:t>
            </w:r>
          </w:p>
        </w:tc>
        <w:tc>
          <w:tcPr>
            <w:tcW w:w="28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74"/>
              </w:rPr>
              <w:t>)</w:t>
            </w: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w:t>
            </w:r>
          </w:p>
        </w:tc>
        <w:tc>
          <w:tcPr>
            <w:tcW w:w="2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9"/>
              </w:rPr>
              <w:t>)</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20"/>
                <w:szCs w:val="20"/>
                <w:color w:val="auto"/>
              </w:rPr>
              <w:t>Income tax (beneft) expense</w:t>
            </w:r>
          </w:p>
        </w:tc>
        <w:tc>
          <w:tcPr>
            <w:tcW w:w="860" w:type="dxa"/>
            <w:vAlign w:val="bottom"/>
          </w:tcPr>
          <w:p>
            <w:pPr>
              <w:spacing w:after="0"/>
              <w:rPr>
                <w:sz w:val="21"/>
                <w:szCs w:val="21"/>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20"/>
                <w:szCs w:val="20"/>
                <w:color w:val="auto"/>
              </w:rPr>
              <w:t>(4.4 )</w:t>
            </w: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20"/>
                <w:szCs w:val="20"/>
                <w:color w:val="auto"/>
              </w:rPr>
              <w:t>(8.4 )</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512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(Loss) Earnings from discontnued operatons,</w:t>
            </w:r>
          </w:p>
        </w:tc>
        <w:tc>
          <w:tcPr>
            <w:tcW w:w="860" w:type="dxa"/>
            <w:vAlign w:val="bottom"/>
            <w:vMerge w:val="restart"/>
            <w:shd w:val="clear" w:color="auto" w:fill="CFF0FC"/>
          </w:tcPr>
          <w:p>
            <w:pPr>
              <w:jc w:val="right"/>
              <w:ind w:right="661"/>
              <w:spacing w:after="0"/>
              <w:rPr>
                <w:sz w:val="20"/>
                <w:szCs w:val="20"/>
                <w:color w:val="auto"/>
              </w:rPr>
            </w:pPr>
            <w:r>
              <w:rPr>
                <w:rFonts w:ascii="Arial" w:cs="Arial" w:eastAsia="Arial" w:hAnsi="Arial"/>
                <w:sz w:val="20"/>
                <w:szCs w:val="20"/>
                <w:color w:val="auto"/>
                <w:w w:val="71"/>
              </w:rPr>
              <w:t>$</w:t>
            </w:r>
          </w:p>
        </w:tc>
        <w:tc>
          <w:tcPr>
            <w:tcW w:w="740" w:type="dxa"/>
            <w:vAlign w:val="bottom"/>
            <w:gridSpan w:val="2"/>
            <w:vMerge w:val="restart"/>
            <w:shd w:val="clear" w:color="auto" w:fill="CFF0FC"/>
          </w:tcPr>
          <w:p>
            <w:pPr>
              <w:jc w:val="right"/>
              <w:ind w:right="138"/>
              <w:spacing w:after="0"/>
              <w:rPr>
                <w:sz w:val="20"/>
                <w:szCs w:val="20"/>
                <w:color w:val="auto"/>
              </w:rPr>
            </w:pPr>
            <w:r>
              <w:rPr>
                <w:rFonts w:ascii="Arial" w:cs="Arial" w:eastAsia="Arial" w:hAnsi="Arial"/>
                <w:sz w:val="20"/>
                <w:szCs w:val="20"/>
                <w:color w:val="auto"/>
                <w:w w:val="86"/>
              </w:rPr>
              <w:t>(13.6 )</w:t>
            </w:r>
          </w:p>
        </w:tc>
        <w:tc>
          <w:tcPr>
            <w:tcW w:w="900" w:type="dxa"/>
            <w:vAlign w:val="bottom"/>
            <w:vMerge w:val="restart"/>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540" w:type="dxa"/>
            <w:vAlign w:val="bottom"/>
            <w:gridSpan w:val="2"/>
            <w:vMerge w:val="restart"/>
            <w:shd w:val="clear" w:color="auto" w:fill="CFF0FC"/>
          </w:tcPr>
          <w:p>
            <w:pPr>
              <w:ind w:left="280"/>
              <w:spacing w:after="0"/>
              <w:rPr>
                <w:sz w:val="20"/>
                <w:szCs w:val="20"/>
                <w:color w:val="auto"/>
              </w:rPr>
            </w:pPr>
            <w:r>
              <w:rPr>
                <w:rFonts w:ascii="Arial" w:cs="Arial" w:eastAsia="Arial" w:hAnsi="Arial"/>
                <w:sz w:val="20"/>
                <w:szCs w:val="20"/>
                <w:color w:val="auto"/>
              </w:rPr>
              <w:t>$</w:t>
            </w:r>
          </w:p>
        </w:tc>
        <w:tc>
          <w:tcPr>
            <w:tcW w:w="1280" w:type="dxa"/>
            <w:vAlign w:val="bottom"/>
            <w:gridSpan w:val="2"/>
            <w:vMerge w:val="restart"/>
            <w:shd w:val="clear" w:color="auto" w:fill="CFF0FC"/>
          </w:tcPr>
          <w:p>
            <w:pPr>
              <w:jc w:val="right"/>
              <w:ind w:right="81"/>
              <w:spacing w:after="0"/>
              <w:rPr>
                <w:sz w:val="20"/>
                <w:szCs w:val="20"/>
                <w:color w:val="auto"/>
              </w:rPr>
            </w:pPr>
            <w:r>
              <w:rPr>
                <w:rFonts w:ascii="Arial" w:cs="Arial" w:eastAsia="Arial" w:hAnsi="Arial"/>
                <w:sz w:val="20"/>
                <w:szCs w:val="20"/>
                <w:color w:val="auto"/>
              </w:rPr>
              <w:t>(25.8 )</w:t>
            </w:r>
          </w:p>
        </w:tc>
        <w:tc>
          <w:tcPr>
            <w:tcW w:w="2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51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net of income tax (beneft) expense</w:t>
            </w:r>
          </w:p>
        </w:tc>
        <w:tc>
          <w:tcPr>
            <w:tcW w:w="860" w:type="dxa"/>
            <w:vAlign w:val="bottom"/>
            <w:vMerge w:val="continue"/>
            <w:shd w:val="clear" w:color="auto" w:fill="CFF0FC"/>
          </w:tcPr>
          <w:p>
            <w:pPr>
              <w:spacing w:after="0"/>
              <w:rPr>
                <w:sz w:val="23"/>
                <w:szCs w:val="23"/>
                <w:color w:val="auto"/>
              </w:rPr>
            </w:pPr>
          </w:p>
        </w:tc>
        <w:tc>
          <w:tcPr>
            <w:tcW w:w="740" w:type="dxa"/>
            <w:vAlign w:val="bottom"/>
            <w:gridSpan w:val="2"/>
            <w:vMerge w:val="continue"/>
            <w:shd w:val="clear" w:color="auto" w:fill="CFF0FC"/>
          </w:tcPr>
          <w:p>
            <w:pPr>
              <w:spacing w:after="0"/>
              <w:rPr>
                <w:sz w:val="23"/>
                <w:szCs w:val="23"/>
                <w:color w:val="auto"/>
              </w:rPr>
            </w:pPr>
          </w:p>
        </w:tc>
        <w:tc>
          <w:tcPr>
            <w:tcW w:w="900" w:type="dxa"/>
            <w:vAlign w:val="bottom"/>
            <w:vMerge w:val="continue"/>
            <w:shd w:val="clear" w:color="auto" w:fill="CFF0FC"/>
          </w:tcPr>
          <w:p>
            <w:pPr>
              <w:spacing w:after="0"/>
              <w:rPr>
                <w:sz w:val="23"/>
                <w:szCs w:val="23"/>
                <w:color w:val="auto"/>
              </w:rPr>
            </w:pPr>
          </w:p>
        </w:tc>
        <w:tc>
          <w:tcPr>
            <w:tcW w:w="400" w:type="dxa"/>
            <w:vAlign w:val="bottom"/>
            <w:vMerge w:val="continue"/>
            <w:shd w:val="clear" w:color="auto" w:fill="CFF0FC"/>
          </w:tcPr>
          <w:p>
            <w:pPr>
              <w:spacing w:after="0"/>
              <w:rPr>
                <w:sz w:val="23"/>
                <w:szCs w:val="23"/>
                <w:color w:val="auto"/>
              </w:rPr>
            </w:pPr>
          </w:p>
        </w:tc>
        <w:tc>
          <w:tcPr>
            <w:tcW w:w="540" w:type="dxa"/>
            <w:vAlign w:val="bottom"/>
            <w:gridSpan w:val="2"/>
            <w:vMerge w:val="continue"/>
            <w:shd w:val="clear" w:color="auto" w:fill="CFF0FC"/>
          </w:tcPr>
          <w:p>
            <w:pPr>
              <w:spacing w:after="0"/>
              <w:rPr>
                <w:sz w:val="23"/>
                <w:szCs w:val="23"/>
                <w:color w:val="auto"/>
              </w:rPr>
            </w:pPr>
          </w:p>
        </w:tc>
        <w:tc>
          <w:tcPr>
            <w:tcW w:w="1280" w:type="dxa"/>
            <w:vAlign w:val="bottom"/>
            <w:gridSpan w:val="2"/>
            <w:vMerge w:val="continue"/>
            <w:shd w:val="clear" w:color="auto" w:fill="CFF0FC"/>
          </w:tcPr>
          <w:p>
            <w:pPr>
              <w:spacing w:after="0"/>
              <w:rPr>
                <w:sz w:val="23"/>
                <w:szCs w:val="23"/>
                <w:color w:val="auto"/>
              </w:rPr>
            </w:pPr>
          </w:p>
        </w:tc>
        <w:tc>
          <w:tcPr>
            <w:tcW w:w="280" w:type="dxa"/>
            <w:vAlign w:val="bottom"/>
            <w:vMerge w:val="continue"/>
            <w:shd w:val="clear" w:color="auto" w:fill="CFF0FC"/>
          </w:tcPr>
          <w:p>
            <w:pPr>
              <w:spacing w:after="0"/>
              <w:rPr>
                <w:sz w:val="23"/>
                <w:szCs w:val="23"/>
                <w:color w:val="auto"/>
              </w:rPr>
            </w:pPr>
          </w:p>
        </w:tc>
        <w:tc>
          <w:tcPr>
            <w:tcW w:w="1020" w:type="dxa"/>
            <w:vAlign w:val="bottom"/>
            <w:vMerge w:val="continue"/>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-1915160</wp:posOffset>
            </wp:positionV>
            <wp:extent cx="3904615" cy="3727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04615" cy="3727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-1370965</wp:posOffset>
            </wp:positionV>
            <wp:extent cx="3051810"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51810" cy="19685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1"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Total cash used for operatng actvites related to discontnued operatons was $9.1 million for the nine months ended September 30, 2023. Total cash provided by investng actvites related to discontnued operatons was $53.0 million for the nine months ended September 30, 2023, which included $57.5 million of proceeds from divesttures and sales of assets and $4.5 million of cash used for capital expenditures. Total cash used for operatng actvites related to discontnued operatons for the nine months ended September 30, 2022 was $35.8 million. Total cash provided by investng actvites related to discontnued operatons for the nine months ended September 30, 2022 was $236.7 million, which included $249.9 million of proceeds from divesttures and $13.2 million of cash used for capital expenditures.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Assets and Liabilites Held for Sale</w:t>
      </w:r>
    </w:p>
    <w:p>
      <w:pPr>
        <w:spacing w:after="0" w:line="121"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Assets and liabilites held for sale at September 30, 2023 primarily included a cement plant in Tehachapi, California that was sold on October 31, 2023 and certain investment propertes. At December 31, 2022, assets and liabilites held for sale also included the Stockton, California cement import terminal that was sold in May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Assets and liabilites held for sale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20" w:type="dxa"/>
            <w:vAlign w:val="bottom"/>
            <w:gridSpan w:val="8"/>
          </w:tcPr>
          <w:p>
            <w:pPr>
              <w:jc w:val="center"/>
              <w:ind w:left="321"/>
              <w:spacing w:after="0"/>
              <w:rPr>
                <w:sz w:val="20"/>
                <w:szCs w:val="20"/>
                <w:color w:val="auto"/>
              </w:rPr>
            </w:pPr>
            <w:r>
              <w:rPr>
                <w:rFonts w:ascii="Arial" w:cs="Arial" w:eastAsia="Arial" w:hAnsi="Arial"/>
                <w:sz w:val="20"/>
                <w:szCs w:val="20"/>
                <w:color w:val="auto"/>
                <w:w w:val="89"/>
              </w:rPr>
              <w:t>September 30, 2023</w:t>
            </w: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80" w:type="dxa"/>
            <w:vAlign w:val="bottom"/>
            <w:gridSpan w:val="9"/>
          </w:tcPr>
          <w:p>
            <w:pPr>
              <w:jc w:val="center"/>
              <w:spacing w:after="0"/>
              <w:rPr>
                <w:sz w:val="20"/>
                <w:szCs w:val="20"/>
                <w:color w:val="auto"/>
              </w:rPr>
            </w:pPr>
            <w:r>
              <w:rPr>
                <w:rFonts w:ascii="Arial" w:cs="Arial" w:eastAsia="Arial" w:hAnsi="Arial"/>
                <w:sz w:val="20"/>
                <w:szCs w:val="20"/>
                <w:color w:val="auto"/>
                <w:w w:val="88"/>
              </w:rPr>
              <w:t>December 31, 2022</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20"/>
              <w:spacing w:after="0" w:line="211" w:lineRule="exact"/>
              <w:rPr>
                <w:sz w:val="20"/>
                <w:szCs w:val="20"/>
                <w:color w:val="auto"/>
              </w:rPr>
            </w:pPr>
            <w:r>
              <w:rPr>
                <w:rFonts w:ascii="Arial" w:cs="Arial" w:eastAsia="Arial" w:hAnsi="Arial"/>
                <w:sz w:val="20"/>
                <w:szCs w:val="20"/>
                <w:color w:val="auto"/>
              </w:rPr>
              <w:t>Discontnue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ind w:right="100"/>
              <w:spacing w:after="0" w:line="211" w:lineRule="exact"/>
              <w:rPr>
                <w:sz w:val="20"/>
                <w:szCs w:val="20"/>
                <w:color w:val="auto"/>
              </w:rPr>
            </w:pPr>
            <w:r>
              <w:rPr>
                <w:rFonts w:ascii="Arial" w:cs="Arial" w:eastAsia="Arial" w:hAnsi="Arial"/>
                <w:sz w:val="20"/>
                <w:szCs w:val="20"/>
                <w:color w:val="auto"/>
                <w:w w:val="95"/>
              </w:rPr>
              <w:t>Discontnue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w w:val="98"/>
              </w:rPr>
              <w:t>Contnuing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center"/>
              <w:ind w:right="560"/>
              <w:spacing w:after="0"/>
              <w:rPr>
                <w:sz w:val="20"/>
                <w:szCs w:val="20"/>
                <w:color w:val="auto"/>
              </w:rPr>
            </w:pPr>
            <w:r>
              <w:rPr>
                <w:rFonts w:ascii="Arial" w:cs="Arial" w:eastAsia="Arial" w:hAnsi="Arial"/>
                <w:sz w:val="20"/>
                <w:szCs w:val="20"/>
                <w:color w:val="auto"/>
                <w:w w:val="89"/>
              </w:rPr>
              <w:t>d</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rPr>
              <w:t>Contnuing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center"/>
              <w:ind w:right="540"/>
              <w:spacing w:after="0"/>
              <w:rPr>
                <w:sz w:val="20"/>
                <w:szCs w:val="20"/>
                <w:color w:val="auto"/>
              </w:rPr>
            </w:pPr>
            <w:r>
              <w:rPr>
                <w:rFonts w:ascii="Arial" w:cs="Arial" w:eastAsia="Arial" w:hAnsi="Arial"/>
                <w:sz w:val="20"/>
                <w:szCs w:val="20"/>
                <w:color w:val="auto"/>
                <w:w w:val="89"/>
              </w:rPr>
              <w:t>d</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w w:val="98"/>
              </w:rPr>
              <w:t>Operatons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20"/>
                <w:szCs w:val="20"/>
                <w:color w:val="auto"/>
                <w:w w:val="94"/>
              </w:rPr>
              <w:t>Operatons</w:t>
            </w:r>
          </w:p>
        </w:tc>
        <w:tc>
          <w:tcPr>
            <w:tcW w:w="200" w:type="dxa"/>
            <w:vAlign w:val="bottom"/>
          </w:tcPr>
          <w:p>
            <w:pPr>
              <w:spacing w:after="0"/>
              <w:rPr>
                <w:sz w:val="21"/>
                <w:szCs w:val="21"/>
                <w:color w:val="auto"/>
              </w:rPr>
            </w:pPr>
          </w:p>
        </w:tc>
        <w:tc>
          <w:tcPr>
            <w:tcW w:w="1020" w:type="dxa"/>
            <w:vAlign w:val="bottom"/>
            <w:gridSpan w:val="3"/>
          </w:tcPr>
          <w:p>
            <w:pPr>
              <w:jc w:val="right"/>
              <w:ind w:right="421"/>
              <w:spacing w:after="0"/>
              <w:rPr>
                <w:sz w:val="20"/>
                <w:szCs w:val="20"/>
                <w:color w:val="auto"/>
              </w:rPr>
            </w:pPr>
            <w:r>
              <w:rPr>
                <w:rFonts w:ascii="Arial" w:cs="Arial" w:eastAsia="Arial" w:hAnsi="Arial"/>
                <w:sz w:val="20"/>
                <w:szCs w:val="20"/>
                <w:color w:val="auto"/>
              </w:rPr>
              <w:t>Total</w:t>
            </w:r>
          </w:p>
        </w:tc>
        <w:tc>
          <w:tcPr>
            <w:tcW w:w="980" w:type="dxa"/>
            <w:vAlign w:val="bottom"/>
            <w:gridSpan w:val="2"/>
          </w:tcPr>
          <w:p>
            <w:pPr>
              <w:ind w:left="60"/>
              <w:spacing w:after="0"/>
              <w:rPr>
                <w:sz w:val="20"/>
                <w:szCs w:val="20"/>
                <w:color w:val="auto"/>
              </w:rPr>
            </w:pPr>
            <w:r>
              <w:rPr>
                <w:rFonts w:ascii="Arial" w:cs="Arial" w:eastAsia="Arial" w:hAnsi="Arial"/>
                <w:sz w:val="20"/>
                <w:szCs w:val="20"/>
                <w:color w:val="auto"/>
                <w:w w:val="96"/>
              </w:rPr>
              <w:t>Operatons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20"/>
                <w:szCs w:val="20"/>
                <w:color w:val="auto"/>
                <w:w w:val="94"/>
              </w:rPr>
              <w:t>Operatons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20"/>
                <w:szCs w:val="20"/>
                <w:color w:val="auto"/>
                <w:w w:val="85"/>
              </w:rPr>
              <w:t>Total</w:t>
            </w:r>
          </w:p>
        </w:tc>
        <w:tc>
          <w:tcPr>
            <w:tcW w:w="0" w:type="dxa"/>
            <w:vAlign w:val="bottom"/>
          </w:tcPr>
          <w:p>
            <w:pPr>
              <w:spacing w:after="0"/>
              <w:rPr>
                <w:sz w:val="1"/>
                <w:szCs w:val="1"/>
                <w:color w:val="auto"/>
              </w:rPr>
            </w:pPr>
          </w:p>
        </w:tc>
      </w:tr>
      <w:tr>
        <w:trPr>
          <w:trHeight w:val="44"/>
        </w:trPr>
        <w:tc>
          <w:tcPr>
            <w:tcW w:w="40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4"/>
          </w:tcPr>
          <w:p>
            <w:pPr>
              <w:ind w:left="80"/>
              <w:spacing w:after="0"/>
              <w:rPr>
                <w:sz w:val="20"/>
                <w:szCs w:val="20"/>
                <w:color w:val="auto"/>
              </w:rPr>
            </w:pPr>
            <w:r>
              <w:rPr>
                <w:rFonts w:ascii="Arial" w:cs="Arial" w:eastAsia="Arial" w:hAnsi="Arial"/>
                <w:sz w:val="20"/>
                <w:szCs w:val="20"/>
                <w:i w:val="1"/>
                <w:iCs w:val="1"/>
                <w:color w:val="auto"/>
                <w:w w:val="91"/>
              </w:rPr>
              <w:t>(Dollars in Millions)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Inventories, net</w:t>
            </w:r>
          </w:p>
        </w:tc>
        <w:tc>
          <w:tcPr>
            <w:tcW w:w="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25.8</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25.8</w:t>
            </w: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0" w:type="dxa"/>
            <w:vAlign w:val="bottom"/>
            <w:gridSpan w:val="4"/>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100" w:type="dxa"/>
            <w:vAlign w:val="bottom"/>
            <w:tcBorders>
              <w:right w:val="single" w:sz="8" w:color="CFF0FC"/>
            </w:tcBorders>
            <w:shd w:val="clear" w:color="auto" w:fill="CFF0FC"/>
          </w:tcPr>
          <w:p>
            <w:pPr>
              <w:spacing w:after="0"/>
              <w:rPr>
                <w:sz w:val="24"/>
                <w:szCs w:val="24"/>
                <w:color w:val="auto"/>
              </w:rPr>
            </w:pPr>
          </w:p>
        </w:tc>
        <w:tc>
          <w:tcPr>
            <w:tcW w:w="400" w:type="dxa"/>
            <w:vAlign w:val="bottom"/>
            <w:gridSpan w:val="2"/>
            <w:shd w:val="clear" w:color="auto" w:fill="CFF0FC"/>
          </w:tcPr>
          <w:p>
            <w:pPr>
              <w:jc w:val="center"/>
              <w:ind w:right="60"/>
              <w:spacing w:after="0"/>
              <w:rPr>
                <w:sz w:val="20"/>
                <w:szCs w:val="20"/>
                <w:color w:val="auto"/>
              </w:rPr>
            </w:pPr>
            <w:r>
              <w:rPr>
                <w:rFonts w:ascii="Arial" w:cs="Arial" w:eastAsia="Arial" w:hAnsi="Arial"/>
                <w:sz w:val="20"/>
                <w:szCs w:val="20"/>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Investment land</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19.4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19.4</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7"/>
              </w:rPr>
              <w:t>40.6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2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FF0FC"/>
              <w:right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020" w:type="dxa"/>
            <w:vAlign w:val="bottom"/>
          </w:tcPr>
          <w:p>
            <w:pPr>
              <w:ind w:left="20"/>
              <w:spacing w:after="0"/>
              <w:rPr>
                <w:sz w:val="20"/>
                <w:szCs w:val="20"/>
                <w:color w:val="auto"/>
              </w:rPr>
            </w:pPr>
            <w:r>
              <w:rPr>
                <w:rFonts w:ascii="Arial" w:cs="Arial" w:eastAsia="Arial" w:hAnsi="Arial"/>
                <w:sz w:val="20"/>
                <w:szCs w:val="20"/>
                <w:color w:val="auto"/>
              </w:rPr>
              <w:t>Total current assets held for sale</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140" w:type="dxa"/>
            <w:vAlign w:val="bottom"/>
          </w:tcPr>
          <w:p>
            <w:pPr>
              <w:spacing w:after="0"/>
              <w:rPr>
                <w:sz w:val="23"/>
                <w:szCs w:val="23"/>
                <w:color w:val="auto"/>
              </w:rPr>
            </w:pPr>
          </w:p>
        </w:tc>
        <w:tc>
          <w:tcPr>
            <w:tcW w:w="38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45.8</w:t>
            </w:r>
          </w:p>
        </w:tc>
        <w:tc>
          <w:tcPr>
            <w:tcW w:w="220" w:type="dxa"/>
            <w:vAlign w:val="bottom"/>
          </w:tcPr>
          <w:p>
            <w:pPr>
              <w:spacing w:after="0"/>
              <w:rPr>
                <w:sz w:val="23"/>
                <w:szCs w:val="2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40.6</w:t>
            </w:r>
          </w:p>
        </w:tc>
        <w:tc>
          <w:tcPr>
            <w:tcW w:w="120" w:type="dxa"/>
            <w:vAlign w:val="bottom"/>
          </w:tcPr>
          <w:p>
            <w:pPr>
              <w:spacing w:after="0"/>
              <w:rPr>
                <w:sz w:val="23"/>
                <w:szCs w:val="23"/>
                <w:color w:val="auto"/>
              </w:rPr>
            </w:pPr>
          </w:p>
        </w:tc>
        <w:tc>
          <w:tcPr>
            <w:tcW w:w="4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w:t>
            </w:r>
          </w:p>
        </w:tc>
        <w:tc>
          <w:tcPr>
            <w:tcW w:w="100" w:type="dxa"/>
            <w:vAlign w:val="bottom"/>
          </w:tcPr>
          <w:p>
            <w:pPr>
              <w:spacing w:after="0"/>
              <w:rPr>
                <w:sz w:val="23"/>
                <w:szCs w:val="23"/>
                <w:color w:val="auto"/>
              </w:rPr>
            </w:pPr>
          </w:p>
        </w:tc>
        <w:tc>
          <w:tcPr>
            <w:tcW w:w="4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0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20" w:type="dxa"/>
            <w:vAlign w:val="bottom"/>
            <w:gridSpan w:val="3"/>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gridSpan w:val="3"/>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Property, plant and equipment</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gridSpan w:val="3"/>
          </w:tcPr>
          <w:p>
            <w:pPr>
              <w:ind w:left="26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87.2</w:t>
            </w:r>
          </w:p>
        </w:tc>
        <w:tc>
          <w:tcPr>
            <w:tcW w:w="22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gridSpan w:val="4"/>
          </w:tcPr>
          <w:p>
            <w:pPr>
              <w:jc w:val="right"/>
              <w:ind w:right="16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124.5</w:t>
            </w:r>
          </w:p>
        </w:tc>
        <w:tc>
          <w:tcPr>
            <w:tcW w:w="100" w:type="dxa"/>
            <w:vAlign w:val="bottom"/>
          </w:tcPr>
          <w:p>
            <w:pPr>
              <w:spacing w:after="0"/>
              <w:rPr>
                <w:sz w:val="22"/>
                <w:szCs w:val="22"/>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124.5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Intangible assets, excluding goodwill</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100" w:type="dxa"/>
            <w:vAlign w:val="bottom"/>
            <w:tcBorders>
              <w:right w:val="single" w:sz="8" w:color="CFF0FC"/>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Operatng lease right-of-use assets</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Goodwill</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100" w:type="dxa"/>
            <w:vAlign w:val="bottom"/>
            <w:tcBorders>
              <w:right w:val="single" w:sz="8" w:color="CFF0FC"/>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20"/>
                <w:szCs w:val="20"/>
                <w:color w:val="auto"/>
              </w:rPr>
              <w:t>Valuaton allowance for loss on sale</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(26.4 )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3"/>
          </w:tcPr>
          <w:p>
            <w:pPr>
              <w:jc w:val="right"/>
              <w:ind w:right="41"/>
              <w:spacing w:after="0"/>
              <w:rPr>
                <w:sz w:val="20"/>
                <w:szCs w:val="20"/>
                <w:color w:val="auto"/>
              </w:rPr>
            </w:pPr>
            <w:r>
              <w:rPr>
                <w:rFonts w:ascii="Arial" w:cs="Arial" w:eastAsia="Arial" w:hAnsi="Arial"/>
                <w:sz w:val="20"/>
                <w:szCs w:val="20"/>
                <w:color w:val="auto"/>
              </w:rPr>
              <w:t>(26.4 )</w:t>
            </w:r>
          </w:p>
        </w:tc>
        <w:tc>
          <w:tcPr>
            <w:tcW w:w="6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(4.5 )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308"/>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 noncurrent assets held for sale</w:t>
            </w:r>
          </w:p>
        </w:tc>
        <w:tc>
          <w:tcPr>
            <w:tcW w:w="38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gridSpan w:val="2"/>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307.3</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307.3</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gridSpan w:val="3"/>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gridSpan w:val="2"/>
            <w:shd w:val="clear" w:color="auto" w:fill="CFF0FC"/>
          </w:tcPr>
          <w:p>
            <w:pPr>
              <w:jc w:val="center"/>
              <w:ind w:right="60"/>
              <w:spacing w:after="0"/>
              <w:rPr>
                <w:sz w:val="20"/>
                <w:szCs w:val="20"/>
                <w:color w:val="auto"/>
              </w:rPr>
            </w:pPr>
            <w:r>
              <w:rPr>
                <w:rFonts w:ascii="Arial" w:cs="Arial" w:eastAsia="Arial" w:hAnsi="Arial"/>
                <w:sz w:val="20"/>
                <w:szCs w:val="20"/>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gridSpan w:val="3"/>
          </w:tcPr>
          <w:p>
            <w:pPr>
              <w:spacing w:after="0"/>
              <w:rPr>
                <w:sz w:val="21"/>
                <w:szCs w:val="21"/>
                <w:color w:val="auto"/>
              </w:rPr>
            </w:pPr>
          </w:p>
        </w:tc>
        <w:tc>
          <w:tcPr>
            <w:tcW w:w="8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40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Lease obligatons</w:t>
            </w:r>
          </w:p>
        </w:tc>
        <w:tc>
          <w:tcPr>
            <w:tcW w:w="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2"/>
                <w:szCs w:val="22"/>
                <w:color w:val="auto"/>
              </w:rPr>
            </w:pPr>
          </w:p>
        </w:tc>
        <w:tc>
          <w:tcPr>
            <w:tcW w:w="38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3"/>
            <w:shd w:val="clear" w:color="auto" w:fill="CFF0FC"/>
          </w:tcPr>
          <w:p>
            <w:pPr>
              <w:jc w:val="right"/>
              <w:ind w:right="41"/>
              <w:spacing w:after="0"/>
              <w:rPr>
                <w:sz w:val="20"/>
                <w:szCs w:val="20"/>
                <w:color w:val="auto"/>
              </w:rPr>
            </w:pPr>
            <w:r>
              <w:rPr>
                <w:rFonts w:ascii="Arial" w:cs="Arial" w:eastAsia="Arial" w:hAnsi="Arial"/>
                <w:sz w:val="20"/>
                <w:szCs w:val="20"/>
                <w:color w:val="auto"/>
              </w:rPr>
              <w:t>(1.3 )</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0" w:type="dxa"/>
            <w:vAlign w:val="bottom"/>
            <w:gridSpan w:val="4"/>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(4.5 )</w:t>
            </w:r>
          </w:p>
        </w:tc>
        <w:tc>
          <w:tcPr>
            <w:tcW w:w="400" w:type="dxa"/>
            <w:vAlign w:val="bottom"/>
            <w:gridSpan w:val="2"/>
            <w:shd w:val="clear" w:color="auto" w:fill="CFF0FC"/>
          </w:tcPr>
          <w:p>
            <w:pPr>
              <w:jc w:val="center"/>
              <w:ind w:right="60"/>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23"/>
        </w:trPr>
        <w:tc>
          <w:tcPr>
            <w:tcW w:w="40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Pr>
          <w:p>
            <w:pPr>
              <w:ind w:left="20"/>
              <w:spacing w:after="0"/>
              <w:rPr>
                <w:sz w:val="20"/>
                <w:szCs w:val="20"/>
                <w:color w:val="auto"/>
              </w:rPr>
            </w:pPr>
            <w:r>
              <w:rPr>
                <w:rFonts w:ascii="Arial" w:cs="Arial" w:eastAsia="Arial" w:hAnsi="Arial"/>
                <w:sz w:val="20"/>
                <w:szCs w:val="20"/>
                <w:color w:val="auto"/>
              </w:rPr>
              <w:t>Total current liabilites held for sale</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(1.3 )</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3"/>
          </w:tcPr>
          <w:p>
            <w:pPr>
              <w:jc w:val="right"/>
              <w:ind w:right="41"/>
              <w:spacing w:after="0"/>
              <w:rPr>
                <w:sz w:val="20"/>
                <w:szCs w:val="20"/>
                <w:color w:val="auto"/>
              </w:rPr>
            </w:pPr>
            <w:r>
              <w:rPr>
                <w:rFonts w:ascii="Arial" w:cs="Arial" w:eastAsia="Arial" w:hAnsi="Arial"/>
                <w:sz w:val="20"/>
                <w:szCs w:val="20"/>
                <w:color w:val="auto"/>
              </w:rPr>
              <w:t>(1.3 )</w:t>
            </w:r>
          </w:p>
        </w:tc>
        <w:tc>
          <w:tcPr>
            <w:tcW w:w="620" w:type="dxa"/>
            <w:vAlign w:val="bottom"/>
          </w:tcPr>
          <w:p>
            <w:pPr>
              <w:ind w:left="20"/>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gridSpan w:val="4"/>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(4.5 )</w:t>
            </w:r>
          </w:p>
        </w:tc>
        <w:tc>
          <w:tcPr>
            <w:tcW w:w="400" w:type="dxa"/>
            <w:vAlign w:val="bottom"/>
            <w:gridSpan w:val="2"/>
          </w:tcPr>
          <w:p>
            <w:pPr>
              <w:jc w:val="center"/>
              <w:ind w:right="60"/>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0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20" w:type="dxa"/>
            <w:vAlign w:val="bottom"/>
            <w:gridSpan w:val="3"/>
            <w:shd w:val="clear" w:color="auto" w:fill="CFF0FC"/>
          </w:tcPr>
          <w:p>
            <w:pPr>
              <w:spacing w:after="0"/>
              <w:rPr>
                <w:sz w:val="21"/>
                <w:szCs w:val="21"/>
                <w:color w:val="auto"/>
              </w:rPr>
            </w:pPr>
          </w:p>
        </w:tc>
        <w:tc>
          <w:tcPr>
            <w:tcW w:w="86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gridSpan w:val="3"/>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tcBorders>
              <w:right w:val="single" w:sz="8" w:color="CFF0FC"/>
            </w:tcBorders>
            <w:gridSpan w:val="2"/>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80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Lease obligatons</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gridSpan w:val="3"/>
          </w:tcPr>
          <w:p>
            <w:pPr>
              <w:ind w:left="260"/>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(2.5 )</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3"/>
          </w:tcPr>
          <w:p>
            <w:pPr>
              <w:jc w:val="right"/>
              <w:ind w:right="41"/>
              <w:spacing w:after="0"/>
              <w:rPr>
                <w:sz w:val="20"/>
                <w:szCs w:val="20"/>
                <w:color w:val="auto"/>
              </w:rPr>
            </w:pPr>
            <w:r>
              <w:rPr>
                <w:rFonts w:ascii="Arial" w:cs="Arial" w:eastAsia="Arial" w:hAnsi="Arial"/>
                <w:sz w:val="20"/>
                <w:szCs w:val="20"/>
                <w:color w:val="auto"/>
              </w:rPr>
              <w:t>(2.5 )</w:t>
            </w:r>
          </w:p>
        </w:tc>
        <w:tc>
          <w:tcPr>
            <w:tcW w:w="620" w:type="dxa"/>
            <w:vAlign w:val="bottom"/>
          </w:tcPr>
          <w:p>
            <w:pPr>
              <w:ind w:left="20"/>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gridSpan w:val="4"/>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(4.1 )</w:t>
            </w:r>
          </w:p>
        </w:tc>
        <w:tc>
          <w:tcPr>
            <w:tcW w:w="400" w:type="dxa"/>
            <w:vAlign w:val="bottom"/>
            <w:gridSpan w:val="2"/>
          </w:tcPr>
          <w:p>
            <w:pPr>
              <w:jc w:val="center"/>
              <w:ind w:right="60"/>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(4.1 )</w:t>
            </w:r>
          </w:p>
        </w:tc>
        <w:tc>
          <w:tcPr>
            <w:tcW w:w="0" w:type="dxa"/>
            <w:vAlign w:val="bottom"/>
          </w:tcPr>
          <w:p>
            <w:pPr>
              <w:spacing w:after="0"/>
              <w:rPr>
                <w:sz w:val="1"/>
                <w:szCs w:val="1"/>
                <w:color w:val="auto"/>
              </w:rPr>
            </w:pPr>
          </w:p>
        </w:tc>
      </w:tr>
      <w:tr>
        <w:trPr>
          <w:trHeight w:val="27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Asset retrement obligatons</w:t>
            </w:r>
          </w:p>
        </w:tc>
        <w:tc>
          <w:tcPr>
            <w:tcW w:w="38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(17.6 )</w:t>
            </w: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20" w:type="dxa"/>
            <w:vAlign w:val="bottom"/>
            <w:gridSpan w:val="3"/>
            <w:shd w:val="clear" w:color="auto" w:fill="CFF0FC"/>
          </w:tcPr>
          <w:p>
            <w:pPr>
              <w:jc w:val="right"/>
              <w:ind w:right="41"/>
              <w:spacing w:after="0"/>
              <w:rPr>
                <w:sz w:val="20"/>
                <w:szCs w:val="20"/>
                <w:color w:val="auto"/>
              </w:rPr>
            </w:pPr>
            <w:r>
              <w:rPr>
                <w:rFonts w:ascii="Arial" w:cs="Arial" w:eastAsia="Arial" w:hAnsi="Arial"/>
                <w:sz w:val="20"/>
                <w:szCs w:val="20"/>
                <w:color w:val="auto"/>
              </w:rPr>
              <w:t>(17.6 )</w:t>
            </w:r>
          </w:p>
        </w:tc>
        <w:tc>
          <w:tcPr>
            <w:tcW w:w="620" w:type="dxa"/>
            <w:vAlign w:val="bottom"/>
            <w:shd w:val="clear" w:color="auto" w:fill="CFF0FC"/>
          </w:tcPr>
          <w:p>
            <w:pPr>
              <w:spacing w:after="0"/>
              <w:rPr>
                <w:sz w:val="23"/>
                <w:szCs w:val="2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(17.7 )</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(17.7 )</w:t>
            </w:r>
          </w:p>
        </w:tc>
        <w:tc>
          <w:tcPr>
            <w:tcW w:w="0" w:type="dxa"/>
            <w:vAlign w:val="bottom"/>
          </w:tcPr>
          <w:p>
            <w:pPr>
              <w:spacing w:after="0"/>
              <w:rPr>
                <w:sz w:val="1"/>
                <w:szCs w:val="1"/>
                <w:color w:val="auto"/>
              </w:rPr>
            </w:pPr>
          </w:p>
        </w:tc>
      </w:tr>
      <w:tr>
        <w:trPr>
          <w:trHeight w:val="23"/>
        </w:trPr>
        <w:tc>
          <w:tcPr>
            <w:tcW w:w="40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020" w:type="dxa"/>
            <w:vAlign w:val="bottom"/>
          </w:tcPr>
          <w:p>
            <w:pPr>
              <w:ind w:left="20"/>
              <w:spacing w:after="0" w:line="218" w:lineRule="exact"/>
              <w:rPr>
                <w:sz w:val="20"/>
                <w:szCs w:val="20"/>
                <w:color w:val="auto"/>
              </w:rPr>
            </w:pPr>
            <w:r>
              <w:rPr>
                <w:rFonts w:ascii="Arial" w:cs="Arial" w:eastAsia="Arial" w:hAnsi="Arial"/>
                <w:sz w:val="20"/>
                <w:szCs w:val="20"/>
                <w:color w:val="auto"/>
              </w:rPr>
              <w:t>Total noncurrent liabilites held</w:t>
            </w:r>
          </w:p>
        </w:tc>
        <w:tc>
          <w:tcPr>
            <w:tcW w:w="380" w:type="dxa"/>
            <w:vAlign w:val="bottom"/>
            <w:vMerge w:val="restart"/>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0" w:type="dxa"/>
            <w:vAlign w:val="bottom"/>
            <w:vMerge w:val="restart"/>
          </w:tcPr>
          <w:p>
            <w:pPr>
              <w:spacing w:after="0"/>
              <w:rPr>
                <w:sz w:val="18"/>
                <w:szCs w:val="18"/>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(20.1 )</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3"/>
            <w:vMerge w:val="restart"/>
          </w:tcPr>
          <w:p>
            <w:pPr>
              <w:jc w:val="right"/>
              <w:ind w:right="41"/>
              <w:spacing w:after="0"/>
              <w:rPr>
                <w:sz w:val="20"/>
                <w:szCs w:val="20"/>
                <w:color w:val="auto"/>
              </w:rPr>
            </w:pPr>
            <w:r>
              <w:rPr>
                <w:rFonts w:ascii="Arial" w:cs="Arial" w:eastAsia="Arial" w:hAnsi="Arial"/>
                <w:sz w:val="20"/>
                <w:szCs w:val="20"/>
                <w:color w:val="auto"/>
              </w:rPr>
              <w:t>(20.1 )</w:t>
            </w:r>
          </w:p>
        </w:tc>
        <w:tc>
          <w:tcPr>
            <w:tcW w:w="62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0" w:type="dxa"/>
            <w:vAlign w:val="bottom"/>
            <w:gridSpan w:val="4"/>
            <w:vMerge w:val="restart"/>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(21.8 )</w:t>
            </w:r>
          </w:p>
        </w:tc>
        <w:tc>
          <w:tcPr>
            <w:tcW w:w="40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89"/>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(21.8 )</w:t>
            </w:r>
          </w:p>
        </w:tc>
        <w:tc>
          <w:tcPr>
            <w:tcW w:w="0" w:type="dxa"/>
            <w:vAlign w:val="bottom"/>
          </w:tcPr>
          <w:p>
            <w:pPr>
              <w:spacing w:after="0"/>
              <w:rPr>
                <w:sz w:val="1"/>
                <w:szCs w:val="1"/>
                <w:color w:val="auto"/>
              </w:rPr>
            </w:pPr>
          </w:p>
        </w:tc>
      </w:tr>
      <w:tr>
        <w:trPr>
          <w:trHeight w:val="250"/>
        </w:trPr>
        <w:tc>
          <w:tcPr>
            <w:tcW w:w="4020" w:type="dxa"/>
            <w:vAlign w:val="bottom"/>
          </w:tcPr>
          <w:p>
            <w:pPr>
              <w:ind w:left="160"/>
              <w:spacing w:after="0"/>
              <w:rPr>
                <w:sz w:val="20"/>
                <w:szCs w:val="20"/>
                <w:color w:val="auto"/>
              </w:rPr>
            </w:pPr>
            <w:r>
              <w:rPr>
                <w:rFonts w:ascii="Arial" w:cs="Arial" w:eastAsia="Arial" w:hAnsi="Arial"/>
                <w:sz w:val="20"/>
                <w:szCs w:val="20"/>
                <w:color w:val="auto"/>
              </w:rPr>
              <w:t>for sale</w:t>
            </w:r>
          </w:p>
        </w:tc>
        <w:tc>
          <w:tcPr>
            <w:tcW w:w="3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600" w:type="dxa"/>
            <w:vAlign w:val="bottom"/>
            <w:gridSpan w:val="4"/>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20"/>
                <w:szCs w:val="20"/>
                <w:b w:val="1"/>
                <w:bCs w:val="1"/>
                <w:color w:val="auto"/>
              </w:rPr>
              <w:t>3.  Inventories,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4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w w:val="89"/>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6"/>
          </w:tcPr>
          <w:p>
            <w:pPr>
              <w:jc w:val="center"/>
              <w:ind w:right="100"/>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ind w:left="180"/>
              <w:spacing w:after="0"/>
              <w:rPr>
                <w:sz w:val="20"/>
                <w:szCs w:val="20"/>
                <w:color w:val="auto"/>
              </w:rPr>
            </w:pPr>
            <w:r>
              <w:rPr>
                <w:rFonts w:ascii="Arial" w:cs="Arial" w:eastAsia="Arial" w:hAnsi="Arial"/>
                <w:sz w:val="20"/>
                <w:szCs w:val="20"/>
                <w:color w:val="auto"/>
                <w:w w:val="94"/>
              </w:rPr>
              <w:t>2023</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20"/>
                <w:szCs w:val="20"/>
                <w:color w:val="auto"/>
                <w:w w:val="85"/>
              </w:rPr>
              <w:t>2022</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4"/>
          </w:tcPr>
          <w:p>
            <w:pPr>
              <w:spacing w:after="0"/>
              <w:rPr>
                <w:sz w:val="3"/>
                <w:szCs w:val="3"/>
                <w:color w:val="auto"/>
              </w:rPr>
            </w:pPr>
          </w:p>
        </w:tc>
        <w:tc>
          <w:tcPr>
            <w:tcW w:w="280" w:type="dxa"/>
            <w:vAlign w:val="bottom"/>
            <w:vMerge w:val="restart"/>
          </w:tcPr>
          <w:p>
            <w:pPr>
              <w:jc w:val="right"/>
              <w:ind w:right="21"/>
              <w:spacing w:after="0"/>
              <w:rPr>
                <w:sz w:val="20"/>
                <w:szCs w:val="20"/>
                <w:color w:val="auto"/>
              </w:rPr>
            </w:pPr>
            <w:r>
              <w:rPr>
                <w:rFonts w:ascii="Arial" w:cs="Arial" w:eastAsia="Arial" w:hAnsi="Arial"/>
                <w:sz w:val="20"/>
                <w:szCs w:val="20"/>
                <w:i w:val="1"/>
                <w:iCs w:val="1"/>
                <w:color w:val="auto"/>
                <w:w w:val="89"/>
              </w:rPr>
              <w:t>in</w:t>
            </w:r>
          </w:p>
        </w:tc>
        <w:tc>
          <w:tcPr>
            <w:tcW w:w="7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Arial" w:cs="Arial" w:eastAsia="Arial" w:hAnsi="Arial"/>
                <w:sz w:val="20"/>
                <w:szCs w:val="20"/>
                <w:i w:val="1"/>
                <w:iCs w:val="1"/>
                <w:color w:val="auto"/>
                <w:w w:val="92"/>
              </w:rPr>
              <w:t>(Dollars</w:t>
            </w:r>
          </w:p>
        </w:tc>
        <w:tc>
          <w:tcPr>
            <w:tcW w:w="280" w:type="dxa"/>
            <w:vAlign w:val="bottom"/>
            <w:vMerge w:val="continue"/>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20"/>
                <w:szCs w:val="20"/>
                <w:i w:val="1"/>
                <w:iCs w:val="1"/>
                <w:color w:val="auto"/>
                <w:w w:val="81"/>
              </w:rPr>
              <w:t>Millions)</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Finished products</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w w:val="95"/>
              </w:rPr>
              <w:t>1,109.5</w:t>
            </w:r>
          </w:p>
        </w:tc>
        <w:tc>
          <w:tcPr>
            <w:tcW w:w="28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401"/>
              <w:spacing w:after="0"/>
              <w:rPr>
                <w:sz w:val="20"/>
                <w:szCs w:val="20"/>
                <w:color w:val="auto"/>
              </w:rPr>
            </w:pPr>
            <w:r>
              <w:rPr>
                <w:rFonts w:ascii="Arial" w:cs="Arial" w:eastAsia="Arial" w:hAnsi="Arial"/>
                <w:sz w:val="20"/>
                <w:szCs w:val="20"/>
                <w:color w:val="auto"/>
                <w:w w:val="89"/>
              </w:rPr>
              <w:t>$</w:t>
            </w:r>
          </w:p>
        </w:tc>
        <w:tc>
          <w:tcPr>
            <w:tcW w:w="100" w:type="dxa"/>
            <w:vAlign w:val="bottom"/>
            <w:tcBorders>
              <w:right w:val="single" w:sz="8" w:color="CFF0FC"/>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932.4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Products in process</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Arial" w:cs="Arial" w:eastAsia="Arial" w:hAnsi="Arial"/>
                <w:sz w:val="20"/>
                <w:szCs w:val="20"/>
                <w:color w:val="auto"/>
              </w:rPr>
              <w:t>30.7</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Raw materials</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66.2</w:t>
            </w:r>
          </w:p>
        </w:tc>
        <w:tc>
          <w:tcPr>
            <w:tcW w:w="2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00" w:type="dxa"/>
            <w:vAlign w:val="bottom"/>
            <w:tcBorders>
              <w:right w:val="single" w:sz="8" w:color="CFF0FC"/>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20"/>
                <w:szCs w:val="20"/>
                <w:color w:val="auto"/>
              </w:rPr>
              <w:t>Supplies and expendable parts</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179.6</w:t>
            </w:r>
          </w:p>
        </w:tc>
        <w:tc>
          <w:tcPr>
            <w:tcW w:w="2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inventories</w:t>
            </w:r>
          </w:p>
        </w:tc>
        <w:tc>
          <w:tcPr>
            <w:tcW w:w="38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w w:val="95"/>
              </w:rPr>
              <w:t>1,386.0</w:t>
            </w:r>
          </w:p>
        </w:tc>
        <w:tc>
          <w:tcPr>
            <w:tcW w:w="28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00" w:type="dxa"/>
            <w:vAlign w:val="bottom"/>
            <w:tcBorders>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1,182.0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20"/>
                <w:szCs w:val="20"/>
                <w:color w:val="auto"/>
              </w:rPr>
              <w:t>Less: allowances</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5"/>
          </w:tcPr>
          <w:p>
            <w:pPr>
              <w:jc w:val="right"/>
              <w:ind w:right="101"/>
              <w:spacing w:after="0"/>
              <w:rPr>
                <w:sz w:val="20"/>
                <w:szCs w:val="20"/>
                <w:color w:val="auto"/>
              </w:rPr>
            </w:pPr>
            <w:r>
              <w:rPr>
                <w:rFonts w:ascii="Arial" w:cs="Arial" w:eastAsia="Arial" w:hAnsi="Arial"/>
                <w:sz w:val="20"/>
                <w:szCs w:val="20"/>
                <w:color w:val="auto"/>
              </w:rPr>
              <w:t>(392.9 )</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(308.3 )</w:t>
            </w:r>
          </w:p>
        </w:tc>
        <w:tc>
          <w:tcPr>
            <w:tcW w:w="0" w:type="dxa"/>
            <w:vAlign w:val="bottom"/>
          </w:tcPr>
          <w:p>
            <w:pPr>
              <w:spacing w:after="0"/>
              <w:rPr>
                <w:sz w:val="1"/>
                <w:szCs w:val="1"/>
                <w:color w:val="auto"/>
              </w:rPr>
            </w:pPr>
          </w:p>
        </w:tc>
      </w:tr>
      <w:tr>
        <w:trPr>
          <w:trHeight w:val="308"/>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Inventories, net</w:t>
            </w:r>
          </w:p>
        </w:tc>
        <w:tc>
          <w:tcPr>
            <w:tcW w:w="3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rPr>
              <w:t>993.1</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01"/>
              <w:spacing w:after="0"/>
              <w:rPr>
                <w:sz w:val="20"/>
                <w:szCs w:val="20"/>
                <w:color w:val="auto"/>
              </w:rPr>
            </w:pPr>
            <w:r>
              <w:rPr>
                <w:rFonts w:ascii="Arial" w:cs="Arial" w:eastAsia="Arial" w:hAnsi="Arial"/>
                <w:sz w:val="20"/>
                <w:szCs w:val="20"/>
                <w:color w:val="auto"/>
                <w:w w:val="89"/>
              </w:rPr>
              <w:t>$</w:t>
            </w:r>
          </w:p>
        </w:tc>
        <w:tc>
          <w:tcPr>
            <w:tcW w:w="100" w:type="dxa"/>
            <w:vAlign w:val="bottom"/>
            <w:tcBorders>
              <w:top w:val="single" w:sz="8" w:color="auto"/>
              <w:bottom w:val="single" w:sz="8" w:color="auto"/>
              <w:right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-5133975</wp:posOffset>
            </wp:positionV>
            <wp:extent cx="7747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-5133975</wp:posOffset>
            </wp:positionV>
            <wp:extent cx="7747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-5133975</wp:posOffset>
            </wp:positionV>
            <wp:extent cx="6858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-5133975</wp:posOffset>
            </wp:positionV>
            <wp:extent cx="6858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-5133975</wp:posOffset>
            </wp:positionV>
            <wp:extent cx="6858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-5133975</wp:posOffset>
            </wp:positionV>
            <wp:extent cx="6858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-3719830</wp:posOffset>
            </wp:positionV>
            <wp:extent cx="3943350" cy="196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43350" cy="19685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-3350895</wp:posOffset>
            </wp:positionV>
            <wp:extent cx="7747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-3350895</wp:posOffset>
            </wp:positionV>
            <wp:extent cx="7747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-3350895</wp:posOffset>
            </wp:positionV>
            <wp:extent cx="6858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-3350895</wp:posOffset>
            </wp:positionV>
            <wp:extent cx="6858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-3350895</wp:posOffset>
            </wp:positionV>
            <wp:extent cx="6858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-2630805</wp:posOffset>
            </wp:positionV>
            <wp:extent cx="77470" cy="3346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3346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-2630805</wp:posOffset>
            </wp:positionV>
            <wp:extent cx="77470" cy="3346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3346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-2630805</wp:posOffset>
            </wp:positionV>
            <wp:extent cx="68580" cy="3346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-2630805</wp:posOffset>
            </wp:positionV>
            <wp:extent cx="68580" cy="3346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-2630805</wp:posOffset>
            </wp:positionV>
            <wp:extent cx="68580" cy="3346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3346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40" w:type="dxa"/>
            <w:vAlign w:val="bottom"/>
          </w:tcPr>
          <w:p>
            <w:pPr>
              <w:spacing w:after="0"/>
              <w:rPr>
                <w:sz w:val="20"/>
                <w:szCs w:val="20"/>
                <w:color w:val="auto"/>
              </w:rPr>
            </w:pPr>
            <w:r>
              <w:rPr>
                <w:rFonts w:ascii="Arial" w:cs="Arial" w:eastAsia="Arial" w:hAnsi="Arial"/>
                <w:sz w:val="20"/>
                <w:szCs w:val="20"/>
                <w:b w:val="1"/>
                <w:bCs w:val="1"/>
                <w:color w:val="auto"/>
              </w:rPr>
              <w:t>4.  Long-Term Debt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ind w:right="441"/>
              <w:spacing w:after="0"/>
              <w:rPr>
                <w:sz w:val="20"/>
                <w:szCs w:val="20"/>
                <w:color w:val="auto"/>
              </w:rPr>
            </w:pPr>
            <w:r>
              <w:rPr>
                <w:rFonts w:ascii="Arial" w:cs="Arial" w:eastAsia="Arial" w:hAnsi="Arial"/>
                <w:sz w:val="20"/>
                <w:szCs w:val="20"/>
                <w:color w:val="auto"/>
                <w:w w:val="94"/>
              </w:rPr>
              <w:t>September 30,</w:t>
            </w:r>
          </w:p>
        </w:tc>
        <w:tc>
          <w:tcPr>
            <w:tcW w:w="200" w:type="dxa"/>
            <w:vAlign w:val="bottom"/>
          </w:tcPr>
          <w:p>
            <w:pPr>
              <w:spacing w:after="0"/>
              <w:rPr>
                <w:sz w:val="24"/>
                <w:szCs w:val="2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20"/>
                <w:szCs w:val="20"/>
                <w:color w:val="auto"/>
                <w:w w:val="95"/>
              </w:rPr>
              <w:t>December 31,</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56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74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21"/>
              <w:spacing w:after="0"/>
              <w:rPr>
                <w:sz w:val="20"/>
                <w:szCs w:val="20"/>
                <w:color w:val="auto"/>
              </w:rPr>
            </w:pPr>
            <w:r>
              <w:rPr>
                <w:rFonts w:ascii="Arial" w:cs="Arial" w:eastAsia="Arial" w:hAnsi="Arial"/>
                <w:sz w:val="20"/>
                <w:szCs w:val="20"/>
                <w:i w:val="1"/>
                <w:iCs w:val="1"/>
                <w:color w:val="auto"/>
                <w:w w:val="89"/>
              </w:rPr>
              <w:t>in</w:t>
            </w:r>
          </w:p>
        </w:tc>
        <w:tc>
          <w:tcPr>
            <w:tcW w:w="1700" w:type="dxa"/>
            <w:vAlign w:val="bottom"/>
            <w:tcBorders>
              <w:bottom w:val="single" w:sz="8" w:color="auto"/>
            </w:tcBorders>
            <w:gridSpan w:val="2"/>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80" w:type="dxa"/>
            <w:vAlign w:val="bottom"/>
            <w:vMerge w:val="continue"/>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0.650% Senior Notes, due 2023 (discharged)</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800" w:type="dxa"/>
            <w:vAlign w:val="bottom"/>
            <w:gridSpan w:val="2"/>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20"/>
              <w:spacing w:after="0"/>
              <w:rPr>
                <w:sz w:val="20"/>
                <w:szCs w:val="20"/>
                <w:color w:val="auto"/>
              </w:rPr>
            </w:pPr>
            <w:r>
              <w:rPr>
                <w:rFonts w:ascii="Arial" w:cs="Arial" w:eastAsia="Arial" w:hAnsi="Arial"/>
                <w:sz w:val="20"/>
                <w:szCs w:val="20"/>
                <w:color w:val="auto"/>
              </w:rPr>
              <w:t>4.250% Senior Notes, due 2024</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399.5</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398.9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7% Debentures, due 2025</w:t>
            </w:r>
          </w:p>
        </w:tc>
        <w:tc>
          <w:tcPr>
            <w:tcW w:w="200" w:type="dxa"/>
            <w:vAlign w:val="bottom"/>
            <w:shd w:val="clear" w:color="auto" w:fill="CFF0FC"/>
          </w:tcPr>
          <w:p>
            <w:pPr>
              <w:spacing w:after="0"/>
              <w:rPr>
                <w:sz w:val="24"/>
                <w:szCs w:val="2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124.8</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20"/>
              <w:spacing w:after="0"/>
              <w:rPr>
                <w:sz w:val="20"/>
                <w:szCs w:val="20"/>
                <w:color w:val="auto"/>
              </w:rPr>
            </w:pPr>
            <w:r>
              <w:rPr>
                <w:rFonts w:ascii="Arial" w:cs="Arial" w:eastAsia="Arial" w:hAnsi="Arial"/>
                <w:sz w:val="20"/>
                <w:szCs w:val="20"/>
                <w:color w:val="auto"/>
              </w:rPr>
              <w:t>3.450% Senior Notes, due 2027</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298.6</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298.3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3.500% Senior Notes, due 2027</w:t>
            </w:r>
          </w:p>
        </w:tc>
        <w:tc>
          <w:tcPr>
            <w:tcW w:w="200" w:type="dxa"/>
            <w:vAlign w:val="bottom"/>
            <w:shd w:val="clear" w:color="auto" w:fill="CFF0FC"/>
          </w:tcPr>
          <w:p>
            <w:pPr>
              <w:spacing w:after="0"/>
              <w:rPr>
                <w:sz w:val="24"/>
                <w:szCs w:val="2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492.0</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20"/>
              <w:spacing w:after="0"/>
              <w:rPr>
                <w:sz w:val="20"/>
                <w:szCs w:val="20"/>
                <w:color w:val="auto"/>
              </w:rPr>
            </w:pPr>
            <w:r>
              <w:rPr>
                <w:rFonts w:ascii="Arial" w:cs="Arial" w:eastAsia="Arial" w:hAnsi="Arial"/>
                <w:sz w:val="20"/>
                <w:szCs w:val="20"/>
                <w:color w:val="auto"/>
              </w:rPr>
              <w:t>2.500% Senior Notes, due 2030</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471.3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470.5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2.400% Senior Notes, due 2031</w:t>
            </w:r>
          </w:p>
        </w:tc>
        <w:tc>
          <w:tcPr>
            <w:tcW w:w="200" w:type="dxa"/>
            <w:vAlign w:val="bottom"/>
            <w:shd w:val="clear" w:color="auto" w:fill="CFF0FC"/>
          </w:tcPr>
          <w:p>
            <w:pPr>
              <w:spacing w:after="0"/>
              <w:rPr>
                <w:sz w:val="24"/>
                <w:szCs w:val="2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889.2</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888.6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20"/>
              <w:spacing w:after="0"/>
              <w:rPr>
                <w:sz w:val="20"/>
                <w:szCs w:val="20"/>
                <w:color w:val="auto"/>
              </w:rPr>
            </w:pPr>
            <w:r>
              <w:rPr>
                <w:rFonts w:ascii="Arial" w:cs="Arial" w:eastAsia="Arial" w:hAnsi="Arial"/>
                <w:sz w:val="20"/>
                <w:szCs w:val="20"/>
                <w:color w:val="auto"/>
              </w:rPr>
              <w:t>6.25% Senior Notes, due 2037</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228.4</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228.4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4.250% Senior Notes, due 2047</w:t>
            </w:r>
          </w:p>
        </w:tc>
        <w:tc>
          <w:tcPr>
            <w:tcW w:w="200" w:type="dxa"/>
            <w:vAlign w:val="bottom"/>
            <w:shd w:val="clear" w:color="auto" w:fill="CFF0FC"/>
          </w:tcPr>
          <w:p>
            <w:pPr>
              <w:spacing w:after="0"/>
              <w:rPr>
                <w:sz w:val="24"/>
                <w:szCs w:val="2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590.3</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590.2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40" w:type="dxa"/>
            <w:vAlign w:val="bottom"/>
          </w:tcPr>
          <w:p>
            <w:pPr>
              <w:ind w:left="20"/>
              <w:spacing w:after="0"/>
              <w:rPr>
                <w:sz w:val="20"/>
                <w:szCs w:val="20"/>
                <w:color w:val="auto"/>
              </w:rPr>
            </w:pPr>
            <w:r>
              <w:rPr>
                <w:rFonts w:ascii="Arial" w:cs="Arial" w:eastAsia="Arial" w:hAnsi="Arial"/>
                <w:sz w:val="20"/>
                <w:szCs w:val="20"/>
                <w:color w:val="auto"/>
              </w:rPr>
              <w:t>3.200% Senior Notes, due 2051</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850.1</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 debt</w:t>
            </w:r>
          </w:p>
        </w:tc>
        <w:tc>
          <w:tcPr>
            <w:tcW w:w="200" w:type="dxa"/>
            <w:vAlign w:val="bottom"/>
            <w:tcBorders>
              <w:top w:val="single" w:sz="8" w:color="auto"/>
            </w:tcBorders>
            <w:shd w:val="clear" w:color="auto" w:fill="CFF0FC"/>
          </w:tcPr>
          <w:p>
            <w:pPr>
              <w:spacing w:after="0"/>
              <w:rPr>
                <w:sz w:val="22"/>
                <w:szCs w:val="22"/>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4,344.2</w:t>
            </w:r>
          </w:p>
        </w:tc>
        <w:tc>
          <w:tcPr>
            <w:tcW w:w="28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CFF0FC"/>
            </w:tcBorders>
            <w:shd w:val="clear" w:color="auto" w:fill="CFF0FC"/>
          </w:tcPr>
          <w:p>
            <w:pPr>
              <w:spacing w:after="0"/>
              <w:rPr>
                <w:sz w:val="22"/>
                <w:szCs w:val="22"/>
                <w:color w:val="auto"/>
              </w:rPr>
            </w:pPr>
          </w:p>
        </w:tc>
        <w:tc>
          <w:tcPr>
            <w:tcW w:w="15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5,040.0</w:t>
            </w:r>
          </w:p>
        </w:tc>
        <w:tc>
          <w:tcPr>
            <w:tcW w:w="100" w:type="dxa"/>
            <w:vAlign w:val="bottom"/>
            <w:tcBorders>
              <w:top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440" w:type="dxa"/>
            <w:vAlign w:val="bottom"/>
          </w:tcPr>
          <w:p>
            <w:pPr>
              <w:ind w:left="20"/>
              <w:spacing w:after="0"/>
              <w:rPr>
                <w:sz w:val="20"/>
                <w:szCs w:val="20"/>
                <w:color w:val="auto"/>
              </w:rPr>
            </w:pPr>
            <w:r>
              <w:rPr>
                <w:rFonts w:ascii="Arial" w:cs="Arial" w:eastAsia="Arial" w:hAnsi="Arial"/>
                <w:sz w:val="20"/>
                <w:szCs w:val="20"/>
                <w:color w:val="auto"/>
              </w:rPr>
              <w:t>Less: current maturites</w:t>
            </w:r>
          </w:p>
        </w:tc>
        <w:tc>
          <w:tcPr>
            <w:tcW w:w="200" w:type="dxa"/>
            <w:vAlign w:val="bottom"/>
          </w:tcPr>
          <w:p>
            <w:pPr>
              <w:spacing w:after="0"/>
              <w:rPr>
                <w:sz w:val="22"/>
                <w:szCs w:val="22"/>
                <w:color w:val="auto"/>
              </w:rPr>
            </w:pPr>
          </w:p>
        </w:tc>
        <w:tc>
          <w:tcPr>
            <w:tcW w:w="1800" w:type="dxa"/>
            <w:vAlign w:val="bottom"/>
            <w:gridSpan w:val="2"/>
          </w:tcPr>
          <w:p>
            <w:pPr>
              <w:jc w:val="right"/>
              <w:ind w:right="101"/>
              <w:spacing w:after="0"/>
              <w:rPr>
                <w:sz w:val="20"/>
                <w:szCs w:val="20"/>
                <w:color w:val="auto"/>
              </w:rPr>
            </w:pPr>
            <w:r>
              <w:rPr>
                <w:rFonts w:ascii="Arial" w:cs="Arial" w:eastAsia="Arial" w:hAnsi="Arial"/>
                <w:sz w:val="20"/>
                <w:szCs w:val="20"/>
                <w:color w:val="auto"/>
              </w:rPr>
              <w:t>(399.5 )</w:t>
            </w:r>
          </w:p>
        </w:tc>
        <w:tc>
          <w:tcPr>
            <w:tcW w:w="200" w:type="dxa"/>
            <w:vAlign w:val="bottom"/>
          </w:tcPr>
          <w:p>
            <w:pPr>
              <w:spacing w:after="0"/>
              <w:rPr>
                <w:sz w:val="22"/>
                <w:szCs w:val="22"/>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20"/>
                <w:szCs w:val="20"/>
                <w:color w:val="auto"/>
              </w:rPr>
              <w:t>(699.1 )</w:t>
            </w:r>
          </w:p>
        </w:tc>
        <w:tc>
          <w:tcPr>
            <w:tcW w:w="0" w:type="dxa"/>
            <w:vAlign w:val="bottom"/>
          </w:tcPr>
          <w:p>
            <w:pPr>
              <w:spacing w:after="0"/>
              <w:rPr>
                <w:sz w:val="1"/>
                <w:szCs w:val="1"/>
                <w:color w:val="auto"/>
              </w:rPr>
            </w:pPr>
          </w:p>
        </w:tc>
      </w:tr>
      <w:tr>
        <w:trPr>
          <w:trHeight w:val="308"/>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Long-term debt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3,944.7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4,340.9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-556895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1" w:lineRule="exact"/>
        <w:rPr>
          <w:sz w:val="20"/>
          <w:szCs w:val="20"/>
          <w:color w:val="auto"/>
        </w:rPr>
      </w:pPr>
    </w:p>
    <w:p>
      <w:pPr>
        <w:jc w:val="both"/>
        <w:ind w:left="380"/>
        <w:spacing w:after="0" w:line="270" w:lineRule="auto"/>
        <w:rPr>
          <w:sz w:val="20"/>
          <w:szCs w:val="20"/>
          <w:color w:val="auto"/>
        </w:rPr>
      </w:pPr>
      <w:r>
        <w:rPr>
          <w:rFonts w:ascii="Arial" w:cs="Arial" w:eastAsia="Arial" w:hAnsi="Arial"/>
          <w:sz w:val="19"/>
          <w:szCs w:val="19"/>
          <w:color w:val="auto"/>
        </w:rPr>
        <w:t xml:space="preserve">On September 29, 2022, the Company satsfed and discharged the 2023 Notes. In connecton with the satsfacton and discharge, the Company irrevocably deposited funds with Regions Bank, as trustee under the indenture governing the 2023 Notes, in an amount sufcient to satsfy all remaining principal and interest payments on the 2023 Notes. The Company utlized existng cash resources to fund the satsfacton and discharge. As a result of the satsfacton and discharge of the 2023 Notes, the obligatons of the Company under the indenture with respect to the 2023 Notes were terminated, except those provisions of the indenture that, by their terms, survive the satsfacton and discharge. Because the discharge did not represent a legal defeasance, the 2023 Notes remained on the Company’s consolidated balance sheet at December 31, 2022 and contnued to accrete to their par value over the period untl maturity. Additonally, the related trust assets were included in </w:t>
      </w:r>
      <w:r>
        <w:rPr>
          <w:rFonts w:ascii="Arial" w:cs="Arial" w:eastAsia="Arial" w:hAnsi="Arial"/>
          <w:sz w:val="19"/>
          <w:szCs w:val="19"/>
          <w:i w:val="1"/>
          <w:iCs w:val="1"/>
          <w:color w:val="auto"/>
        </w:rPr>
        <w:t>Restricted investments (to satsfy discharged debt and related interest)</w:t>
      </w:r>
      <w:r>
        <w:rPr>
          <w:rFonts w:ascii="Arial" w:cs="Arial" w:eastAsia="Arial" w:hAnsi="Arial"/>
          <w:sz w:val="19"/>
          <w:szCs w:val="19"/>
          <w:color w:val="auto"/>
        </w:rPr>
        <w:t xml:space="preserve"> on the Company’s consolidated balance sheet at December 31, 2022. On July 17, 2023, Regions Bank satsfed the remaining principal and interest payments and the 2023 Notes have been repaid in full.</w:t>
      </w:r>
    </w:p>
    <w:p>
      <w:pPr>
        <w:spacing w:after="0" w:line="80" w:lineRule="exact"/>
        <w:rPr>
          <w:sz w:val="20"/>
          <w:szCs w:val="20"/>
          <w:color w:val="auto"/>
        </w:rPr>
      </w:pPr>
    </w:p>
    <w:p>
      <w:pPr>
        <w:jc w:val="both"/>
        <w:ind w:left="380"/>
        <w:spacing w:after="0" w:line="288" w:lineRule="auto"/>
        <w:rPr>
          <w:sz w:val="20"/>
          <w:szCs w:val="20"/>
          <w:color w:val="auto"/>
        </w:rPr>
      </w:pPr>
      <w:r>
        <w:rPr>
          <w:rFonts w:ascii="Arial" w:cs="Arial" w:eastAsia="Arial" w:hAnsi="Arial"/>
          <w:sz w:val="18"/>
          <w:szCs w:val="18"/>
          <w:color w:val="auto"/>
        </w:rPr>
        <w:t>The Company has a credit agreement with JPMorgan Chase Bank, N.A., as Administratve Agent, Deutsche Bank Securites, Inc., PNC Bank, Truist Bank and Wells Fargo Bank, N.A., as Syndicaton Agents, and the lenders party thereto (the Credit Agreement), which provides for an $800.0 million fve-year senior unsecured revolving facility (the Revolving Facility) with a maturity date of December 21, 2027. Borrowings under the Revolving Facility bear interest, at the Company’s opton, at rates based upon the Secured Overnight Financing Rate (SOFR) or a base rate, plus, for each rate, a margin determined in accordance with a ratngs-based pricing grid. There were no borrowings outstanding under the Credit Agreement as of September 30, 2023 and December 31, 2022. Any outstanding principal amounts, together with interest accrued thereon, are due in full on that maturity date. Available borrowings under the Revolving Facility are reduced by any outstanding leters of credit issued by the Company under the Revolving Facility. At September 30, 2023 and December 31, 2022, the Company had $2.6 million of outstanding leters of credit issued under the Revolving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56" w:lineRule="auto"/>
        <w:rPr>
          <w:sz w:val="20"/>
          <w:szCs w:val="20"/>
          <w:color w:val="auto"/>
        </w:rPr>
      </w:pPr>
      <w:r>
        <w:rPr>
          <w:rFonts w:ascii="Arial" w:cs="Arial" w:eastAsia="Arial" w:hAnsi="Arial"/>
          <w:sz w:val="20"/>
          <w:szCs w:val="20"/>
          <w:color w:val="auto"/>
        </w:rPr>
        <w:t>The Credit Agreement requires the Company’s rato of consolidated net debt-to-consolidated earnings before interest, taxes, depreciaton, depleton and amortzaton (EBITDA), as defned by the Revolving Facility, for the trailing-twelve months (the Rato) to not exceed 3.50x as of the end of any fscal quarter, provided that the Company may exclude from the Rato any debt incurred in connecton with certain acquisitons during the quarter or three preceding quarters so long as the Rato calculated without such exclusion does not exceed 4.00x. Additonally, if no amounts are outstanding under the Revolving Facility and the Company's trade receivable securitzaton facility (discussed below), consolidated debt, as defned, which includes debt for which the Company is a guarantor (see Note 8), shall be reduced in an amount equal to the lesser of $500.0 million or the sum of the Company’s unrestricted cash and temporary investments, for purposes of the covenant calculaton. The Company was in compliance with the Rato at September 30, 2023.</w:t>
      </w:r>
    </w:p>
    <w:p>
      <w:pPr>
        <w:spacing w:after="0" w:line="87" w:lineRule="exact"/>
        <w:rPr>
          <w:sz w:val="20"/>
          <w:szCs w:val="20"/>
          <w:color w:val="auto"/>
        </w:rPr>
      </w:pPr>
    </w:p>
    <w:p>
      <w:pPr>
        <w:jc w:val="both"/>
        <w:ind w:left="380"/>
        <w:spacing w:after="0" w:line="286" w:lineRule="auto"/>
        <w:rPr>
          <w:sz w:val="20"/>
          <w:szCs w:val="20"/>
          <w:color w:val="auto"/>
        </w:rPr>
      </w:pPr>
      <w:r>
        <w:rPr>
          <w:rFonts w:ascii="Arial" w:cs="Arial" w:eastAsia="Arial" w:hAnsi="Arial"/>
          <w:sz w:val="18"/>
          <w:szCs w:val="18"/>
          <w:color w:val="auto"/>
        </w:rPr>
        <w:t>The Company, through a wholly-owned special-purpose subsidiary, has a $400.0 million trade receivable securitzaton facility (the Trade Receivable Facility). On September 20, 2023, the Company extended the maturity to September 19, 2024. The Trade Receivable Facility, with Truist Bank, Regions Bank, First-Citzens Bank &amp; Trust Company,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Adjusted Term Secured Overnight Financing Rate (Adjusted Term SOFR), as defned, plus 0.7%. The Trade Receivable Facility contains a cross-default provision to the Company’s other debt agreements. Subject to certain conditons, including lenders providing the requisite commitments, the Trade Receivable Facility may be increased to a borrowing base not to exceed $500.0 million. There were no borrowings outstanding under the Trade Receivable Facility at September 30, 2023 and December 31, 2022.</w:t>
      </w:r>
    </w:p>
    <w:p>
      <w:pPr>
        <w:spacing w:after="0" w:line="284"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21" w:lineRule="exact"/>
        <w:rPr>
          <w:rFonts w:ascii="Arial" w:cs="Arial" w:eastAsia="Arial" w:hAnsi="Arial"/>
          <w:sz w:val="20"/>
          <w:szCs w:val="20"/>
          <w:b w:val="1"/>
          <w:bCs w:val="1"/>
          <w:color w:val="auto"/>
        </w:rPr>
      </w:pPr>
    </w:p>
    <w:p>
      <w:pPr>
        <w:ind w:left="38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The Company’s fnancial instruments include temporary cash investments, restricted cash, restricted investments, accounts receivable, note receivable, accounts payable, publicly-registered long-term notes and debentures.</w:t>
      </w:r>
    </w:p>
    <w:p>
      <w:pPr>
        <w:spacing w:after="0" w:line="68" w:lineRule="exact"/>
        <w:rPr>
          <w:rFonts w:ascii="Arial" w:cs="Arial" w:eastAsia="Arial" w:hAnsi="Arial"/>
          <w:sz w:val="20"/>
          <w:szCs w:val="20"/>
          <w:b w:val="1"/>
          <w:bCs w:val="1"/>
          <w:color w:val="auto"/>
        </w:rPr>
      </w:pPr>
    </w:p>
    <w:p>
      <w:pPr>
        <w:jc w:val="both"/>
        <w:ind w:left="380"/>
        <w:spacing w:after="0" w:line="306" w:lineRule="auto"/>
        <w:rPr>
          <w:rFonts w:ascii="Arial" w:cs="Arial" w:eastAsia="Arial" w:hAnsi="Arial"/>
          <w:sz w:val="20"/>
          <w:szCs w:val="20"/>
          <w:b w:val="1"/>
          <w:bCs w:val="1"/>
          <w:color w:val="auto"/>
        </w:rPr>
      </w:pPr>
      <w:r>
        <w:rPr>
          <w:rFonts w:ascii="Arial" w:cs="Arial" w:eastAsia="Arial" w:hAnsi="Arial"/>
          <w:sz w:val="18"/>
          <w:szCs w:val="18"/>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45" w:lineRule="exact"/>
        <w:rPr>
          <w:rFonts w:ascii="Arial" w:cs="Arial" w:eastAsia="Arial" w:hAnsi="Arial"/>
          <w:sz w:val="20"/>
          <w:szCs w:val="20"/>
          <w:b w:val="1"/>
          <w:bCs w:val="1"/>
          <w:color w:val="auto"/>
        </w:rPr>
      </w:pPr>
    </w:p>
    <w:p>
      <w:pPr>
        <w:ind w:left="38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Restricted cash is held in a trust account with a third-party intermediary. Due to the short-term nature of this account, the carrying value of restricted cash approximates its fair value.</w:t>
      </w:r>
    </w:p>
    <w:p>
      <w:pPr>
        <w:spacing w:after="0" w:line="68"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Restricted investments at December 31, 2022 were held in a fund that invested solely in U.S. Treasury securites. The estmated fair value of the fund was valued at net asset value, which the fund sought to maintain at one dollar per share. As such, the carrying value of the restricted investments approximated its fair value. The Company was restricted from accessing the investments, which were used to setle the 2023 Notes and related interest payments.</w:t>
      </w:r>
    </w:p>
    <w:p>
      <w:pPr>
        <w:spacing w:after="0" w:line="83" w:lineRule="exact"/>
        <w:rPr>
          <w:rFonts w:ascii="Arial" w:cs="Arial" w:eastAsia="Arial" w:hAnsi="Arial"/>
          <w:sz w:val="20"/>
          <w:szCs w:val="20"/>
          <w:b w:val="1"/>
          <w:bCs w:val="1"/>
          <w:color w:val="auto"/>
        </w:rPr>
      </w:pPr>
    </w:p>
    <w:p>
      <w:pPr>
        <w:jc w:val="both"/>
        <w:ind w:left="380"/>
        <w:spacing w:after="0" w:line="284" w:lineRule="auto"/>
        <w:rPr>
          <w:rFonts w:ascii="Arial" w:cs="Arial" w:eastAsia="Arial" w:hAnsi="Arial"/>
          <w:sz w:val="20"/>
          <w:szCs w:val="20"/>
          <w:b w:val="1"/>
          <w:bCs w:val="1"/>
          <w:color w:val="auto"/>
        </w:rPr>
      </w:pPr>
      <w:r>
        <w:rPr>
          <w:rFonts w:ascii="Arial" w:cs="Arial" w:eastAsia="Arial" w:hAnsi="Arial"/>
          <w:sz w:val="19"/>
          <w:szCs w:val="19"/>
          <w:color w:val="auto"/>
        </w:rPr>
        <w:t>Accounts receivable are due from a large number of customers, primarily in the constructon industry, and are dispersed across wide geographic and economic regions. No single customer accounted for 10% or more of consolidated accounts receivable at September 30, 2023 and December 31, 2022. The carrying values of accounts receivable approximate their fair values.</w:t>
      </w:r>
    </w:p>
    <w:p>
      <w:pPr>
        <w:spacing w:after="0" w:line="61" w:lineRule="exact"/>
        <w:rPr>
          <w:sz w:val="20"/>
          <w:szCs w:val="20"/>
          <w:color w:val="auto"/>
        </w:rPr>
      </w:pPr>
    </w:p>
    <w:p>
      <w:pPr>
        <w:ind w:left="380"/>
        <w:spacing w:after="0" w:line="257" w:lineRule="auto"/>
        <w:rPr>
          <w:sz w:val="20"/>
          <w:szCs w:val="20"/>
          <w:color w:val="auto"/>
        </w:rPr>
      </w:pPr>
      <w:r>
        <w:rPr>
          <w:rFonts w:ascii="Arial" w:cs="Arial" w:eastAsia="Arial" w:hAnsi="Arial"/>
          <w:sz w:val="20"/>
          <w:szCs w:val="20"/>
          <w:color w:val="auto"/>
        </w:rPr>
        <w:t>Note receivable is a promissory note with an unconsolidated afliate (see Note 8) and is not publicly traded. Management estmates that the carrying value of the note receivable approximates its fair value.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Accounts payable represent amounts owed to suppliers and vendors. The estmated carrying value of accounts payable approximates its fair value due to the short-term nature of the payables.</w:t>
      </w:r>
    </w:p>
    <w:p>
      <w:pPr>
        <w:spacing w:after="0" w:line="69" w:lineRule="exact"/>
        <w:rPr>
          <w:sz w:val="20"/>
          <w:szCs w:val="20"/>
          <w:color w:val="auto"/>
        </w:rPr>
      </w:pPr>
    </w:p>
    <w:p>
      <w:pPr>
        <w:jc w:val="both"/>
        <w:ind w:left="380"/>
        <w:spacing w:after="0" w:line="284" w:lineRule="auto"/>
        <w:rPr>
          <w:sz w:val="20"/>
          <w:szCs w:val="20"/>
          <w:color w:val="auto"/>
        </w:rPr>
      </w:pPr>
      <w:r>
        <w:rPr>
          <w:rFonts w:ascii="Arial" w:cs="Arial" w:eastAsia="Arial" w:hAnsi="Arial"/>
          <w:sz w:val="19"/>
          <w:szCs w:val="19"/>
          <w:color w:val="auto"/>
        </w:rPr>
        <w:t>The carrying value and fair value of the Company’s long-term debt were $4.34 billion and $3.56 billion, respectvely, at September 30, 2023 and $5.04 billion and $4.36 billion, respectvely, at December 31, 2022. The estmated fair value of the Company’s publicly-registered long-term debt was estmated based on Level 1 of the fair value hierarchy using quoted market prices.</w:t>
      </w:r>
    </w:p>
    <w:p>
      <w:pPr>
        <w:spacing w:after="0" w:line="27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21" w:lineRule="exact"/>
        <w:rPr>
          <w:rFonts w:ascii="Arial" w:cs="Arial" w:eastAsia="Arial" w:hAnsi="Arial"/>
          <w:sz w:val="20"/>
          <w:szCs w:val="20"/>
          <w:b w:val="1"/>
          <w:bCs w:val="1"/>
          <w:color w:val="auto"/>
        </w:rPr>
      </w:pPr>
    </w:p>
    <w:p>
      <w:pPr>
        <w:jc w:val="both"/>
        <w:ind w:left="380"/>
        <w:spacing w:after="0" w:line="275" w:lineRule="auto"/>
        <w:rPr>
          <w:rFonts w:ascii="Arial" w:cs="Arial" w:eastAsia="Arial" w:hAnsi="Arial"/>
          <w:sz w:val="20"/>
          <w:szCs w:val="20"/>
          <w:b w:val="1"/>
          <w:bCs w:val="1"/>
          <w:color w:val="auto"/>
        </w:rPr>
      </w:pPr>
      <w:r>
        <w:rPr>
          <w:rFonts w:ascii="Arial" w:cs="Arial" w:eastAsia="Arial" w:hAnsi="Arial"/>
          <w:sz w:val="19"/>
          <w:szCs w:val="19"/>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20.6% and 22.1% for the nine months ended September 30, 2023 and 2022, respectvely. The higher 2022 efectve income tax rate versus 2023 was driven by the impact of the divestture of the Colorado and Central Texas ready mixed concrete businesses and associated nondeductble goodwill.</w:t>
      </w:r>
    </w:p>
    <w:p>
      <w:pPr>
        <w:spacing w:after="0" w:line="287" w:lineRule="exact"/>
        <w:rPr>
          <w:rFonts w:ascii="Arial" w:cs="Arial" w:eastAsia="Arial" w:hAnsi="Arial"/>
          <w:sz w:val="20"/>
          <w:szCs w:val="20"/>
          <w:b w:val="1"/>
          <w:bCs w:val="1"/>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Postretrement Benefts</w:t>
      </w:r>
    </w:p>
    <w:p>
      <w:pPr>
        <w:spacing w:after="0" w:line="12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net periodic beneft cost (credit) for pension and postretrement benefts includes the following components: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20"/>
                <w:szCs w:val="20"/>
                <w:color w:val="auto"/>
              </w:rPr>
              <w:t>Pension</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40" w:type="dxa"/>
            <w:vAlign w:val="bottom"/>
            <w:gridSpan w:val="5"/>
          </w:tcPr>
          <w:p>
            <w:pPr>
              <w:jc w:val="right"/>
              <w:ind w:right="840"/>
              <w:spacing w:after="0"/>
              <w:rPr>
                <w:sz w:val="20"/>
                <w:szCs w:val="20"/>
                <w:color w:val="auto"/>
              </w:rPr>
            </w:pPr>
            <w:r>
              <w:rPr>
                <w:rFonts w:ascii="Arial" w:cs="Arial" w:eastAsia="Arial" w:hAnsi="Arial"/>
                <w:sz w:val="20"/>
                <w:szCs w:val="20"/>
                <w:color w:val="auto"/>
              </w:rPr>
              <w:t>Postretrement Benefts</w:t>
            </w:r>
          </w:p>
        </w:tc>
      </w:tr>
      <w:tr>
        <w:trPr>
          <w:trHeight w:val="44"/>
        </w:trPr>
        <w:tc>
          <w:tcPr>
            <w:tcW w:w="40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4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20"/>
                <w:szCs w:val="20"/>
                <w:color w:val="auto"/>
                <w:w w:val="89"/>
              </w:rPr>
              <w:t>Three Months Ended September 30,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2022</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r>
      <w:tr>
        <w:trPr>
          <w:trHeight w:val="260"/>
        </w:trPr>
        <w:tc>
          <w:tcPr>
            <w:tcW w:w="4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80" w:type="dxa"/>
            <w:vAlign w:val="bottom"/>
          </w:tcPr>
          <w:p>
            <w:pPr>
              <w:jc w:val="right"/>
              <w:ind w:right="41"/>
              <w:spacing w:after="0" w:line="226" w:lineRule="exact"/>
              <w:rPr>
                <w:sz w:val="20"/>
                <w:szCs w:val="20"/>
                <w:color w:val="auto"/>
              </w:rPr>
            </w:pPr>
            <w:r>
              <w:rPr>
                <w:rFonts w:ascii="Arial" w:cs="Arial" w:eastAsia="Arial" w:hAnsi="Arial"/>
                <w:sz w:val="20"/>
                <w:szCs w:val="20"/>
                <w:i w:val="1"/>
                <w:iCs w:val="1"/>
                <w:color w:val="auto"/>
                <w:w w:val="76"/>
              </w:rPr>
              <w:t>in</w:t>
            </w:r>
          </w:p>
        </w:tc>
        <w:tc>
          <w:tcPr>
            <w:tcW w:w="154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Service cost</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w:t>
            </w:r>
          </w:p>
        </w:tc>
        <w:tc>
          <w:tcPr>
            <w:tcW w:w="280" w:type="dxa"/>
            <w:vAlign w:val="bottom"/>
            <w:shd w:val="clear" w:color="auto" w:fill="CFF0FC"/>
          </w:tcPr>
          <w:p>
            <w:pPr>
              <w:spacing w:after="0"/>
              <w:rPr>
                <w:sz w:val="24"/>
                <w:szCs w:val="2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12.8</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10.3</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0.1</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2"/>
                <w:szCs w:val="22"/>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Expected return on assets</w:t>
            </w:r>
          </w:p>
        </w:tc>
        <w:tc>
          <w:tcPr>
            <w:tcW w:w="34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(17.9 )</w:t>
            </w:r>
          </w:p>
        </w:tc>
        <w:tc>
          <w:tcPr>
            <w:tcW w:w="200" w:type="dxa"/>
            <w:vAlign w:val="bottom"/>
            <w:shd w:val="clear" w:color="auto" w:fill="CFF0FC"/>
          </w:tcPr>
          <w:p>
            <w:pPr>
              <w:spacing w:after="0"/>
              <w:rPr>
                <w:sz w:val="24"/>
                <w:szCs w:val="24"/>
                <w:color w:val="auto"/>
              </w:rPr>
            </w:pPr>
          </w:p>
        </w:tc>
        <w:tc>
          <w:tcPr>
            <w:tcW w:w="166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(19.3 )</w:t>
            </w:r>
          </w:p>
        </w:tc>
        <w:tc>
          <w:tcPr>
            <w:tcW w:w="34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Amortzaton of:</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0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Prior service cost (credit)</w:t>
            </w:r>
          </w:p>
        </w:tc>
        <w:tc>
          <w:tcPr>
            <w:tcW w:w="34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(0.1 )</w:t>
            </w:r>
          </w:p>
        </w:tc>
        <w:tc>
          <w:tcPr>
            <w:tcW w:w="34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(0.2 )</w:t>
            </w:r>
          </w:p>
        </w:tc>
      </w:tr>
      <w:tr>
        <w:trPr>
          <w:trHeight w:val="260"/>
        </w:trPr>
        <w:tc>
          <w:tcPr>
            <w:tcW w:w="4020" w:type="dxa"/>
            <w:vAlign w:val="bottom"/>
          </w:tcPr>
          <w:p>
            <w:pPr>
              <w:ind w:left="200"/>
              <w:spacing w:after="0"/>
              <w:rPr>
                <w:sz w:val="20"/>
                <w:szCs w:val="20"/>
                <w:color w:val="auto"/>
              </w:rPr>
            </w:pPr>
            <w:r>
              <w:rPr>
                <w:rFonts w:ascii="Arial" w:cs="Arial" w:eastAsia="Arial" w:hAnsi="Arial"/>
                <w:sz w:val="20"/>
                <w:szCs w:val="20"/>
                <w:color w:val="auto"/>
              </w:rPr>
              <w:t>Actuarial loss (gain)</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(0.1 )</w:t>
            </w:r>
          </w:p>
        </w:tc>
        <w:tc>
          <w:tcPr>
            <w:tcW w:w="340" w:type="dxa"/>
            <w:vAlign w:val="bottom"/>
          </w:tcPr>
          <w:p>
            <w:pPr>
              <w:spacing w:after="0"/>
              <w:rPr>
                <w:sz w:val="22"/>
                <w:szCs w:val="2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20"/>
                <w:szCs w:val="20"/>
                <w:color w:val="auto"/>
              </w:rPr>
              <w:t>(0.1 )</w:t>
            </w:r>
          </w:p>
        </w:tc>
      </w:tr>
      <w:tr>
        <w:trPr>
          <w:trHeight w:val="27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Setlement charge</w:t>
            </w:r>
          </w:p>
        </w:tc>
        <w:tc>
          <w:tcPr>
            <w:tcW w:w="34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8"/>
        </w:trPr>
        <w:tc>
          <w:tcPr>
            <w:tcW w:w="4020" w:type="dxa"/>
            <w:vAlign w:val="bottom"/>
          </w:tcPr>
          <w:p>
            <w:pPr>
              <w:ind w:left="20"/>
              <w:spacing w:after="0"/>
              <w:rPr>
                <w:sz w:val="20"/>
                <w:szCs w:val="20"/>
                <w:color w:val="auto"/>
              </w:rPr>
            </w:pPr>
            <w:r>
              <w:rPr>
                <w:rFonts w:ascii="Arial" w:cs="Arial" w:eastAsia="Arial" w:hAnsi="Arial"/>
                <w:sz w:val="20"/>
                <w:szCs w:val="20"/>
                <w:color w:val="auto"/>
              </w:rPr>
              <w:t>Net periodic beneft cost (credit)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4.8</w:t>
            </w:r>
          </w:p>
        </w:tc>
        <w:tc>
          <w:tcPr>
            <w:tcW w:w="300" w:type="dxa"/>
            <w:vAlign w:val="bottom"/>
          </w:tcPr>
          <w:p>
            <w:pPr>
              <w:spacing w:after="0"/>
              <w:rPr>
                <w:sz w:val="23"/>
                <w:szCs w:val="23"/>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9.8</w:t>
            </w:r>
          </w:p>
        </w:tc>
        <w:tc>
          <w:tcPr>
            <w:tcW w:w="28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(0.1 )</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20"/>
                <w:szCs w:val="20"/>
                <w:color w:val="auto"/>
              </w:rPr>
              <w:t>(0.2 )</w:t>
            </w:r>
          </w:p>
        </w:tc>
      </w:tr>
      <w:tr>
        <w:trPr>
          <w:trHeight w:val="20"/>
        </w:trPr>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1"/>
        </w:trPr>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20"/>
                <w:szCs w:val="20"/>
                <w:color w:val="auto"/>
              </w:rPr>
              <w:t>Pension</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gridSpan w:val="5"/>
          </w:tcPr>
          <w:p>
            <w:pPr>
              <w:jc w:val="right"/>
              <w:ind w:right="840"/>
              <w:spacing w:after="0"/>
              <w:rPr>
                <w:sz w:val="20"/>
                <w:szCs w:val="20"/>
                <w:color w:val="auto"/>
              </w:rPr>
            </w:pPr>
            <w:r>
              <w:rPr>
                <w:rFonts w:ascii="Arial" w:cs="Arial" w:eastAsia="Arial" w:hAnsi="Arial"/>
                <w:sz w:val="20"/>
                <w:szCs w:val="20"/>
                <w:color w:val="auto"/>
              </w:rPr>
              <w:t>Postretrement Benefts</w:t>
            </w:r>
          </w:p>
        </w:tc>
      </w:tr>
      <w:tr>
        <w:trPr>
          <w:trHeight w:val="44"/>
        </w:trPr>
        <w:tc>
          <w:tcPr>
            <w:tcW w:w="40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4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20"/>
                <w:szCs w:val="20"/>
                <w:color w:val="auto"/>
                <w:w w:val="91"/>
              </w:rPr>
              <w:t>Nine Months Ended September 30,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2022</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r>
      <w:tr>
        <w:trPr>
          <w:trHeight w:val="260"/>
        </w:trPr>
        <w:tc>
          <w:tcPr>
            <w:tcW w:w="4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80" w:type="dxa"/>
            <w:vAlign w:val="bottom"/>
          </w:tcPr>
          <w:p>
            <w:pPr>
              <w:jc w:val="right"/>
              <w:ind w:right="41"/>
              <w:spacing w:after="0" w:line="226" w:lineRule="exact"/>
              <w:rPr>
                <w:sz w:val="20"/>
                <w:szCs w:val="20"/>
                <w:color w:val="auto"/>
              </w:rPr>
            </w:pPr>
            <w:r>
              <w:rPr>
                <w:rFonts w:ascii="Arial" w:cs="Arial" w:eastAsia="Arial" w:hAnsi="Arial"/>
                <w:sz w:val="20"/>
                <w:szCs w:val="20"/>
                <w:i w:val="1"/>
                <w:iCs w:val="1"/>
                <w:color w:val="auto"/>
                <w:w w:val="76"/>
              </w:rPr>
              <w:t>in</w:t>
            </w:r>
          </w:p>
        </w:tc>
        <w:tc>
          <w:tcPr>
            <w:tcW w:w="154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Service cost</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24.6</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36.1</w:t>
            </w:r>
          </w:p>
        </w:tc>
        <w:tc>
          <w:tcPr>
            <w:tcW w:w="280" w:type="dxa"/>
            <w:vAlign w:val="bottom"/>
            <w:shd w:val="clear" w:color="auto" w:fill="CFF0FC"/>
          </w:tcPr>
          <w:p>
            <w:pPr>
              <w:spacing w:after="0"/>
              <w:rPr>
                <w:sz w:val="24"/>
                <w:szCs w:val="2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38.5</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30.9</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0.4</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22"/>
                <w:szCs w:val="22"/>
                <w:color w:val="auto"/>
              </w:rPr>
            </w:pPr>
          </w:p>
        </w:tc>
      </w:tr>
      <w:tr>
        <w:trPr>
          <w:trHeight w:val="280"/>
        </w:trPr>
        <w:tc>
          <w:tcPr>
            <w:tcW w:w="4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Expected return on assets</w:t>
            </w:r>
          </w:p>
        </w:tc>
        <w:tc>
          <w:tcPr>
            <w:tcW w:w="34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(53.6 )</w:t>
            </w:r>
          </w:p>
        </w:tc>
        <w:tc>
          <w:tcPr>
            <w:tcW w:w="200" w:type="dxa"/>
            <w:vAlign w:val="bottom"/>
            <w:shd w:val="clear" w:color="auto" w:fill="CFF0FC"/>
          </w:tcPr>
          <w:p>
            <w:pPr>
              <w:spacing w:after="0"/>
              <w:rPr>
                <w:sz w:val="24"/>
                <w:szCs w:val="24"/>
                <w:color w:val="auto"/>
              </w:rPr>
            </w:pPr>
          </w:p>
        </w:tc>
        <w:tc>
          <w:tcPr>
            <w:tcW w:w="166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(58.0 )</w:t>
            </w:r>
          </w:p>
        </w:tc>
        <w:tc>
          <w:tcPr>
            <w:tcW w:w="34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60"/>
        </w:trPr>
        <w:tc>
          <w:tcPr>
            <w:tcW w:w="4020" w:type="dxa"/>
            <w:vAlign w:val="bottom"/>
          </w:tcPr>
          <w:p>
            <w:pPr>
              <w:ind w:left="20"/>
              <w:spacing w:after="0"/>
              <w:rPr>
                <w:sz w:val="20"/>
                <w:szCs w:val="20"/>
                <w:color w:val="auto"/>
              </w:rPr>
            </w:pPr>
            <w:r>
              <w:rPr>
                <w:rFonts w:ascii="Arial" w:cs="Arial" w:eastAsia="Arial" w:hAnsi="Arial"/>
                <w:sz w:val="20"/>
                <w:szCs w:val="20"/>
                <w:color w:val="auto"/>
              </w:rPr>
              <w:t>Amortzaton of:</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0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Prior service cost (credit)</w:t>
            </w:r>
          </w:p>
        </w:tc>
        <w:tc>
          <w:tcPr>
            <w:tcW w:w="34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2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(0.2 )</w:t>
            </w:r>
          </w:p>
        </w:tc>
        <w:tc>
          <w:tcPr>
            <w:tcW w:w="34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(0.5 )</w:t>
            </w:r>
          </w:p>
        </w:tc>
      </w:tr>
      <w:tr>
        <w:trPr>
          <w:trHeight w:val="260"/>
        </w:trPr>
        <w:tc>
          <w:tcPr>
            <w:tcW w:w="4020" w:type="dxa"/>
            <w:vAlign w:val="bottom"/>
          </w:tcPr>
          <w:p>
            <w:pPr>
              <w:ind w:left="200"/>
              <w:spacing w:after="0"/>
              <w:rPr>
                <w:sz w:val="20"/>
                <w:szCs w:val="20"/>
                <w:color w:val="auto"/>
              </w:rPr>
            </w:pPr>
            <w:r>
              <w:rPr>
                <w:rFonts w:ascii="Arial" w:cs="Arial" w:eastAsia="Arial" w:hAnsi="Arial"/>
                <w:sz w:val="20"/>
                <w:szCs w:val="20"/>
                <w:color w:val="auto"/>
              </w:rPr>
              <w:t>Actuarial loss (gain)</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0.5</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(0.5 )</w:t>
            </w:r>
          </w:p>
        </w:tc>
        <w:tc>
          <w:tcPr>
            <w:tcW w:w="340" w:type="dxa"/>
            <w:vAlign w:val="bottom"/>
          </w:tcPr>
          <w:p>
            <w:pPr>
              <w:spacing w:after="0"/>
              <w:rPr>
                <w:sz w:val="22"/>
                <w:szCs w:val="2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20"/>
                <w:szCs w:val="20"/>
                <w:color w:val="auto"/>
              </w:rPr>
              <w:t>(0.2 )</w:t>
            </w:r>
          </w:p>
        </w:tc>
      </w:tr>
      <w:tr>
        <w:trPr>
          <w:trHeight w:val="27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Setlement charge</w:t>
            </w:r>
          </w:p>
        </w:tc>
        <w:tc>
          <w:tcPr>
            <w:tcW w:w="34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8"/>
        </w:trPr>
        <w:tc>
          <w:tcPr>
            <w:tcW w:w="4020" w:type="dxa"/>
            <w:vAlign w:val="bottom"/>
          </w:tcPr>
          <w:p>
            <w:pPr>
              <w:ind w:left="20"/>
              <w:spacing w:after="0"/>
              <w:rPr>
                <w:sz w:val="20"/>
                <w:szCs w:val="20"/>
                <w:color w:val="auto"/>
              </w:rPr>
            </w:pPr>
            <w:r>
              <w:rPr>
                <w:rFonts w:ascii="Arial" w:cs="Arial" w:eastAsia="Arial" w:hAnsi="Arial"/>
                <w:sz w:val="20"/>
                <w:szCs w:val="20"/>
                <w:color w:val="auto"/>
              </w:rPr>
              <w:t>Net periodic beneft cost (credit)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14.4</w:t>
            </w:r>
          </w:p>
        </w:tc>
        <w:tc>
          <w:tcPr>
            <w:tcW w:w="300" w:type="dxa"/>
            <w:vAlign w:val="bottom"/>
          </w:tcPr>
          <w:p>
            <w:pPr>
              <w:spacing w:after="0"/>
              <w:rPr>
                <w:sz w:val="23"/>
                <w:szCs w:val="23"/>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20.2</w:t>
            </w:r>
          </w:p>
        </w:tc>
        <w:tc>
          <w:tcPr>
            <w:tcW w:w="28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(0.3 )</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20"/>
                <w:szCs w:val="20"/>
                <w:color w:val="auto"/>
              </w:rPr>
              <w:t>(0.5 )</w:t>
            </w:r>
          </w:p>
        </w:tc>
      </w:tr>
      <w:tr>
        <w:trPr>
          <w:trHeight w:val="20"/>
        </w:trPr>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-2476500</wp:posOffset>
            </wp:positionV>
            <wp:extent cx="7683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-2476500</wp:posOffset>
            </wp:positionV>
            <wp:extent cx="77470"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-2476500</wp:posOffset>
            </wp:positionV>
            <wp:extent cx="6858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-205105</wp:posOffset>
            </wp:positionV>
            <wp:extent cx="76835"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-205105</wp:posOffset>
            </wp:positionV>
            <wp:extent cx="7747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-205105</wp:posOffset>
            </wp:positionV>
            <wp:extent cx="6858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70"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 xml:space="preserve">The components of net periodic beneft cost (credit), other than service cost, are included in the line item </w:t>
      </w:r>
      <w:r>
        <w:rPr>
          <w:rFonts w:ascii="Arial" w:cs="Arial" w:eastAsia="Arial" w:hAnsi="Arial"/>
          <w:sz w:val="20"/>
          <w:szCs w:val="20"/>
          <w:i w:val="1"/>
          <w:iCs w:val="1"/>
          <w:color w:val="auto"/>
        </w:rPr>
        <w:t>Other nonoperatng income,</w:t>
      </w:r>
      <w:r>
        <w:rPr>
          <w:rFonts w:ascii="Arial" w:cs="Arial" w:eastAsia="Arial" w:hAnsi="Arial"/>
          <w:sz w:val="20"/>
          <w:szCs w:val="20"/>
          <w:color w:val="auto"/>
        </w:rPr>
        <w:t xml:space="preserve"> </w:t>
      </w:r>
      <w:r>
        <w:rPr>
          <w:rFonts w:ascii="Arial" w:cs="Arial" w:eastAsia="Arial" w:hAnsi="Arial"/>
          <w:sz w:val="20"/>
          <w:szCs w:val="20"/>
          <w:i w:val="1"/>
          <w:iCs w:val="1"/>
          <w:color w:val="auto"/>
        </w:rPr>
        <w:t>net</w:t>
      </w:r>
      <w:r>
        <w:rPr>
          <w:rFonts w:ascii="Arial" w:cs="Arial" w:eastAsia="Arial" w:hAnsi="Arial"/>
          <w:sz w:val="20"/>
          <w:szCs w:val="20"/>
          <w:color w:val="auto"/>
        </w:rPr>
        <w:t>, in the consolidated statements of earnings and comprehensive earnings. Based on the roles of the employees, service cost is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included in the </w:t>
      </w:r>
      <w:r>
        <w:rPr>
          <w:rFonts w:ascii="Arial" w:cs="Arial" w:eastAsia="Arial" w:hAnsi="Arial"/>
          <w:sz w:val="20"/>
          <w:szCs w:val="20"/>
          <w:i w:val="1"/>
          <w:iCs w:val="1"/>
          <w:color w:val="auto"/>
        </w:rPr>
        <w:t>Cost of revenues</w:t>
      </w:r>
      <w:r>
        <w:rPr>
          <w:rFonts w:ascii="Arial" w:cs="Arial" w:eastAsia="Arial" w:hAnsi="Arial"/>
          <w:sz w:val="20"/>
          <w:szCs w:val="20"/>
          <w:color w:val="auto"/>
        </w:rPr>
        <w:t xml:space="preserve"> or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administratve expenses</w:t>
      </w:r>
      <w:r>
        <w:rPr>
          <w:rFonts w:ascii="Arial" w:cs="Arial" w:eastAsia="Arial" w:hAnsi="Arial"/>
          <w:sz w:val="20"/>
          <w:szCs w:val="20"/>
          <w:color w:val="auto"/>
        </w:rPr>
        <w:t xml:space="preserve"> line items in the consolidated statements of earnings and comprehensive earnings.</w:t>
      </w:r>
    </w:p>
    <w:p>
      <w:pPr>
        <w:spacing w:after="0" w:line="299" w:lineRule="exact"/>
        <w:rPr>
          <w:sz w:val="20"/>
          <w:szCs w:val="20"/>
          <w:color w:val="auto"/>
        </w:rPr>
      </w:pPr>
    </w:p>
    <w:p>
      <w:pPr>
        <w:ind w:left="380" w:right="7800" w:hanging="372"/>
        <w:spacing w:after="0" w:line="457" w:lineRule="auto"/>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Contngencies Legal and Administratve Proceedings</w:t>
      </w:r>
    </w:p>
    <w:p>
      <w:pPr>
        <w:spacing w:after="0" w:line="1" w:lineRule="exact"/>
        <w:rPr>
          <w:rFonts w:ascii="Arial" w:cs="Arial" w:eastAsia="Arial" w:hAnsi="Arial"/>
          <w:sz w:val="16"/>
          <w:szCs w:val="16"/>
          <w:b w:val="1"/>
          <w:bCs w:val="1"/>
          <w:color w:val="auto"/>
        </w:rPr>
      </w:pPr>
    </w:p>
    <w:p>
      <w:pPr>
        <w:jc w:val="both"/>
        <w:ind w:left="380"/>
        <w:spacing w:after="0" w:line="271" w:lineRule="auto"/>
        <w:rPr>
          <w:rFonts w:ascii="Arial" w:cs="Arial" w:eastAsia="Arial" w:hAnsi="Arial"/>
          <w:sz w:val="16"/>
          <w:szCs w:val="16"/>
          <w:b w:val="1"/>
          <w:bCs w:val="1"/>
          <w:color w:val="auto"/>
        </w:rPr>
      </w:pPr>
      <w:r>
        <w:rPr>
          <w:rFonts w:ascii="Arial" w:cs="Arial" w:eastAsia="Arial" w:hAnsi="Arial"/>
          <w:sz w:val="19"/>
          <w:szCs w:val="19"/>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 as a whole, based on currently available facts.</w:t>
      </w:r>
    </w:p>
    <w:p>
      <w:pPr>
        <w:spacing w:after="0" w:line="182"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Leters of Credit</w:t>
      </w:r>
    </w:p>
    <w:p>
      <w:pPr>
        <w:spacing w:after="0" w:line="121" w:lineRule="exact"/>
        <w:rPr>
          <w:rFonts w:ascii="Arial" w:cs="Arial" w:eastAsia="Arial" w:hAnsi="Arial"/>
          <w:sz w:val="16"/>
          <w:szCs w:val="16"/>
          <w:b w:val="1"/>
          <w:bCs w:val="1"/>
          <w:color w:val="auto"/>
        </w:rPr>
      </w:pPr>
    </w:p>
    <w:p>
      <w:pPr>
        <w:jc w:val="both"/>
        <w:ind w:left="380"/>
        <w:spacing w:after="0" w:line="264" w:lineRule="auto"/>
        <w:rPr>
          <w:rFonts w:ascii="Arial" w:cs="Arial" w:eastAsia="Arial" w:hAnsi="Arial"/>
          <w:sz w:val="16"/>
          <w:szCs w:val="16"/>
          <w:b w:val="1"/>
          <w:bCs w:val="1"/>
          <w:color w:val="auto"/>
        </w:rPr>
      </w:pPr>
      <w:r>
        <w:rPr>
          <w:rFonts w:ascii="Arial" w:cs="Arial" w:eastAsia="Arial" w:hAnsi="Arial"/>
          <w:sz w:val="20"/>
          <w:szCs w:val="20"/>
          <w:color w:val="auto"/>
        </w:rPr>
        <w:t>In the normal course of business, the Company provides certain third partes with standby leter of credit agreements guaranteeing its payment for certain insurance claims, contract performance and permit requirements. At September 30, 2023, the Company was contngently liable for $24.8 million in leters of credit.</w:t>
      </w:r>
    </w:p>
    <w:p>
      <w:pPr>
        <w:spacing w:after="0" w:line="186"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Borrowing Arrangements with Afliate</w:t>
      </w:r>
    </w:p>
    <w:p>
      <w:pPr>
        <w:spacing w:after="0" w:line="121" w:lineRule="exact"/>
        <w:rPr>
          <w:rFonts w:ascii="Arial" w:cs="Arial" w:eastAsia="Arial" w:hAnsi="Arial"/>
          <w:sz w:val="16"/>
          <w:szCs w:val="16"/>
          <w:b w:val="1"/>
          <w:bCs w:val="1"/>
          <w:color w:val="auto"/>
        </w:rPr>
      </w:pPr>
    </w:p>
    <w:p>
      <w:pPr>
        <w:jc w:val="both"/>
        <w:ind w:left="380"/>
        <w:spacing w:after="0" w:line="258" w:lineRule="auto"/>
        <w:rPr>
          <w:rFonts w:ascii="Arial" w:cs="Arial" w:eastAsia="Arial" w:hAnsi="Arial"/>
          <w:sz w:val="16"/>
          <w:szCs w:val="16"/>
          <w:b w:val="1"/>
          <w:bCs w:val="1"/>
          <w:color w:val="auto"/>
        </w:rPr>
      </w:pPr>
      <w:r>
        <w:rPr>
          <w:rFonts w:ascii="Arial" w:cs="Arial" w:eastAsia="Arial" w:hAnsi="Arial"/>
          <w:sz w:val="20"/>
          <w:szCs w:val="20"/>
          <w:color w:val="auto"/>
        </w:rPr>
        <w:t>The Company is a guarantor of an unconsolidated afliate's $15.0 million revolving line of credit agreement with Truist Bank that has a maturity date of March 2024. There were no borrowings outstanding on the line of credit at September 30, 2023. The afliate has agreed to reimburse and indemnify the Company for any payments and expenses the Company may incur from this agreement. The Company holds a lien on the afliate’s membership interest in a joint venture as collateral for payment under the revolving line of credit.</w:t>
      </w:r>
    </w:p>
    <w:p>
      <w:pPr>
        <w:spacing w:after="0" w:line="86" w:lineRule="exact"/>
        <w:rPr>
          <w:rFonts w:ascii="Arial" w:cs="Arial" w:eastAsia="Arial" w:hAnsi="Arial"/>
          <w:sz w:val="16"/>
          <w:szCs w:val="16"/>
          <w:b w:val="1"/>
          <w:bCs w:val="1"/>
          <w:color w:val="auto"/>
        </w:rPr>
      </w:pPr>
    </w:p>
    <w:p>
      <w:pPr>
        <w:ind w:left="380" w:right="20"/>
        <w:spacing w:after="0" w:line="274" w:lineRule="auto"/>
        <w:rPr>
          <w:rFonts w:ascii="Arial" w:cs="Arial" w:eastAsia="Arial" w:hAnsi="Arial"/>
          <w:sz w:val="16"/>
          <w:szCs w:val="16"/>
          <w:b w:val="1"/>
          <w:bCs w:val="1"/>
          <w:color w:val="auto"/>
        </w:rPr>
      </w:pPr>
      <w:r>
        <w:rPr>
          <w:rFonts w:ascii="Arial" w:cs="Arial" w:eastAsia="Arial" w:hAnsi="Arial"/>
          <w:sz w:val="20"/>
          <w:szCs w:val="20"/>
          <w:color w:val="auto"/>
        </w:rPr>
        <w:t>In additon, the Company has a $6.0 million interest-only note receivable, due December 31, 2024, outstanding from this unconsolidated afliate at September 30, 2023 and December 31, 2022.</w:t>
      </w:r>
    </w:p>
    <w:p>
      <w:pPr>
        <w:spacing w:after="0" w:line="284" w:lineRule="exact"/>
        <w:rPr>
          <w:rFonts w:ascii="Arial" w:cs="Arial" w:eastAsia="Arial" w:hAnsi="Arial"/>
          <w:sz w:val="16"/>
          <w:szCs w:val="16"/>
          <w:b w:val="1"/>
          <w:bCs w:val="1"/>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Segments</w:t>
      </w:r>
    </w:p>
    <w:p>
      <w:pPr>
        <w:spacing w:after="0" w:line="121" w:lineRule="exact"/>
        <w:rPr>
          <w:rFonts w:ascii="Arial" w:cs="Arial" w:eastAsia="Arial" w:hAnsi="Arial"/>
          <w:sz w:val="20"/>
          <w:szCs w:val="20"/>
          <w:b w:val="1"/>
          <w:bCs w:val="1"/>
          <w:color w:val="auto"/>
        </w:rPr>
      </w:pPr>
    </w:p>
    <w:p>
      <w:pPr>
        <w:jc w:val="both"/>
        <w:ind w:left="380"/>
        <w:spacing w:after="0" w:line="283" w:lineRule="auto"/>
        <w:rPr>
          <w:rFonts w:ascii="Arial" w:cs="Arial" w:eastAsia="Arial" w:hAnsi="Arial"/>
          <w:sz w:val="20"/>
          <w:szCs w:val="20"/>
          <w:b w:val="1"/>
          <w:bCs w:val="1"/>
          <w:color w:val="auto"/>
        </w:rPr>
      </w:pPr>
      <w:r>
        <w:rPr>
          <w:rFonts w:ascii="Arial" w:cs="Arial" w:eastAsia="Arial" w:hAnsi="Arial"/>
          <w:sz w:val="18"/>
          <w:szCs w:val="18"/>
          <w:color w:val="auto"/>
        </w:rPr>
        <w:t>The Building Materials business contains two reportable segments: the East Group and the West Group. The Company also has a Magnesia Specialtes reportable segment. The Company’s evaluaton of performance and allocaton of resources are based primarily on earnings from operatons. Segment earnings from operatons include total revenues less cost of revenues; selling, general and administratve expenses; other operatng income and expenses, net; and exclude interest expense; other nonoperatng income and expenses, net; and income tax expense. Corporate loss from operatons primarily includes depreciaton; expenses for corporate</w:t>
      </w:r>
    </w:p>
    <w:p>
      <w:pPr>
        <w:spacing w:after="0" w:line="2" w:lineRule="exact"/>
        <w:rPr>
          <w:sz w:val="20"/>
          <w:szCs w:val="20"/>
          <w:color w:val="auto"/>
        </w:rPr>
      </w:pPr>
    </w:p>
    <w:p>
      <w:pPr>
        <w:ind w:left="380" w:right="20"/>
        <w:spacing w:after="0" w:line="253" w:lineRule="auto"/>
        <w:rPr>
          <w:sz w:val="20"/>
          <w:szCs w:val="20"/>
          <w:color w:val="auto"/>
        </w:rPr>
      </w:pPr>
      <w:r>
        <w:rPr>
          <w:rFonts w:ascii="Arial" w:cs="Arial" w:eastAsia="Arial" w:hAnsi="Arial"/>
          <w:sz w:val="20"/>
          <w:szCs w:val="20"/>
          <w:color w:val="auto"/>
        </w:rPr>
        <w:t>administratve functons; acquisiton and integraton expenses; and other nonrecurring income and expenses not atributable to operatons of the Company's operatng segments.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The following table displays selected fnancial data for the Company’s reportable segments. Total revenues, as presented on the consolidated statements of earnings and comprehensive earnings, refect the eliminaton of intersegment revenues, which represent sales from one segment to another segment. Total revenues and earnings (loss) from operatons refect contnuing operatons only. For the nine months ended September 30, 2022, earnings from operatons for the West Group included a nonrecurring gain on divested assets of $151.9 million.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right"/>
              <w:ind w:right="981"/>
              <w:spacing w:after="0"/>
              <w:rPr>
                <w:sz w:val="20"/>
                <w:szCs w:val="20"/>
                <w:color w:val="auto"/>
              </w:rPr>
            </w:pPr>
            <w:r>
              <w:rPr>
                <w:rFonts w:ascii="Arial" w:cs="Arial" w:eastAsia="Arial" w:hAnsi="Arial"/>
                <w:sz w:val="20"/>
                <w:szCs w:val="20"/>
                <w:color w:val="auto"/>
              </w:rPr>
              <w:t>Three Months Ended</w:t>
            </w:r>
          </w:p>
        </w:tc>
        <w:tc>
          <w:tcPr>
            <w:tcW w:w="340" w:type="dxa"/>
            <w:vAlign w:val="bottom"/>
          </w:tcPr>
          <w:p>
            <w:pPr>
              <w:spacing w:after="0"/>
              <w:rPr>
                <w:sz w:val="21"/>
                <w:szCs w:val="21"/>
                <w:color w:val="auto"/>
              </w:rPr>
            </w:pPr>
          </w:p>
        </w:tc>
        <w:tc>
          <w:tcPr>
            <w:tcW w:w="3040" w:type="dxa"/>
            <w:vAlign w:val="bottom"/>
            <w:gridSpan w:val="5"/>
          </w:tcPr>
          <w:p>
            <w:pPr>
              <w:jc w:val="right"/>
              <w:ind w:right="94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6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4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w w:val="98"/>
              </w:rPr>
              <w:t>2022</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w w:val="94"/>
              </w:rPr>
              <w:t>2022</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6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w w:val="76"/>
              </w:rPr>
              <w:t>in</w:t>
            </w:r>
          </w:p>
        </w:tc>
        <w:tc>
          <w:tcPr>
            <w:tcW w:w="15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8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Pr>
          <w:p>
            <w:pPr>
              <w:ind w:left="120"/>
              <w:spacing w:after="0"/>
              <w:rPr>
                <w:sz w:val="20"/>
                <w:szCs w:val="20"/>
                <w:color w:val="auto"/>
              </w:rPr>
            </w:pPr>
            <w:r>
              <w:rPr>
                <w:rFonts w:ascii="Arial" w:cs="Arial" w:eastAsia="Arial" w:hAnsi="Arial"/>
                <w:sz w:val="20"/>
                <w:szCs w:val="20"/>
                <w:color w:val="auto"/>
              </w:rPr>
              <w:t>East Group</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814.3</w:t>
            </w:r>
          </w:p>
        </w:tc>
        <w:tc>
          <w:tcPr>
            <w:tcW w:w="300" w:type="dxa"/>
            <w:vAlign w:val="bottom"/>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773.6</w:t>
            </w:r>
          </w:p>
        </w:tc>
        <w:tc>
          <w:tcPr>
            <w:tcW w:w="26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2,079.0</w:t>
            </w:r>
          </w:p>
        </w:tc>
        <w:tc>
          <w:tcPr>
            <w:tcW w:w="280" w:type="dxa"/>
            <w:vAlign w:val="bottom"/>
          </w:tcPr>
          <w:p>
            <w:pPr>
              <w:spacing w:after="0"/>
              <w:rPr>
                <w:sz w:val="22"/>
                <w:szCs w:val="22"/>
                <w:color w:val="auto"/>
              </w:rPr>
            </w:pPr>
          </w:p>
        </w:tc>
        <w:tc>
          <w:tcPr>
            <w:tcW w:w="500" w:type="dxa"/>
            <w:vAlign w:val="bottom"/>
          </w:tcPr>
          <w:p>
            <w:pPr>
              <w:jc w:val="right"/>
              <w:ind w:right="30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1,866.9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1,104.3</w:t>
            </w:r>
          </w:p>
        </w:tc>
        <w:tc>
          <w:tcPr>
            <w:tcW w:w="3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962.4</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2,850.6</w:t>
            </w:r>
          </w:p>
        </w:tc>
        <w:tc>
          <w:tcPr>
            <w:tcW w:w="2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2,582.9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80" w:type="dxa"/>
            <w:vAlign w:val="bottom"/>
          </w:tcPr>
          <w:p>
            <w:pPr>
              <w:ind w:left="20"/>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1,918.6</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1,736.0</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4,929.6</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4,449.8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Magnesia Specialtes</w:t>
            </w:r>
          </w:p>
        </w:tc>
        <w:tc>
          <w:tcPr>
            <w:tcW w:w="34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75.5</w:t>
            </w:r>
          </w:p>
        </w:tc>
        <w:tc>
          <w:tcPr>
            <w:tcW w:w="3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75.7</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239.4</w:t>
            </w:r>
          </w:p>
        </w:tc>
        <w:tc>
          <w:tcPr>
            <w:tcW w:w="2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234.4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280" w:type="dxa"/>
            <w:vAlign w:val="bottom"/>
          </w:tcPr>
          <w:p>
            <w:pPr>
              <w:ind w:left="2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1,994.1</w:t>
            </w:r>
          </w:p>
        </w:tc>
        <w:tc>
          <w:tcPr>
            <w:tcW w:w="300" w:type="dxa"/>
            <w:vAlign w:val="bottom"/>
          </w:tcPr>
          <w:p>
            <w:pPr>
              <w:spacing w:after="0"/>
              <w:rPr>
                <w:sz w:val="23"/>
                <w:szCs w:val="23"/>
                <w:color w:val="auto"/>
              </w:rPr>
            </w:pP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1,811.7</w:t>
            </w:r>
          </w:p>
        </w:tc>
        <w:tc>
          <w:tcPr>
            <w:tcW w:w="260" w:type="dxa"/>
            <w:vAlign w:val="bottom"/>
          </w:tcPr>
          <w:p>
            <w:pPr>
              <w:spacing w:after="0"/>
              <w:rPr>
                <w:sz w:val="23"/>
                <w:szCs w:val="2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5,169.0</w:t>
            </w:r>
          </w:p>
        </w:tc>
        <w:tc>
          <w:tcPr>
            <w:tcW w:w="280" w:type="dxa"/>
            <w:vAlign w:val="bottom"/>
          </w:tcPr>
          <w:p>
            <w:pPr>
              <w:spacing w:after="0"/>
              <w:rPr>
                <w:sz w:val="23"/>
                <w:szCs w:val="23"/>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4,684.2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280" w:type="dxa"/>
            <w:vAlign w:val="bottom"/>
          </w:tcPr>
          <w:p>
            <w:pPr>
              <w:ind w:left="20"/>
              <w:spacing w:after="0"/>
              <w:rPr>
                <w:sz w:val="20"/>
                <w:szCs w:val="20"/>
                <w:color w:val="auto"/>
              </w:rPr>
            </w:pPr>
            <w:r>
              <w:rPr>
                <w:rFonts w:ascii="Arial" w:cs="Arial" w:eastAsia="Arial" w:hAnsi="Arial"/>
                <w:sz w:val="20"/>
                <w:szCs w:val="20"/>
                <w:b w:val="1"/>
                <w:bCs w:val="1"/>
                <w:color w:val="auto"/>
              </w:rPr>
              <w:t>Earnings (Loss) from operatons: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East Group</w:t>
            </w: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295.2</w:t>
            </w:r>
          </w:p>
        </w:tc>
        <w:tc>
          <w:tcPr>
            <w:tcW w:w="30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239.4</w:t>
            </w:r>
          </w:p>
        </w:tc>
        <w:tc>
          <w:tcPr>
            <w:tcW w:w="260" w:type="dxa"/>
            <w:vAlign w:val="bottom"/>
            <w:shd w:val="clear" w:color="auto" w:fill="CFF0FC"/>
          </w:tcPr>
          <w:p>
            <w:pPr>
              <w:spacing w:after="0"/>
              <w:rPr>
                <w:sz w:val="24"/>
                <w:szCs w:val="2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631.6</w:t>
            </w:r>
          </w:p>
        </w:tc>
        <w:tc>
          <w:tcPr>
            <w:tcW w:w="28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478.0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120"/>
              <w:spacing w:after="0"/>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283.0</w:t>
            </w:r>
          </w:p>
        </w:tc>
        <w:tc>
          <w:tcPr>
            <w:tcW w:w="3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159.7</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617.3</w:t>
            </w:r>
          </w:p>
        </w:tc>
        <w:tc>
          <w:tcPr>
            <w:tcW w:w="2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578.2</w:t>
            </w:r>
          </w:p>
        </w:tc>
        <w:tc>
          <w:tcPr>
            <w:tcW w:w="30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399.1</w:t>
            </w:r>
          </w:p>
        </w:tc>
        <w:tc>
          <w:tcPr>
            <w:tcW w:w="2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1,248.9</w:t>
            </w:r>
          </w:p>
        </w:tc>
        <w:tc>
          <w:tcPr>
            <w:tcW w:w="28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955.2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w:t>
            </w:r>
          </w:p>
        </w:tc>
        <w:tc>
          <w:tcPr>
            <w:tcW w:w="3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60.8</w:t>
            </w:r>
          </w:p>
        </w:tc>
        <w:tc>
          <w:tcPr>
            <w:tcW w:w="2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 reportable segments</w:t>
            </w:r>
          </w:p>
        </w:tc>
        <w:tc>
          <w:tcPr>
            <w:tcW w:w="3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595.1</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415.6</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1,309.7</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1,013.6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Arial" w:cs="Arial" w:eastAsia="Arial" w:hAnsi="Arial"/>
                <w:sz w:val="20"/>
                <w:szCs w:val="20"/>
                <w:color w:val="auto"/>
              </w:rPr>
              <w:t>Corporate</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20"/>
                <w:szCs w:val="20"/>
                <w:color w:val="auto"/>
              </w:rPr>
              <w:t>(28.5 )</w:t>
            </w:r>
          </w:p>
        </w:tc>
        <w:tc>
          <w:tcPr>
            <w:tcW w:w="480" w:type="dxa"/>
            <w:vAlign w:val="bottom"/>
          </w:tcPr>
          <w:p>
            <w:pPr>
              <w:spacing w:after="0"/>
              <w:rPr>
                <w:sz w:val="22"/>
                <w:szCs w:val="22"/>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20"/>
                <w:szCs w:val="20"/>
                <w:color w:val="auto"/>
              </w:rPr>
              <w:t>(9.7 )</w:t>
            </w:r>
          </w:p>
        </w:tc>
        <w:tc>
          <w:tcPr>
            <w:tcW w:w="3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(83.8 )</w:t>
            </w:r>
          </w:p>
        </w:tc>
        <w:tc>
          <w:tcPr>
            <w:tcW w:w="50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(69.2 )</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Consolidated earnings from operatons</w:t>
            </w: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566.6</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405.9</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1,225.9</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top w:val="single" w:sz="8" w:color="auto"/>
              <w:bottom w:val="single" w:sz="8" w:color="auto"/>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944.4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80" w:type="dxa"/>
            <w:vAlign w:val="bottom"/>
          </w:tcPr>
          <w:p>
            <w:pPr>
              <w:ind w:left="120"/>
              <w:spacing w:after="0"/>
              <w:rPr>
                <w:sz w:val="20"/>
                <w:szCs w:val="20"/>
                <w:color w:val="auto"/>
              </w:rPr>
            </w:pPr>
            <w:r>
              <w:rPr>
                <w:rFonts w:ascii="Arial" w:cs="Arial" w:eastAsia="Arial" w:hAnsi="Arial"/>
                <w:sz w:val="20"/>
                <w:szCs w:val="20"/>
                <w:color w:val="auto"/>
              </w:rPr>
              <w:t>Interest expense</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40.8</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42.8</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125.1</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Other nonoperatng income, net</w:t>
            </w:r>
          </w:p>
        </w:tc>
        <w:tc>
          <w:tcPr>
            <w:tcW w:w="340" w:type="dxa"/>
            <w:vAlign w:val="bottom"/>
            <w:shd w:val="clear" w:color="auto" w:fill="CFF0FC"/>
          </w:tcPr>
          <w:p>
            <w:pPr>
              <w:spacing w:after="0"/>
              <w:rPr>
                <w:sz w:val="23"/>
                <w:szCs w:val="2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(14.3 )</w:t>
            </w:r>
          </w:p>
        </w:tc>
        <w:tc>
          <w:tcPr>
            <w:tcW w:w="48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(7.3 )</w:t>
            </w:r>
          </w:p>
        </w:tc>
        <w:tc>
          <w:tcPr>
            <w:tcW w:w="340" w:type="dxa"/>
            <w:vAlign w:val="bottom"/>
            <w:shd w:val="clear" w:color="auto" w:fill="CFF0FC"/>
          </w:tcPr>
          <w:p>
            <w:pPr>
              <w:spacing w:after="0"/>
              <w:rPr>
                <w:sz w:val="23"/>
                <w:szCs w:val="23"/>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(49.2 )</w:t>
            </w:r>
          </w:p>
        </w:tc>
        <w:tc>
          <w:tcPr>
            <w:tcW w:w="5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(40.1 )</w:t>
            </w:r>
          </w:p>
        </w:tc>
        <w:tc>
          <w:tcPr>
            <w:tcW w:w="0" w:type="dxa"/>
            <w:vAlign w:val="bottom"/>
          </w:tcPr>
          <w:p>
            <w:pPr>
              <w:spacing w:after="0"/>
              <w:rPr>
                <w:sz w:val="1"/>
                <w:szCs w:val="1"/>
                <w:color w:val="auto"/>
              </w:rPr>
            </w:pPr>
          </w:p>
        </w:tc>
      </w:tr>
      <w:tr>
        <w:trPr>
          <w:trHeight w:val="218"/>
        </w:trPr>
        <w:tc>
          <w:tcPr>
            <w:tcW w:w="4280" w:type="dxa"/>
            <w:vAlign w:val="bottom"/>
            <w:tcBorders>
              <w:top w:val="single" w:sz="8" w:color="CFF0FC"/>
            </w:tcBorders>
          </w:tcPr>
          <w:p>
            <w:pPr>
              <w:ind w:left="20"/>
              <w:spacing w:after="0" w:line="218" w:lineRule="exact"/>
              <w:rPr>
                <w:sz w:val="20"/>
                <w:szCs w:val="20"/>
                <w:color w:val="auto"/>
              </w:rPr>
            </w:pPr>
            <w:r>
              <w:rPr>
                <w:rFonts w:ascii="Arial" w:cs="Arial" w:eastAsia="Arial" w:hAnsi="Arial"/>
                <w:sz w:val="20"/>
                <w:szCs w:val="20"/>
                <w:color w:val="auto"/>
              </w:rPr>
              <w:t>Consolidated earnings from contnuing</w:t>
            </w:r>
          </w:p>
        </w:tc>
        <w:tc>
          <w:tcPr>
            <w:tcW w:w="340" w:type="dxa"/>
            <w:vAlign w:val="bottom"/>
            <w:tcBorders>
              <w:top w:val="single" w:sz="8" w:color="auto"/>
            </w:tcBorders>
            <w:vMerge w:val="restart"/>
          </w:tcPr>
          <w:p>
            <w:pPr>
              <w:jc w:val="right"/>
              <w:ind w:right="1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540.1</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vMerge w:val="restart"/>
          </w:tcPr>
          <w:p>
            <w:pPr>
              <w:jc w:val="right"/>
              <w:ind w:right="26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370.4</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1,150.0</w:t>
            </w: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vMerge w:val="restart"/>
          </w:tcPr>
          <w:p>
            <w:pPr>
              <w:jc w:val="right"/>
              <w:ind w:right="30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858.1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80" w:type="dxa"/>
            <w:vAlign w:val="bottom"/>
          </w:tcPr>
          <w:p>
            <w:pPr>
              <w:ind w:left="160"/>
              <w:spacing w:after="0"/>
              <w:rPr>
                <w:sz w:val="20"/>
                <w:szCs w:val="20"/>
                <w:color w:val="auto"/>
              </w:rPr>
            </w:pPr>
            <w:r>
              <w:rPr>
                <w:rFonts w:ascii="Arial" w:cs="Arial" w:eastAsia="Arial" w:hAnsi="Arial"/>
                <w:sz w:val="20"/>
                <w:szCs w:val="20"/>
                <w:color w:val="auto"/>
              </w:rPr>
              <w:t>operatons before income tax expense</w:t>
            </w:r>
          </w:p>
        </w:tc>
        <w:tc>
          <w:tcPr>
            <w:tcW w:w="34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-2819400</wp:posOffset>
            </wp:positionV>
            <wp:extent cx="7683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-2819400</wp:posOffset>
            </wp:positionV>
            <wp:extent cx="6858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-2819400</wp:posOffset>
            </wp:positionV>
            <wp:extent cx="6858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-2468245</wp:posOffset>
            </wp:positionV>
            <wp:extent cx="76835"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-2468245</wp:posOffset>
            </wp:positionV>
            <wp:extent cx="6858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-2468245</wp:posOffset>
            </wp:positionV>
            <wp:extent cx="6858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-1045210</wp:posOffset>
            </wp:positionV>
            <wp:extent cx="768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-1045210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-1045210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-685165</wp:posOffset>
            </wp:positionV>
            <wp:extent cx="76835"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-685165</wp:posOffset>
            </wp:positionV>
            <wp:extent cx="6858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-685165</wp:posOffset>
            </wp:positionV>
            <wp:extent cx="68580" cy="180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-333375</wp:posOffset>
            </wp:positionV>
            <wp:extent cx="76835" cy="3340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-333375</wp:posOffset>
            </wp:positionV>
            <wp:extent cx="68580" cy="3340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-333375</wp:posOffset>
            </wp:positionV>
            <wp:extent cx="68580" cy="3340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3340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33401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Proft</w:t>
      </w:r>
    </w:p>
    <w:p>
      <w:pPr>
        <w:spacing w:after="0" w:line="121" w:lineRule="exact"/>
        <w:rPr>
          <w:rFonts w:ascii="Arial" w:cs="Arial" w:eastAsia="Arial" w:hAnsi="Arial"/>
          <w:sz w:val="20"/>
          <w:szCs w:val="20"/>
          <w:b w:val="1"/>
          <w:bCs w:val="1"/>
          <w:color w:val="auto"/>
        </w:rPr>
      </w:pPr>
    </w:p>
    <w:p>
      <w:pPr>
        <w:jc w:val="both"/>
        <w:ind w:left="380"/>
        <w:spacing w:after="0" w:line="275"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Obligatons. </w:t>
      </w:r>
      <w:r>
        <w:rPr>
          <w:rFonts w:ascii="Arial" w:cs="Arial" w:eastAsia="Arial" w:hAnsi="Arial"/>
          <w:sz w:val="19"/>
          <w:szCs w:val="19"/>
          <w:color w:val="auto"/>
        </w:rPr>
        <w:t>Performance obligatons are contractual promises to transfer or provide a distnct good or service for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stated price. The Company’s product sales agreements are single-performance obligatons that are satsfed at a point in tme. Performance obligatons within paving service agreements are satsfed over tme, primarily ranging from one day to two years. For product and freight revenues, customer payment terms are generally 30 days from invoice date. Customer payments for the paving operatons are based on a contractual billing schedule and are due 30 days from invoice date.</w:t>
      </w:r>
    </w:p>
    <w:p>
      <w:pPr>
        <w:spacing w:after="0" w:line="71" w:lineRule="exact"/>
        <w:rPr>
          <w:rFonts w:ascii="Arial" w:cs="Arial" w:eastAsia="Arial" w:hAnsi="Arial"/>
          <w:sz w:val="20"/>
          <w:szCs w:val="20"/>
          <w:b w:val="1"/>
          <w:bCs w:val="1"/>
          <w:color w:val="auto"/>
        </w:rPr>
      </w:pPr>
    </w:p>
    <w:p>
      <w:pPr>
        <w:jc w:val="both"/>
        <w:ind w:left="380"/>
        <w:spacing w:after="0" w:line="264"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unsatsfed performance obligatons at September 30, 2023 and 2022 were $268.0 million and $304.3 million, respectvely, where the remaining periods to complete these obligatons ranged from one month to 25 months and one month to 37 months, respectvely.</w:t>
      </w:r>
    </w:p>
    <w:p>
      <w:pPr>
        <w:spacing w:after="0" w:line="78" w:lineRule="exact"/>
        <w:rPr>
          <w:rFonts w:ascii="Arial" w:cs="Arial" w:eastAsia="Arial" w:hAnsi="Arial"/>
          <w:sz w:val="20"/>
          <w:szCs w:val="20"/>
          <w:b w:val="1"/>
          <w:bCs w:val="1"/>
          <w:color w:val="auto"/>
        </w:rPr>
      </w:pPr>
    </w:p>
    <w:p>
      <w:pPr>
        <w:jc w:val="both"/>
        <w:ind w:left="380"/>
        <w:spacing w:after="0" w:line="284"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Service Revenues. </w:t>
      </w:r>
      <w:r>
        <w:rPr>
          <w:rFonts w:ascii="Arial" w:cs="Arial" w:eastAsia="Arial" w:hAnsi="Arial"/>
          <w:sz w:val="19"/>
          <w:szCs w:val="19"/>
          <w:color w:val="auto"/>
        </w:rPr>
        <w:t>Service revenues, which include paving services located in California and Colorado, were $172.9 million and $138.7</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for the three months ended September 30, 2023 and 2022, respectvely, and are reported in the West Group. Service revenues for the nine months ended September 30, 2023 and 2022 were $307.2 million and $252.1 million, respectvely.</w:t>
      </w:r>
    </w:p>
    <w:p>
      <w:pPr>
        <w:spacing w:after="0" w:line="61" w:lineRule="exact"/>
        <w:rPr>
          <w:rFonts w:ascii="Arial" w:cs="Arial" w:eastAsia="Arial" w:hAnsi="Arial"/>
          <w:sz w:val="20"/>
          <w:szCs w:val="20"/>
          <w:b w:val="1"/>
          <w:bCs w:val="1"/>
          <w:color w:val="auto"/>
        </w:rPr>
      </w:pP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conditonal right to consideraton for completed contractual performance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2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20"/>
                <w:szCs w:val="20"/>
                <w:color w:val="auto"/>
              </w:rPr>
              <w:t>September 30, 2023</w:t>
            </w:r>
          </w:p>
        </w:tc>
        <w:tc>
          <w:tcPr>
            <w:tcW w:w="300" w:type="dxa"/>
            <w:vAlign w:val="bottom"/>
          </w:tcPr>
          <w:p>
            <w:pPr>
              <w:spacing w:after="0"/>
              <w:rPr>
                <w:sz w:val="21"/>
                <w:szCs w:val="21"/>
                <w:color w:val="auto"/>
              </w:rPr>
            </w:pPr>
          </w:p>
        </w:tc>
        <w:tc>
          <w:tcPr>
            <w:tcW w:w="1740" w:type="dxa"/>
            <w:vAlign w:val="bottom"/>
            <w:gridSpan w:val="2"/>
          </w:tcPr>
          <w:p>
            <w:pPr>
              <w:jc w:val="right"/>
              <w:ind w:right="1"/>
              <w:spacing w:after="0"/>
              <w:rPr>
                <w:sz w:val="20"/>
                <w:szCs w:val="20"/>
                <w:color w:val="auto"/>
              </w:rPr>
            </w:pPr>
            <w:r>
              <w:rPr>
                <w:rFonts w:ascii="Arial" w:cs="Arial" w:eastAsia="Arial" w:hAnsi="Arial"/>
                <w:sz w:val="20"/>
                <w:szCs w:val="20"/>
                <w:color w:val="auto"/>
                <w:w w:val="92"/>
              </w:rPr>
              <w:t>December 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7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w:t>
            </w: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7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vMerge w:val="continue"/>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20"/>
                <w:szCs w:val="20"/>
                <w:i w:val="1"/>
                <w:iCs w:val="1"/>
                <w:color w:val="auto"/>
              </w:rPr>
              <w:t>Millions)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Costs in excess of billings</w:t>
            </w:r>
          </w:p>
        </w:tc>
        <w:tc>
          <w:tcPr>
            <w:tcW w:w="920" w:type="dxa"/>
            <w:vAlign w:val="bottom"/>
            <w:shd w:val="clear" w:color="auto" w:fill="CFF0FC"/>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w:t>
            </w:r>
          </w:p>
        </w:tc>
        <w:tc>
          <w:tcPr>
            <w:tcW w:w="1280" w:type="dxa"/>
            <w:vAlign w:val="bottom"/>
            <w:gridSpan w:val="2"/>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20"/>
                <w:szCs w:val="20"/>
                <w:color w:val="auto"/>
              </w:rPr>
              <w:t>Billings in excess of costs</w:t>
            </w:r>
          </w:p>
        </w:tc>
        <w:tc>
          <w:tcPr>
            <w:tcW w:w="92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10.9</w:t>
            </w:r>
          </w:p>
        </w:tc>
        <w:tc>
          <w:tcPr>
            <w:tcW w:w="128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Revenues recognized from the beginning balance of contract liabilites for the three months ended September 30, 2023 and 2022 were $5.4 million and $4.1 million, respectvely, and for the nine months ended September 30, 2023 and 2022 were $9.8 million and $7.4 million, respectvely.</w:t>
      </w:r>
    </w:p>
    <w:p>
      <w:pPr>
        <w:spacing w:after="0" w:line="7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 xml:space="preserve">Retainage, which primarily relates to the paving services, represents amounts that have been billed to customers but payment is withheld untl fnal acceptance of the performance obligaton by the customer. Retainage, which is included in </w:t>
      </w:r>
      <w:r>
        <w:rPr>
          <w:rFonts w:ascii="Arial" w:cs="Arial" w:eastAsia="Arial" w:hAnsi="Arial"/>
          <w:sz w:val="20"/>
          <w:szCs w:val="20"/>
          <w:i w:val="1"/>
          <w:iCs w:val="1"/>
          <w:color w:val="auto"/>
        </w:rPr>
        <w:t>Other current assets</w:t>
      </w:r>
      <w:r>
        <w:rPr>
          <w:rFonts w:ascii="Arial" w:cs="Arial" w:eastAsia="Arial" w:hAnsi="Arial"/>
          <w:sz w:val="20"/>
          <w:szCs w:val="20"/>
          <w:color w:val="auto"/>
        </w:rPr>
        <w:t xml:space="preserve"> on the Company’s consolidated balance sheets, was $15.7 million and $13.4 million at September 30, 2023 and December 31, 2022, respectvely.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78" w:lineRule="auto"/>
        <w:rPr>
          <w:sz w:val="20"/>
          <w:szCs w:val="20"/>
          <w:color w:val="auto"/>
        </w:rPr>
      </w:pPr>
      <w:r>
        <w:rPr>
          <w:rFonts w:ascii="Arial" w:cs="Arial" w:eastAsia="Arial" w:hAnsi="Arial"/>
          <w:sz w:val="19"/>
          <w:szCs w:val="19"/>
          <w:color w:val="auto"/>
        </w:rPr>
        <w:t>The following table, which is reconciled to consolidated amounts, provides total revenues and gross proft (loss) by line of business: Building Materials (further divided by product line) and Magnesia Specialtes. Interproduct revenues represent sales from the aggregates product line to the ready mixed concrete and asphalt and paving product lines and sales from the cement product line to the ready mixed concrete product line. Total revenues and gross proft (loss) refect contnuing operatons only.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00" w:type="dxa"/>
            <w:vAlign w:val="bottom"/>
            <w:gridSpan w:val="5"/>
          </w:tcPr>
          <w:p>
            <w:pPr>
              <w:jc w:val="right"/>
              <w:ind w:right="1181"/>
              <w:spacing w:after="0"/>
              <w:rPr>
                <w:sz w:val="20"/>
                <w:szCs w:val="20"/>
                <w:color w:val="auto"/>
              </w:rPr>
            </w:pPr>
            <w:r>
              <w:rPr>
                <w:rFonts w:ascii="Arial" w:cs="Arial" w:eastAsia="Arial" w:hAnsi="Arial"/>
                <w:sz w:val="20"/>
                <w:szCs w:val="20"/>
                <w:color w:val="auto"/>
              </w:rPr>
              <w:t>Three Months Ended</w:t>
            </w:r>
          </w:p>
        </w:tc>
        <w:tc>
          <w:tcPr>
            <w:tcW w:w="560" w:type="dxa"/>
            <w:vAlign w:val="bottom"/>
          </w:tcPr>
          <w:p>
            <w:pPr>
              <w:spacing w:after="0"/>
              <w:rPr>
                <w:sz w:val="21"/>
                <w:szCs w:val="21"/>
                <w:color w:val="auto"/>
              </w:rPr>
            </w:pPr>
          </w:p>
        </w:tc>
        <w:tc>
          <w:tcPr>
            <w:tcW w:w="2920" w:type="dxa"/>
            <w:vAlign w:val="bottom"/>
            <w:gridSpan w:val="5"/>
          </w:tcPr>
          <w:p>
            <w:pPr>
              <w:jc w:val="right"/>
              <w:ind w:right="100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4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4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w w:val="89"/>
              </w:rPr>
              <w:t>2023</w:t>
            </w: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2022</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400" w:type="dxa"/>
            <w:vAlign w:val="bottom"/>
          </w:tcPr>
          <w:p>
            <w:pPr>
              <w:jc w:val="right"/>
              <w:ind w:right="101"/>
              <w:spacing w:after="0" w:line="226" w:lineRule="exact"/>
              <w:rPr>
                <w:sz w:val="20"/>
                <w:szCs w:val="20"/>
                <w:color w:val="auto"/>
              </w:rPr>
            </w:pPr>
            <w:r>
              <w:rPr>
                <w:rFonts w:ascii="Arial" w:cs="Arial" w:eastAsia="Arial" w:hAnsi="Arial"/>
                <w:sz w:val="20"/>
                <w:szCs w:val="20"/>
                <w:i w:val="1"/>
                <w:iCs w:val="1"/>
                <w:color w:val="auto"/>
              </w:rPr>
              <w:t>in</w:t>
            </w:r>
          </w:p>
        </w:tc>
        <w:tc>
          <w:tcPr>
            <w:tcW w:w="560" w:type="dxa"/>
            <w:vAlign w:val="bottom"/>
          </w:tcPr>
          <w:p>
            <w:pPr>
              <w:spacing w:after="0"/>
              <w:rPr>
                <w:sz w:val="20"/>
                <w:szCs w:val="20"/>
                <w:color w:val="auto"/>
              </w:rPr>
            </w:pPr>
            <w:r>
              <w:rPr>
                <w:rFonts w:ascii="Arial" w:cs="Arial" w:eastAsia="Arial" w:hAnsi="Arial"/>
                <w:sz w:val="20"/>
                <w:szCs w:val="20"/>
                <w:i w:val="1"/>
                <w:iCs w:val="1"/>
                <w:color w:val="auto"/>
                <w:w w:val="73"/>
              </w:rPr>
              <w:t>Millions)</w:t>
            </w: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3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Aggregates</w:t>
            </w:r>
          </w:p>
        </w:tc>
        <w:tc>
          <w:tcPr>
            <w:tcW w:w="3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1,216.3</w:t>
            </w: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1,130.7</w:t>
            </w:r>
          </w:p>
        </w:tc>
        <w:tc>
          <w:tcPr>
            <w:tcW w:w="400" w:type="dxa"/>
            <w:vAlign w:val="bottom"/>
            <w:shd w:val="clear" w:color="auto" w:fill="CFF0FC"/>
          </w:tcPr>
          <w:p>
            <w:pPr>
              <w:spacing w:after="0"/>
              <w:rPr>
                <w:sz w:val="24"/>
                <w:szCs w:val="24"/>
                <w:color w:val="auto"/>
              </w:rPr>
            </w:pPr>
          </w:p>
        </w:tc>
        <w:tc>
          <w:tcPr>
            <w:tcW w:w="56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3,279.6</w:t>
            </w: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2,945.0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200"/>
              <w:spacing w:after="0"/>
              <w:rPr>
                <w:sz w:val="20"/>
                <w:szCs w:val="20"/>
                <w:color w:val="auto"/>
              </w:rPr>
            </w:pPr>
            <w:r>
              <w:rPr>
                <w:rFonts w:ascii="Arial" w:cs="Arial" w:eastAsia="Arial" w:hAnsi="Arial"/>
                <w:sz w:val="20"/>
                <w:szCs w:val="20"/>
                <w:color w:val="auto"/>
              </w:rPr>
              <w:t>Cement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199.1</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168.2</w:t>
            </w: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565.3</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Ready mixed concrete</w:t>
            </w:r>
          </w:p>
        </w:tc>
        <w:tc>
          <w:tcPr>
            <w:tcW w:w="3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285.2</w:t>
            </w: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227.7</w:t>
            </w:r>
          </w:p>
        </w:tc>
        <w:tc>
          <w:tcPr>
            <w:tcW w:w="4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776.5</w:t>
            </w: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745.4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200"/>
              <w:spacing w:after="0"/>
              <w:rPr>
                <w:sz w:val="20"/>
                <w:szCs w:val="20"/>
                <w:color w:val="auto"/>
              </w:rPr>
            </w:pPr>
            <w:r>
              <w:rPr>
                <w:rFonts w:ascii="Arial" w:cs="Arial" w:eastAsia="Arial" w:hAnsi="Arial"/>
                <w:sz w:val="20"/>
                <w:szCs w:val="20"/>
                <w:color w:val="auto"/>
              </w:rPr>
              <w:t>Asphalt and paving services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359.9</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314.0</w:t>
            </w: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658.7</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Less: interproduct revenues</w:t>
            </w:r>
          </w:p>
        </w:tc>
        <w:tc>
          <w:tcPr>
            <w:tcW w:w="36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(141.9 )</w:t>
            </w:r>
          </w:p>
        </w:tc>
        <w:tc>
          <w:tcPr>
            <w:tcW w:w="52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221"/>
              <w:spacing w:after="0"/>
              <w:rPr>
                <w:sz w:val="20"/>
                <w:szCs w:val="20"/>
                <w:color w:val="auto"/>
              </w:rPr>
            </w:pPr>
            <w:r>
              <w:rPr>
                <w:rFonts w:ascii="Arial" w:cs="Arial" w:eastAsia="Arial" w:hAnsi="Arial"/>
                <w:sz w:val="20"/>
                <w:szCs w:val="20"/>
                <w:color w:val="auto"/>
              </w:rPr>
              <w:t>(104.6 )</w:t>
            </w:r>
          </w:p>
        </w:tc>
        <w:tc>
          <w:tcPr>
            <w:tcW w:w="56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(350.5 )</w:t>
            </w:r>
          </w:p>
        </w:tc>
        <w:tc>
          <w:tcPr>
            <w:tcW w:w="5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(296.0 )</w:t>
            </w:r>
          </w:p>
        </w:tc>
        <w:tc>
          <w:tcPr>
            <w:tcW w:w="0" w:type="dxa"/>
            <w:vAlign w:val="bottom"/>
          </w:tcPr>
          <w:p>
            <w:pPr>
              <w:spacing w:after="0"/>
              <w:rPr>
                <w:sz w:val="1"/>
                <w:szCs w:val="1"/>
                <w:color w:val="auto"/>
              </w:rPr>
            </w:pPr>
          </w:p>
        </w:tc>
      </w:tr>
      <w:tr>
        <w:trPr>
          <w:trHeight w:val="254"/>
        </w:trPr>
        <w:tc>
          <w:tcPr>
            <w:tcW w:w="3900" w:type="dxa"/>
            <w:vAlign w:val="bottom"/>
          </w:tcPr>
          <w:p>
            <w:pPr>
              <w:ind w:left="20"/>
              <w:spacing w:after="0"/>
              <w:rPr>
                <w:sz w:val="20"/>
                <w:szCs w:val="20"/>
                <w:color w:val="auto"/>
              </w:rPr>
            </w:pPr>
            <w:r>
              <w:rPr>
                <w:rFonts w:ascii="Arial" w:cs="Arial" w:eastAsia="Arial" w:hAnsi="Arial"/>
                <w:sz w:val="20"/>
                <w:szCs w:val="20"/>
                <w:color w:val="auto"/>
              </w:rPr>
              <w:t>Total Building Materials business</w:t>
            </w: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1,918.6</w:t>
            </w:r>
          </w:p>
        </w:tc>
        <w:tc>
          <w:tcPr>
            <w:tcW w:w="3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1,736.0</w:t>
            </w:r>
          </w:p>
        </w:tc>
        <w:tc>
          <w:tcPr>
            <w:tcW w:w="4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4,929.6</w:t>
            </w:r>
          </w:p>
        </w:tc>
        <w:tc>
          <w:tcPr>
            <w:tcW w:w="2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4,449.8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Magnesia Specialtes</w:t>
            </w:r>
          </w:p>
        </w:tc>
        <w:tc>
          <w:tcPr>
            <w:tcW w:w="3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75.5</w:t>
            </w:r>
          </w:p>
        </w:tc>
        <w:tc>
          <w:tcPr>
            <w:tcW w:w="3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75.7</w:t>
            </w:r>
          </w:p>
        </w:tc>
        <w:tc>
          <w:tcPr>
            <w:tcW w:w="4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239.4</w:t>
            </w:r>
          </w:p>
        </w:tc>
        <w:tc>
          <w:tcPr>
            <w:tcW w:w="2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234.4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20"/>
              <w:spacing w:after="0"/>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1,994.1</w:t>
            </w:r>
          </w:p>
        </w:tc>
        <w:tc>
          <w:tcPr>
            <w:tcW w:w="300" w:type="dxa"/>
            <w:vAlign w:val="bottom"/>
          </w:tcPr>
          <w:p>
            <w:pPr>
              <w:spacing w:after="0"/>
              <w:rPr>
                <w:sz w:val="22"/>
                <w:szCs w:val="22"/>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1,811.7</w:t>
            </w:r>
          </w:p>
        </w:tc>
        <w:tc>
          <w:tcPr>
            <w:tcW w:w="400" w:type="dxa"/>
            <w:vAlign w:val="bottom"/>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5,169.0</w:t>
            </w:r>
          </w:p>
        </w:tc>
        <w:tc>
          <w:tcPr>
            <w:tcW w:w="280" w:type="dxa"/>
            <w:vAlign w:val="bottom"/>
          </w:tcPr>
          <w:p>
            <w:pPr>
              <w:spacing w:after="0"/>
              <w:rPr>
                <w:sz w:val="22"/>
                <w:szCs w:val="22"/>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4,684.2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Gross proft (loss):</w:t>
            </w:r>
          </w:p>
        </w:tc>
        <w:tc>
          <w:tcPr>
            <w:tcW w:w="36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Aggregates</w:t>
            </w:r>
          </w:p>
        </w:tc>
        <w:tc>
          <w:tcPr>
            <w:tcW w:w="3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440.6</w:t>
            </w: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333.6</w:t>
            </w:r>
          </w:p>
        </w:tc>
        <w:tc>
          <w:tcPr>
            <w:tcW w:w="400" w:type="dxa"/>
            <w:vAlign w:val="bottom"/>
            <w:shd w:val="clear" w:color="auto" w:fill="CFF0FC"/>
          </w:tcPr>
          <w:p>
            <w:pPr>
              <w:spacing w:after="0"/>
              <w:rPr>
                <w:sz w:val="24"/>
                <w:szCs w:val="24"/>
                <w:color w:val="auto"/>
              </w:rPr>
            </w:pPr>
          </w:p>
        </w:tc>
        <w:tc>
          <w:tcPr>
            <w:tcW w:w="56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1,049.5</w:t>
            </w: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743.6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200"/>
              <w:spacing w:after="0"/>
              <w:rPr>
                <w:sz w:val="20"/>
                <w:szCs w:val="20"/>
                <w:color w:val="auto"/>
              </w:rPr>
            </w:pPr>
            <w:r>
              <w:rPr>
                <w:rFonts w:ascii="Arial" w:cs="Arial" w:eastAsia="Arial" w:hAnsi="Arial"/>
                <w:sz w:val="20"/>
                <w:szCs w:val="20"/>
                <w:color w:val="auto"/>
              </w:rPr>
              <w:t>Cement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108.7</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67.3</w:t>
            </w: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249.0</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Ready mixed concrete</w:t>
            </w:r>
          </w:p>
        </w:tc>
        <w:tc>
          <w:tcPr>
            <w:tcW w:w="3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34.1</w:t>
            </w: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18.7</w:t>
            </w:r>
          </w:p>
        </w:tc>
        <w:tc>
          <w:tcPr>
            <w:tcW w:w="4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80.7</w:t>
            </w: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200"/>
              <w:spacing w:after="0"/>
              <w:rPr>
                <w:sz w:val="20"/>
                <w:szCs w:val="20"/>
                <w:color w:val="auto"/>
              </w:rPr>
            </w:pPr>
            <w:r>
              <w:rPr>
                <w:rFonts w:ascii="Arial" w:cs="Arial" w:eastAsia="Arial" w:hAnsi="Arial"/>
                <w:sz w:val="20"/>
                <w:szCs w:val="20"/>
                <w:color w:val="auto"/>
              </w:rPr>
              <w:t>Asphalt and paving services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66.1</w:t>
            </w:r>
          </w:p>
        </w:tc>
        <w:tc>
          <w:tcPr>
            <w:tcW w:w="3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w:t>
            </w:r>
          </w:p>
        </w:tc>
        <w:tc>
          <w:tcPr>
            <w:tcW w:w="4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w:t>
            </w: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3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649.5</w:t>
            </w:r>
          </w:p>
        </w:tc>
        <w:tc>
          <w:tcPr>
            <w:tcW w:w="30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469.3</w:t>
            </w:r>
          </w:p>
        </w:tc>
        <w:tc>
          <w:tcPr>
            <w:tcW w:w="40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1,461.3</w:t>
            </w:r>
          </w:p>
        </w:tc>
        <w:tc>
          <w:tcPr>
            <w:tcW w:w="28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1,006.7</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21.4</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20.6</w:t>
            </w: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74.1</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3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30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460" w:type="dxa"/>
            <w:vAlign w:val="bottom"/>
            <w:gridSpan w:val="2"/>
            <w:shd w:val="clear" w:color="auto" w:fill="CFF0FC"/>
          </w:tcPr>
          <w:p>
            <w:pPr>
              <w:jc w:val="right"/>
              <w:ind w:right="221"/>
              <w:spacing w:after="0"/>
              <w:rPr>
                <w:sz w:val="20"/>
                <w:szCs w:val="20"/>
                <w:color w:val="auto"/>
              </w:rPr>
            </w:pPr>
            <w:r>
              <w:rPr>
                <w:rFonts w:ascii="Arial" w:cs="Arial" w:eastAsia="Arial" w:hAnsi="Arial"/>
                <w:sz w:val="20"/>
                <w:szCs w:val="20"/>
                <w:color w:val="auto"/>
              </w:rPr>
              <w:t>(2.1 )</w:t>
            </w:r>
          </w:p>
        </w:tc>
        <w:tc>
          <w:tcPr>
            <w:tcW w:w="56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8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(8.5 )</w:t>
            </w:r>
          </w:p>
        </w:tc>
        <w:tc>
          <w:tcPr>
            <w:tcW w:w="0" w:type="dxa"/>
            <w:vAlign w:val="bottom"/>
          </w:tcPr>
          <w:p>
            <w:pPr>
              <w:spacing w:after="0"/>
              <w:rPr>
                <w:sz w:val="1"/>
                <w:szCs w:val="1"/>
                <w:color w:val="auto"/>
              </w:rPr>
            </w:pPr>
          </w:p>
        </w:tc>
      </w:tr>
      <w:tr>
        <w:trPr>
          <w:trHeight w:val="263"/>
        </w:trPr>
        <w:tc>
          <w:tcPr>
            <w:tcW w:w="390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676.0</w:t>
            </w:r>
          </w:p>
        </w:tc>
        <w:tc>
          <w:tcPr>
            <w:tcW w:w="300" w:type="dxa"/>
            <w:vAlign w:val="bottom"/>
            <w:tcBorders>
              <w:top w:val="single" w:sz="8" w:color="CFF0FC"/>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487.8</w:t>
            </w:r>
          </w:p>
        </w:tc>
        <w:tc>
          <w:tcPr>
            <w:tcW w:w="400" w:type="dxa"/>
            <w:vAlign w:val="bottom"/>
            <w:tcBorders>
              <w:top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1,539.2</w:t>
            </w:r>
          </w:p>
        </w:tc>
        <w:tc>
          <w:tcPr>
            <w:tcW w:w="280" w:type="dxa"/>
            <w:vAlign w:val="bottom"/>
            <w:tcBorders>
              <w:top w:val="single" w:sz="8" w:color="CFF0FC"/>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1,069.1</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-2133600</wp:posOffset>
            </wp:positionV>
            <wp:extent cx="76835"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3771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-2133600</wp:posOffset>
            </wp:positionV>
            <wp:extent cx="76835" cy="3771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3771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-2133600</wp:posOffset>
            </wp:positionV>
            <wp:extent cx="68580" cy="3771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3771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-205105</wp:posOffset>
            </wp:positionV>
            <wp:extent cx="76835"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-205105</wp:posOffset>
            </wp:positionV>
            <wp:extent cx="76835"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-205105</wp:posOffset>
            </wp:positionV>
            <wp:extent cx="68580"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40" w:type="dxa"/>
            <w:vAlign w:val="bottom"/>
          </w:tcPr>
          <w:p>
            <w:pPr>
              <w:spacing w:after="0"/>
              <w:rPr>
                <w:sz w:val="20"/>
                <w:szCs w:val="20"/>
                <w:color w:val="auto"/>
              </w:rPr>
            </w:pPr>
            <w:r>
              <w:rPr>
                <w:rFonts w:ascii="Arial" w:cs="Arial" w:eastAsia="Arial" w:hAnsi="Arial"/>
                <w:sz w:val="20"/>
                <w:szCs w:val="20"/>
                <w:b w:val="1"/>
                <w:bCs w:val="1"/>
                <w:color w:val="auto"/>
              </w:rPr>
              <w:t>11. Supplemental Cash Flow Informaton</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49"/>
        </w:trPr>
        <w:tc>
          <w:tcPr>
            <w:tcW w:w="7440" w:type="dxa"/>
            <w:vAlign w:val="bottom"/>
          </w:tcPr>
          <w:p>
            <w:pPr>
              <w:ind w:left="380"/>
              <w:spacing w:after="0"/>
              <w:rPr>
                <w:sz w:val="20"/>
                <w:szCs w:val="20"/>
                <w:color w:val="auto"/>
              </w:rPr>
            </w:pPr>
            <w:r>
              <w:rPr>
                <w:rFonts w:ascii="Arial" w:cs="Arial" w:eastAsia="Arial" w:hAnsi="Arial"/>
                <w:sz w:val="20"/>
                <w:szCs w:val="20"/>
                <w:color w:val="auto"/>
              </w:rPr>
              <w:t>Noncash investng and fnancing actvites are as follows: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7"/>
          </w:tcPr>
          <w:p>
            <w:pPr>
              <w:ind w:left="660"/>
              <w:spacing w:after="0"/>
              <w:rPr>
                <w:sz w:val="20"/>
                <w:szCs w:val="20"/>
                <w:color w:val="auto"/>
              </w:rPr>
            </w:pPr>
            <w:r>
              <w:rPr>
                <w:rFonts w:ascii="Arial" w:cs="Arial" w:eastAsia="Arial" w:hAnsi="Arial"/>
                <w:sz w:val="20"/>
                <w:szCs w:val="20"/>
                <w:color w:val="auto"/>
              </w:rPr>
              <w:t>Nine Months Ended</w:t>
            </w:r>
          </w:p>
        </w:tc>
      </w:tr>
      <w:tr>
        <w:trPr>
          <w:trHeight w:val="270"/>
        </w:trPr>
        <w:tc>
          <w:tcPr>
            <w:tcW w:w="7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5"/>
          </w:tcPr>
          <w:p>
            <w:pPr>
              <w:jc w:val="right"/>
              <w:spacing w:after="0"/>
              <w:rPr>
                <w:sz w:val="20"/>
                <w:szCs w:val="20"/>
                <w:color w:val="auto"/>
              </w:rPr>
            </w:pPr>
            <w:r>
              <w:rPr>
                <w:rFonts w:ascii="Arial" w:cs="Arial" w:eastAsia="Arial" w:hAnsi="Arial"/>
                <w:sz w:val="20"/>
                <w:szCs w:val="20"/>
                <w:color w:val="auto"/>
              </w:rPr>
              <w:t>September 30,</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4"/>
        </w:trPr>
        <w:tc>
          <w:tcPr>
            <w:tcW w:w="7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7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2023</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r>
      <w:tr>
        <w:trPr>
          <w:trHeight w:val="260"/>
        </w:trPr>
        <w:tc>
          <w:tcPr>
            <w:tcW w:w="7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ind w:left="680"/>
              <w:spacing w:after="0"/>
              <w:rPr>
                <w:sz w:val="20"/>
                <w:szCs w:val="20"/>
                <w:color w:val="auto"/>
              </w:rPr>
            </w:pPr>
            <w:r>
              <w:rPr>
                <w:rFonts w:ascii="Arial" w:cs="Arial" w:eastAsia="Arial" w:hAnsi="Arial"/>
                <w:sz w:val="20"/>
                <w:szCs w:val="20"/>
                <w:i w:val="1"/>
                <w:iCs w:val="1"/>
                <w:color w:val="auto"/>
                <w:w w:val="89"/>
              </w:rPr>
              <w:t>(Dollars</w:t>
            </w:r>
          </w:p>
        </w:tc>
        <w:tc>
          <w:tcPr>
            <w:tcW w:w="280" w:type="dxa"/>
            <w:vAlign w:val="bottom"/>
            <w:gridSpan w:val="2"/>
          </w:tcPr>
          <w:p>
            <w:pPr>
              <w:jc w:val="right"/>
              <w:ind w:right="1"/>
              <w:spacing w:after="0" w:line="226" w:lineRule="exact"/>
              <w:rPr>
                <w:sz w:val="20"/>
                <w:szCs w:val="20"/>
                <w:color w:val="auto"/>
              </w:rPr>
            </w:pPr>
            <w:r>
              <w:rPr>
                <w:rFonts w:ascii="Arial" w:cs="Arial" w:eastAsia="Arial" w:hAnsi="Arial"/>
                <w:sz w:val="20"/>
                <w:szCs w:val="20"/>
                <w:i w:val="1"/>
                <w:iCs w:val="1"/>
                <w:color w:val="auto"/>
              </w:rPr>
              <w:t>in</w:t>
            </w:r>
          </w:p>
        </w:tc>
        <w:tc>
          <w:tcPr>
            <w:tcW w:w="152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22"/>
                <w:szCs w:val="22"/>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Accrued liabilites for purchases of property, plant and equipment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720" w:type="dxa"/>
            <w:vAlign w:val="bottom"/>
            <w:gridSpan w:val="3"/>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51.8</w:t>
            </w:r>
          </w:p>
        </w:tc>
        <w:tc>
          <w:tcPr>
            <w:tcW w:w="100" w:type="dxa"/>
            <w:vAlign w:val="bottom"/>
            <w:shd w:val="clear" w:color="auto" w:fill="CFF0FC"/>
          </w:tcPr>
          <w:p>
            <w:pPr>
              <w:spacing w:after="0"/>
              <w:rPr>
                <w:sz w:val="24"/>
                <w:szCs w:val="24"/>
                <w:color w:val="auto"/>
              </w:rPr>
            </w:pPr>
          </w:p>
        </w:tc>
      </w:tr>
      <w:tr>
        <w:trPr>
          <w:trHeight w:val="260"/>
        </w:trPr>
        <w:tc>
          <w:tcPr>
            <w:tcW w:w="7440" w:type="dxa"/>
            <w:vAlign w:val="bottom"/>
          </w:tcPr>
          <w:p>
            <w:pPr>
              <w:ind w:left="20"/>
              <w:spacing w:after="0"/>
              <w:rPr>
                <w:sz w:val="20"/>
                <w:szCs w:val="20"/>
                <w:color w:val="auto"/>
              </w:rPr>
            </w:pPr>
            <w:r>
              <w:rPr>
                <w:rFonts w:ascii="Arial" w:cs="Arial" w:eastAsia="Arial" w:hAnsi="Arial"/>
                <w:sz w:val="20"/>
                <w:szCs w:val="20"/>
                <w:color w:val="auto"/>
              </w:rPr>
              <w:t>Remeasurement of operatng lease right-of-use assets</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720" w:type="dxa"/>
            <w:vAlign w:val="bottom"/>
            <w:gridSpan w:val="3"/>
          </w:tcPr>
          <w:p>
            <w:pPr>
              <w:ind w:left="30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(4.9 )</w:t>
            </w: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Remeasurement of fnance lease right-of-use assets</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gridSpan w:val="3"/>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(11.4 )</w:t>
            </w:r>
          </w:p>
        </w:tc>
      </w:tr>
      <w:tr>
        <w:trPr>
          <w:trHeight w:val="218"/>
        </w:trPr>
        <w:tc>
          <w:tcPr>
            <w:tcW w:w="7440" w:type="dxa"/>
            <w:vAlign w:val="bottom"/>
          </w:tcPr>
          <w:p>
            <w:pPr>
              <w:ind w:left="20"/>
              <w:spacing w:after="0" w:line="218" w:lineRule="exact"/>
              <w:rPr>
                <w:sz w:val="20"/>
                <w:szCs w:val="20"/>
                <w:color w:val="auto"/>
              </w:rPr>
            </w:pPr>
            <w:r>
              <w:rPr>
                <w:rFonts w:ascii="Arial" w:cs="Arial" w:eastAsia="Arial" w:hAnsi="Arial"/>
                <w:sz w:val="20"/>
                <w:szCs w:val="20"/>
                <w:color w:val="auto"/>
              </w:rPr>
              <w:t>Right-of-use assets obtained in exchange for new</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440" w:type="dxa"/>
            <w:vAlign w:val="bottom"/>
          </w:tcPr>
          <w:p>
            <w:pPr>
              <w:ind w:left="160"/>
              <w:spacing w:after="0"/>
              <w:rPr>
                <w:sz w:val="20"/>
                <w:szCs w:val="20"/>
                <w:color w:val="auto"/>
              </w:rPr>
            </w:pPr>
            <w:r>
              <w:rPr>
                <w:rFonts w:ascii="Arial" w:cs="Arial" w:eastAsia="Arial" w:hAnsi="Arial"/>
                <w:sz w:val="20"/>
                <w:szCs w:val="20"/>
                <w:color w:val="auto"/>
              </w:rPr>
              <w:t>operatng lease liabilites</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36.9</w:t>
            </w:r>
          </w:p>
        </w:tc>
        <w:tc>
          <w:tcPr>
            <w:tcW w:w="720" w:type="dxa"/>
            <w:vAlign w:val="bottom"/>
            <w:gridSpan w:val="3"/>
          </w:tcPr>
          <w:p>
            <w:pPr>
              <w:ind w:left="3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23.4</w:t>
            </w:r>
          </w:p>
        </w:tc>
        <w:tc>
          <w:tcPr>
            <w:tcW w:w="100" w:type="dxa"/>
            <w:vAlign w:val="bottom"/>
          </w:tcPr>
          <w:p>
            <w:pPr>
              <w:spacing w:after="0"/>
              <w:rPr>
                <w:sz w:val="21"/>
                <w:szCs w:val="21"/>
                <w:color w:val="auto"/>
              </w:rPr>
            </w:pPr>
          </w:p>
        </w:tc>
      </w:tr>
      <w:tr>
        <w:trPr>
          <w:trHeight w:val="44"/>
        </w:trPr>
        <w:tc>
          <w:tcPr>
            <w:tcW w:w="7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8"/>
        </w:trPr>
        <w:tc>
          <w:tcPr>
            <w:tcW w:w="74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Right-of-use assets obtained in exchange for</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5"/>
        </w:trPr>
        <w:tc>
          <w:tcPr>
            <w:tcW w:w="74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new fnance lease liabilites</w:t>
            </w:r>
          </w:p>
        </w:tc>
        <w:tc>
          <w:tcPr>
            <w:tcW w:w="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18.7</w:t>
            </w:r>
          </w:p>
        </w:tc>
        <w:tc>
          <w:tcPr>
            <w:tcW w:w="720" w:type="dxa"/>
            <w:vAlign w:val="bottom"/>
            <w:tcBorders>
              <w:bottom w:val="single" w:sz="8" w:color="CFF0FC"/>
            </w:tcBorders>
            <w:gridSpan w:val="3"/>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0"/>
        </w:trPr>
        <w:tc>
          <w:tcPr>
            <w:tcW w:w="7440" w:type="dxa"/>
            <w:vAlign w:val="bottom"/>
          </w:tcPr>
          <w:p>
            <w:pPr>
              <w:ind w:left="20"/>
              <w:spacing w:after="0"/>
              <w:rPr>
                <w:sz w:val="20"/>
                <w:szCs w:val="20"/>
                <w:color w:val="auto"/>
              </w:rPr>
            </w:pPr>
            <w:r>
              <w:rPr>
                <w:rFonts w:ascii="Arial" w:cs="Arial" w:eastAsia="Arial" w:hAnsi="Arial"/>
                <w:sz w:val="20"/>
                <w:szCs w:val="20"/>
                <w:color w:val="auto"/>
              </w:rPr>
              <w:t>Acquisiton of assets through asset exchange</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5.2</w:t>
            </w:r>
          </w:p>
        </w:tc>
        <w:tc>
          <w:tcPr>
            <w:tcW w:w="720" w:type="dxa"/>
            <w:vAlign w:val="bottom"/>
            <w:gridSpan w:val="3"/>
          </w:tcPr>
          <w:p>
            <w:pPr>
              <w:ind w:left="30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28"/>
        </w:trPr>
        <w:tc>
          <w:tcPr>
            <w:tcW w:w="7440" w:type="dxa"/>
            <w:vAlign w:val="bottom"/>
            <w:shd w:val="clear" w:color="auto" w:fill="CFF0FC"/>
          </w:tcPr>
          <w:p>
            <w:pPr>
              <w:ind w:left="20"/>
              <w:spacing w:after="0" w:line="228" w:lineRule="exact"/>
              <w:rPr>
                <w:sz w:val="20"/>
                <w:szCs w:val="20"/>
                <w:color w:val="auto"/>
              </w:rPr>
            </w:pPr>
            <w:r>
              <w:rPr>
                <w:rFonts w:ascii="Arial" w:cs="Arial" w:eastAsia="Arial" w:hAnsi="Arial"/>
                <w:sz w:val="20"/>
                <w:szCs w:val="20"/>
                <w:color w:val="auto"/>
              </w:rPr>
              <w:t>Accounts payable relieved in connecton with sale of property, plant and</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5"/>
        </w:trPr>
        <w:tc>
          <w:tcPr>
            <w:tcW w:w="7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equipment</w:t>
            </w:r>
          </w:p>
        </w:tc>
        <w:tc>
          <w:tcPr>
            <w:tcW w:w="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720" w:type="dxa"/>
            <w:vAlign w:val="bottom"/>
            <w:tcBorders>
              <w:bottom w:val="single" w:sz="8" w:color="CFF0FC"/>
            </w:tcBorders>
            <w:gridSpan w:val="3"/>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320"/>
        </w:trPr>
        <w:tc>
          <w:tcPr>
            <w:tcW w:w="7440" w:type="dxa"/>
            <w:vAlign w:val="bottom"/>
          </w:tcPr>
          <w:p>
            <w:pPr>
              <w:ind w:left="380"/>
              <w:spacing w:after="0"/>
              <w:rPr>
                <w:sz w:val="20"/>
                <w:szCs w:val="20"/>
                <w:color w:val="auto"/>
              </w:rPr>
            </w:pPr>
            <w:r>
              <w:rPr>
                <w:rFonts w:ascii="Arial" w:cs="Arial" w:eastAsia="Arial" w:hAnsi="Arial"/>
                <w:sz w:val="20"/>
                <w:szCs w:val="20"/>
                <w:color w:val="auto"/>
              </w:rPr>
              <w:t>Supplemental disclosures of cash fow informaton are as follows: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7"/>
          </w:tcPr>
          <w:p>
            <w:pPr>
              <w:jc w:val="right"/>
              <w:ind w:right="1160"/>
              <w:spacing w:after="0"/>
              <w:rPr>
                <w:sz w:val="20"/>
                <w:szCs w:val="20"/>
                <w:color w:val="auto"/>
              </w:rPr>
            </w:pPr>
            <w:r>
              <w:rPr>
                <w:rFonts w:ascii="Arial" w:cs="Arial" w:eastAsia="Arial" w:hAnsi="Arial"/>
                <w:sz w:val="20"/>
                <w:szCs w:val="20"/>
                <w:color w:val="auto"/>
              </w:rPr>
              <w:t>Nine Months Ended</w:t>
            </w:r>
          </w:p>
        </w:tc>
      </w:tr>
      <w:tr>
        <w:trPr>
          <w:trHeight w:val="270"/>
        </w:trPr>
        <w:tc>
          <w:tcPr>
            <w:tcW w:w="7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5"/>
          </w:tcPr>
          <w:p>
            <w:pPr>
              <w:ind w:left="680"/>
              <w:spacing w:after="0"/>
              <w:rPr>
                <w:sz w:val="20"/>
                <w:szCs w:val="20"/>
                <w:color w:val="auto"/>
              </w:rPr>
            </w:pPr>
            <w:r>
              <w:rPr>
                <w:rFonts w:ascii="Arial" w:cs="Arial" w:eastAsia="Arial" w:hAnsi="Arial"/>
                <w:sz w:val="20"/>
                <w:szCs w:val="20"/>
                <w:color w:val="auto"/>
              </w:rPr>
              <w:t>September 30,</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5"/>
        </w:trPr>
        <w:tc>
          <w:tcPr>
            <w:tcW w:w="74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74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2023</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5"/>
              </w:rPr>
              <w:t>2022</w:t>
            </w:r>
          </w:p>
        </w:tc>
        <w:tc>
          <w:tcPr>
            <w:tcW w:w="100" w:type="dxa"/>
            <w:vAlign w:val="bottom"/>
          </w:tcPr>
          <w:p>
            <w:pPr>
              <w:spacing w:after="0"/>
              <w:rPr>
                <w:sz w:val="22"/>
                <w:szCs w:val="22"/>
                <w:color w:val="auto"/>
              </w:rPr>
            </w:pPr>
          </w:p>
        </w:tc>
      </w:tr>
      <w:tr>
        <w:trPr>
          <w:trHeight w:val="260"/>
        </w:trPr>
        <w:tc>
          <w:tcPr>
            <w:tcW w:w="7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ind w:left="480"/>
              <w:spacing w:after="0"/>
              <w:rPr>
                <w:sz w:val="20"/>
                <w:szCs w:val="20"/>
                <w:color w:val="auto"/>
              </w:rPr>
            </w:pPr>
            <w:r>
              <w:rPr>
                <w:rFonts w:ascii="Arial" w:cs="Arial" w:eastAsia="Arial" w:hAnsi="Arial"/>
                <w:sz w:val="20"/>
                <w:szCs w:val="20"/>
                <w:i w:val="1"/>
                <w:iCs w:val="1"/>
                <w:color w:val="auto"/>
                <w:w w:val="89"/>
              </w:rPr>
              <w:t>(Dollars</w:t>
            </w:r>
          </w:p>
        </w:tc>
        <w:tc>
          <w:tcPr>
            <w:tcW w:w="260" w:type="dxa"/>
            <w:vAlign w:val="bottom"/>
            <w:gridSpan w:val="2"/>
          </w:tcPr>
          <w:p>
            <w:pPr>
              <w:ind w:left="40"/>
              <w:spacing w:after="0" w:line="226" w:lineRule="exact"/>
              <w:rPr>
                <w:sz w:val="20"/>
                <w:szCs w:val="20"/>
                <w:color w:val="auto"/>
              </w:rPr>
            </w:pPr>
            <w:r>
              <w:rPr>
                <w:rFonts w:ascii="Arial" w:cs="Arial" w:eastAsia="Arial" w:hAnsi="Arial"/>
                <w:sz w:val="20"/>
                <w:szCs w:val="20"/>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20"/>
                <w:szCs w:val="20"/>
                <w:i w:val="1"/>
                <w:iCs w:val="1"/>
                <w:color w:val="auto"/>
                <w:w w:val="87"/>
              </w:rPr>
              <w:t>Millions)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74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Cash paid for interest, net of capitalized amount</w:t>
            </w: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200" w:type="dxa"/>
            <w:vAlign w:val="bottom"/>
            <w:shd w:val="clear" w:color="auto" w:fill="CFF0FC"/>
          </w:tcPr>
          <w:p>
            <w:pPr>
              <w:spacing w:after="0"/>
              <w:rPr>
                <w:sz w:val="24"/>
                <w:szCs w:val="24"/>
                <w:color w:val="auto"/>
              </w:rPr>
            </w:pPr>
          </w:p>
        </w:tc>
        <w:tc>
          <w:tcPr>
            <w:tcW w:w="1120" w:type="dxa"/>
            <w:vAlign w:val="bottom"/>
            <w:shd w:val="clear" w:color="auto" w:fill="CFF0FC"/>
          </w:tcPr>
          <w:p>
            <w:pPr>
              <w:ind w:left="640"/>
              <w:spacing w:after="0"/>
              <w:rPr>
                <w:sz w:val="20"/>
                <w:szCs w:val="20"/>
                <w:color w:val="auto"/>
              </w:rPr>
            </w:pPr>
            <w:r>
              <w:rPr>
                <w:rFonts w:ascii="Arial" w:cs="Arial" w:eastAsia="Arial" w:hAnsi="Arial"/>
                <w:sz w:val="20"/>
                <w:szCs w:val="20"/>
                <w:color w:val="auto"/>
                <w:w w:val="91"/>
              </w:rPr>
              <w:t>121.1</w:t>
            </w:r>
          </w:p>
        </w:tc>
        <w:tc>
          <w:tcPr>
            <w:tcW w:w="20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44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126.3</w:t>
            </w:r>
          </w:p>
        </w:tc>
        <w:tc>
          <w:tcPr>
            <w:tcW w:w="100" w:type="dxa"/>
            <w:vAlign w:val="bottom"/>
            <w:shd w:val="clear" w:color="auto" w:fill="CFF0FC"/>
          </w:tcPr>
          <w:p>
            <w:pPr>
              <w:spacing w:after="0"/>
              <w:rPr>
                <w:sz w:val="24"/>
                <w:szCs w:val="24"/>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20"/>
                <w:szCs w:val="20"/>
                <w:color w:val="auto"/>
              </w:rPr>
              <w:t>Cash paid for income taxes, net of refunds</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1"/>
                <w:szCs w:val="21"/>
                <w:color w:val="auto"/>
              </w:rPr>
            </w:pPr>
          </w:p>
        </w:tc>
        <w:tc>
          <w:tcPr>
            <w:tcW w:w="1120" w:type="dxa"/>
            <w:vAlign w:val="bottom"/>
          </w:tcPr>
          <w:p>
            <w:pPr>
              <w:ind w:left="640"/>
              <w:spacing w:after="0"/>
              <w:rPr>
                <w:sz w:val="20"/>
                <w:szCs w:val="20"/>
                <w:color w:val="auto"/>
              </w:rPr>
            </w:pPr>
            <w:r>
              <w:rPr>
                <w:rFonts w:ascii="Arial" w:cs="Arial" w:eastAsia="Arial" w:hAnsi="Arial"/>
                <w:sz w:val="20"/>
                <w:szCs w:val="20"/>
                <w:color w:val="auto"/>
                <w:w w:val="91"/>
              </w:rPr>
              <w:t>202.7</w:t>
            </w:r>
          </w:p>
        </w:tc>
        <w:tc>
          <w:tcPr>
            <w:tcW w:w="200" w:type="dxa"/>
            <w:vAlign w:val="bottom"/>
          </w:tcPr>
          <w:p>
            <w:pPr>
              <w:spacing w:after="0"/>
              <w:rPr>
                <w:sz w:val="21"/>
                <w:szCs w:val="21"/>
                <w:color w:val="auto"/>
              </w:rPr>
            </w:pPr>
          </w:p>
        </w:tc>
        <w:tc>
          <w:tcPr>
            <w:tcW w:w="2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160.0</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Conditon and Results of Operatons.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Martn Marieta Materials, Inc. (the Company or Martn Marieta) is a natural resource-based building materials company. As of September 30, 2023, the Company supplies aggregates (crushed stone, sand and gravel) through its network of approximately 350 quarries, mines and distributon yards in 28 states, Canada and The Bahamas. Martn Marieta also provides cement and downstream products, namely, ready mixed concrete, asphalt and paving services, in certain vertcally-integrated structured markets where the Company has a leading aggregates positon. In additon, the Company has one cement plant in Tehachapi, California that is classifed as assets held for sale and reported as discontnued operatons as of and for the three and nine months ended September 30, 2023 and 2022. The sale of the Tehachapi cement plant was completed on October 31, 2023. The Company's Stockton, California cement import terminal, through its May 2023 divestture date, was reported as discontnued operatons for the nine months ended September 30, 2023 and 2022, and classifed as assets held for sale as of December 31, 2022.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1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(contnuing operatons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60" w:type="dxa"/>
            <w:vAlign w:val="bottom"/>
          </w:tcPr>
          <w:p>
            <w:pPr>
              <w:jc w:val="center"/>
              <w:spacing w:after="0"/>
              <w:rPr>
                <w:sz w:val="20"/>
                <w:szCs w:val="20"/>
                <w:color w:val="auto"/>
              </w:rPr>
            </w:pPr>
            <w:r>
              <w:rPr>
                <w:rFonts w:ascii="Arial" w:cs="Arial" w:eastAsia="Arial" w:hAnsi="Arial"/>
                <w:sz w:val="20"/>
                <w:szCs w:val="20"/>
                <w:color w:val="auto"/>
                <w:w w:val="88"/>
              </w:rPr>
              <w:t>Reportable Segments</w:t>
            </w:r>
          </w:p>
        </w:tc>
        <w:tc>
          <w:tcPr>
            <w:tcW w:w="12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6"/>
              </w:rPr>
              <w:t>East Group</w:t>
            </w: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9"/>
              </w:rPr>
              <w:t>West Group</w:t>
            </w:r>
          </w:p>
        </w:tc>
        <w:tc>
          <w:tcPr>
            <w:tcW w:w="0" w:type="dxa"/>
            <w:vAlign w:val="bottom"/>
          </w:tcPr>
          <w:p>
            <w:pPr>
              <w:spacing w:after="0"/>
              <w:rPr>
                <w:sz w:val="1"/>
                <w:szCs w:val="1"/>
                <w:color w:val="auto"/>
              </w:rPr>
            </w:pPr>
          </w:p>
        </w:tc>
      </w:tr>
      <w:tr>
        <w:trPr>
          <w:trHeight w:val="44"/>
        </w:trPr>
        <w:tc>
          <w:tcPr>
            <w:tcW w:w="21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60" w:type="dxa"/>
            <w:vAlign w:val="bottom"/>
          </w:tcPr>
          <w:p>
            <w:pPr>
              <w:jc w:val="center"/>
              <w:spacing w:after="0" w:line="198" w:lineRule="exact"/>
              <w:rPr>
                <w:sz w:val="20"/>
                <w:szCs w:val="20"/>
                <w:color w:val="auto"/>
              </w:rPr>
            </w:pPr>
            <w:r>
              <w:rPr>
                <w:rFonts w:ascii="Arial" w:cs="Arial" w:eastAsia="Arial" w:hAnsi="Arial"/>
                <w:sz w:val="20"/>
                <w:szCs w:val="20"/>
                <w:color w:val="auto"/>
                <w:w w:val="94"/>
              </w:rPr>
              <w:t>Operatng Locatons</w:t>
            </w:r>
          </w:p>
        </w:tc>
        <w:tc>
          <w:tcPr>
            <w:tcW w:w="120" w:type="dxa"/>
            <w:vAlign w:val="bottom"/>
            <w:vMerge w:val="continue"/>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Arial" w:cs="Arial" w:eastAsia="Arial" w:hAnsi="Arial"/>
                <w:sz w:val="20"/>
                <w:szCs w:val="20"/>
                <w:color w:val="auto"/>
                <w:w w:val="89"/>
              </w:rPr>
              <w:t>Alabama, Florida, Georgia, Indiana, Iowa,</w:t>
            </w:r>
          </w:p>
        </w:tc>
        <w:tc>
          <w:tcPr>
            <w:tcW w:w="100" w:type="dxa"/>
            <w:vAlign w:val="bottom"/>
            <w:vMerge w:val="continue"/>
          </w:tcPr>
          <w:p>
            <w:pPr>
              <w:spacing w:after="0"/>
              <w:rPr>
                <w:sz w:val="17"/>
                <w:szCs w:val="17"/>
                <w:color w:val="auto"/>
              </w:rPr>
            </w:pPr>
          </w:p>
        </w:tc>
        <w:tc>
          <w:tcPr>
            <w:tcW w:w="4380" w:type="dxa"/>
            <w:vAlign w:val="bottom"/>
          </w:tcPr>
          <w:p>
            <w:pPr>
              <w:jc w:val="center"/>
              <w:spacing w:after="0" w:line="198" w:lineRule="exact"/>
              <w:rPr>
                <w:sz w:val="20"/>
                <w:szCs w:val="20"/>
                <w:color w:val="auto"/>
              </w:rPr>
            </w:pPr>
            <w:r>
              <w:rPr>
                <w:rFonts w:ascii="Arial" w:cs="Arial" w:eastAsia="Arial" w:hAnsi="Arial"/>
                <w:sz w:val="20"/>
                <w:szCs w:val="20"/>
                <w:color w:val="auto"/>
                <w:w w:val="87"/>
              </w:rPr>
              <w:t>Arizona, Arkansas, California, Colorado, Louisiana,</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8"/>
              </w:rPr>
              <w:t>Kansas, Kentucky, Maryland,</w:t>
            </w:r>
          </w:p>
        </w:tc>
        <w:tc>
          <w:tcPr>
            <w:tcW w:w="100" w:type="dxa"/>
            <w:vAlign w:val="bottom"/>
          </w:tcPr>
          <w:p>
            <w:pPr>
              <w:spacing w:after="0"/>
              <w:rPr>
                <w:sz w:val="21"/>
                <w:szCs w:val="21"/>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7"/>
              </w:rPr>
              <w:t>Oklahoma, Texas, Utah,</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0"/>
              </w:rPr>
              <w:t>Minnesota, Missouri, Nebraska,</w:t>
            </w:r>
          </w:p>
        </w:tc>
        <w:tc>
          <w:tcPr>
            <w:tcW w:w="100" w:type="dxa"/>
            <w:vAlign w:val="bottom"/>
          </w:tcPr>
          <w:p>
            <w:pPr>
              <w:spacing w:after="0"/>
              <w:rPr>
                <w:sz w:val="21"/>
                <w:szCs w:val="21"/>
                <w:color w:val="auto"/>
              </w:rPr>
            </w:pPr>
          </w:p>
        </w:tc>
        <w:tc>
          <w:tcPr>
            <w:tcW w:w="4380" w:type="dxa"/>
            <w:vAlign w:val="bottom"/>
          </w:tcPr>
          <w:p>
            <w:pPr>
              <w:ind w:left="1100"/>
              <w:spacing w:after="0"/>
              <w:rPr>
                <w:sz w:val="20"/>
                <w:szCs w:val="20"/>
                <w:color w:val="auto"/>
              </w:rPr>
            </w:pPr>
            <w:r>
              <w:rPr>
                <w:rFonts w:ascii="Arial" w:cs="Arial" w:eastAsia="Arial" w:hAnsi="Arial"/>
                <w:sz w:val="20"/>
                <w:szCs w:val="20"/>
                <w:color w:val="auto"/>
              </w:rPr>
              <w:t>Washington and Wyoming</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9"/>
              </w:rPr>
              <w:t>North Carolina, Ohio, Pennsylvania,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7"/>
              </w:rPr>
              <w:t>South Carolina, Tennessee, Virginia,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8"/>
              </w:rPr>
              <w:t>West Virginia, Nova Scota and The Bahamas</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60" w:type="dxa"/>
            <w:vAlign w:val="bottom"/>
          </w:tcPr>
          <w:p>
            <w:pPr>
              <w:jc w:val="center"/>
              <w:spacing w:after="0"/>
              <w:rPr>
                <w:sz w:val="20"/>
                <w:szCs w:val="20"/>
                <w:color w:val="auto"/>
              </w:rPr>
            </w:pPr>
            <w:r>
              <w:rPr>
                <w:rFonts w:ascii="Arial" w:cs="Arial" w:eastAsia="Arial" w:hAnsi="Arial"/>
                <w:sz w:val="20"/>
                <w:szCs w:val="20"/>
                <w:color w:val="auto"/>
                <w:w w:val="88"/>
              </w:rPr>
              <w:t>Product Lines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8"/>
              </w:rPr>
              <w:t>Aggregates and Asphalt</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6"/>
              </w:rPr>
              <w:t>Aggregates, Cement, Ready</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8"/>
              </w:rPr>
              <w:t>Mixed Concrete, Asphalt and Paving Services</w:t>
            </w:r>
          </w:p>
        </w:tc>
        <w:tc>
          <w:tcPr>
            <w:tcW w:w="0" w:type="dxa"/>
            <w:vAlign w:val="bottom"/>
          </w:tcPr>
          <w:p>
            <w:pPr>
              <w:spacing w:after="0"/>
              <w:rPr>
                <w:sz w:val="1"/>
                <w:szCs w:val="1"/>
                <w:color w:val="auto"/>
              </w:rPr>
            </w:pPr>
          </w:p>
        </w:tc>
      </w:tr>
      <w:tr>
        <w:trPr>
          <w:trHeight w:val="438"/>
        </w:trPr>
        <w:tc>
          <w:tcPr>
            <w:tcW w:w="2160" w:type="dxa"/>
            <w:vAlign w:val="bottom"/>
          </w:tcPr>
          <w:p>
            <w:pPr>
              <w:jc w:val="center"/>
              <w:spacing w:after="0"/>
              <w:rPr>
                <w:sz w:val="20"/>
                <w:szCs w:val="20"/>
                <w:color w:val="auto"/>
              </w:rPr>
            </w:pPr>
            <w:r>
              <w:rPr>
                <w:rFonts w:ascii="Arial" w:cs="Arial" w:eastAsia="Arial" w:hAnsi="Arial"/>
                <w:sz w:val="20"/>
                <w:szCs w:val="20"/>
                <w:color w:val="auto"/>
                <w:w w:val="86"/>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9"/>
              </w:rPr>
              <w:t>Quarries, Mines, Asphalt Plants and</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8"/>
              </w:rPr>
              <w:t>Quarries, Cement Plants, Asphalt Plants, Ready Mixed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6"/>
              </w:rPr>
              <w:t>Distributon Facilites</w:t>
            </w:r>
          </w:p>
        </w:tc>
        <w:tc>
          <w:tcPr>
            <w:tcW w:w="100" w:type="dxa"/>
            <w:vAlign w:val="bottom"/>
          </w:tcPr>
          <w:p>
            <w:pPr>
              <w:spacing w:after="0"/>
              <w:rPr>
                <w:sz w:val="21"/>
                <w:szCs w:val="21"/>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8"/>
              </w:rPr>
              <w:t>Concrete Plants and</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6"/>
              </w:rPr>
              <w:t>Distributon Facilites</w:t>
            </w:r>
          </w:p>
        </w:tc>
        <w:tc>
          <w:tcPr>
            <w:tcW w:w="0" w:type="dxa"/>
            <w:vAlign w:val="bottom"/>
          </w:tcPr>
          <w:p>
            <w:pPr>
              <w:spacing w:after="0"/>
              <w:rPr>
                <w:sz w:val="1"/>
                <w:szCs w:val="1"/>
                <w:color w:val="auto"/>
              </w:rPr>
            </w:pPr>
          </w:p>
        </w:tc>
      </w:tr>
      <w:tr>
        <w:trPr>
          <w:trHeight w:val="459"/>
        </w:trPr>
        <w:tc>
          <w:tcPr>
            <w:tcW w:w="2160" w:type="dxa"/>
            <w:vAlign w:val="bottom"/>
          </w:tcPr>
          <w:p>
            <w:pPr>
              <w:jc w:val="center"/>
              <w:spacing w:after="0"/>
              <w:rPr>
                <w:sz w:val="20"/>
                <w:szCs w:val="20"/>
                <w:color w:val="auto"/>
              </w:rPr>
            </w:pPr>
            <w:r>
              <w:rPr>
                <w:rFonts w:ascii="Arial" w:cs="Arial" w:eastAsia="Arial" w:hAnsi="Arial"/>
                <w:sz w:val="20"/>
                <w:szCs w:val="20"/>
                <w:color w:val="auto"/>
                <w:w w:val="93"/>
              </w:rPr>
              <w:t>Modes of Transportaton</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85"/>
              </w:rPr>
              <w:t>Truck, Railcar, Ship and Barge</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86"/>
              </w:rPr>
              <w:t>Truck and Railcar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-2422525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Building Materials business is signifcantly afected by weather paterns, seasonal changes and other climate-related conditons. Producton and shipment levels for aggregates, cement, ready mixed concrete and asphalt materials correlate with general constructon actvity levels, most of which occur in the spring, summer and fall. Thus, producton and shipment levels vary by quarter. Operatons concentrated in the northern and midwestern United States generally experience more severe winter weather conditons than operatons in the Southeast, Southwest and West. Excessive rainfall, drought, heat or cold,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2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Company outlined its critcal accountng policies in its Annual Report on Form 10-K for the year ended December 31, 2022. There were no changes to the Company’s critcal accountng policies during the nine months ended September 30, 2023.</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Earnings from contnuing operatons before interest; income taxes; depreciaton, depleton and amortzaton; earnings/loss from nonconsolidated equity afliates; acquisiton and integraton expenses; and the nonrecurring gain on divestture (Adjusted EBITDA) is an indicator used by the Company and investors to evaluate the Company’s operatng performance from period to period. Adjusted EBITDA is not defned by accountng principles generally accepted in the United States (GAAP) and, as such, should not be construed as an alternatve to net earnings atributable to Martn Marieta, earnings from operatons or operatng cash fow. Since Adjusted EBITDA excludes some, but not all, items that afect net earnings and may vary among companies, Adjusted EBITDA as presented by the Company may not be comparable with similarly ttled measures of other companies.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reconciliaton of net earnings from contnuing operatons atributable to Martn Marieta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5"/>
          </w:tcPr>
          <w:p>
            <w:pPr>
              <w:jc w:val="right"/>
              <w:ind w:right="652"/>
              <w:spacing w:after="0"/>
              <w:rPr>
                <w:sz w:val="20"/>
                <w:szCs w:val="20"/>
                <w:color w:val="auto"/>
              </w:rPr>
            </w:pPr>
            <w:r>
              <w:rPr>
                <w:rFonts w:ascii="Arial" w:cs="Arial" w:eastAsia="Arial" w:hAnsi="Arial"/>
                <w:sz w:val="20"/>
                <w:szCs w:val="20"/>
                <w:color w:val="auto"/>
              </w:rPr>
              <w:t>Three Months Ended</w:t>
            </w:r>
          </w:p>
        </w:tc>
        <w:tc>
          <w:tcPr>
            <w:tcW w:w="260" w:type="dxa"/>
            <w:vAlign w:val="bottom"/>
          </w:tcPr>
          <w:p>
            <w:pPr>
              <w:spacing w:after="0"/>
              <w:rPr>
                <w:sz w:val="21"/>
                <w:szCs w:val="21"/>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60" w:type="dxa"/>
            <w:vAlign w:val="bottom"/>
            <w:gridSpan w:val="5"/>
          </w:tcPr>
          <w:p>
            <w:pPr>
              <w:jc w:val="right"/>
              <w:ind w:right="912"/>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23"/>
                <w:szCs w:val="23"/>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45"/>
        </w:trPr>
        <w:tc>
          <w:tcPr>
            <w:tcW w:w="55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2022</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2023</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2022</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40" w:type="dxa"/>
            <w:vAlign w:val="bottom"/>
          </w:tcPr>
          <w:p>
            <w:pPr>
              <w:jc w:val="right"/>
              <w:ind w:right="32"/>
              <w:spacing w:after="0"/>
              <w:rPr>
                <w:sz w:val="20"/>
                <w:szCs w:val="20"/>
                <w:color w:val="auto"/>
              </w:rPr>
            </w:pPr>
            <w:r>
              <w:rPr>
                <w:rFonts w:ascii="Arial" w:cs="Arial" w:eastAsia="Arial" w:hAnsi="Arial"/>
                <w:sz w:val="18"/>
                <w:szCs w:val="18"/>
                <w:i w:val="1"/>
                <w:iCs w:val="1"/>
                <w:color w:val="auto"/>
                <w:w w:val="71"/>
              </w:rPr>
              <w:t>in</w:t>
            </w:r>
          </w:p>
        </w:tc>
        <w:tc>
          <w:tcPr>
            <w:tcW w:w="118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FF0FC"/>
          </w:tcPr>
          <w:p>
            <w:pPr>
              <w:ind w:left="20"/>
              <w:spacing w:after="0" w:line="228" w:lineRule="exact"/>
              <w:rPr>
                <w:sz w:val="20"/>
                <w:szCs w:val="20"/>
                <w:color w:val="auto"/>
              </w:rPr>
            </w:pPr>
            <w:r>
              <w:rPr>
                <w:rFonts w:ascii="Arial" w:cs="Arial" w:eastAsia="Arial" w:hAnsi="Arial"/>
                <w:sz w:val="20"/>
                <w:szCs w:val="20"/>
                <w:color w:val="auto"/>
              </w:rPr>
              <w:t>Net earnings from contnuing operatons atributable to Martn</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Marieta</w:t>
            </w:r>
          </w:p>
        </w:tc>
        <w:tc>
          <w:tcPr>
            <w:tcW w:w="2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430.3</w:t>
            </w:r>
          </w:p>
        </w:tc>
        <w:tc>
          <w:tcPr>
            <w:tcW w:w="540" w:type="dxa"/>
            <w:vAlign w:val="bottom"/>
            <w:tcBorders>
              <w:bottom w:val="single" w:sz="8" w:color="CFF0FC"/>
            </w:tcBorders>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291.2</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912.2</w:t>
            </w:r>
          </w:p>
        </w:tc>
        <w:tc>
          <w:tcPr>
            <w:tcW w:w="500" w:type="dxa"/>
            <w:vAlign w:val="bottom"/>
            <w:tcBorders>
              <w:bottom w:val="single" w:sz="8" w:color="CFF0FC"/>
            </w:tcBorders>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668.9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60" w:type="dxa"/>
            <w:vAlign w:val="bottom"/>
          </w:tcPr>
          <w:p>
            <w:pPr>
              <w:ind w:left="20"/>
              <w:spacing w:after="0"/>
              <w:rPr>
                <w:sz w:val="20"/>
                <w:szCs w:val="20"/>
                <w:color w:val="auto"/>
              </w:rPr>
            </w:pPr>
            <w:r>
              <w:rPr>
                <w:rFonts w:ascii="Arial" w:cs="Arial" w:eastAsia="Arial" w:hAnsi="Arial"/>
                <w:sz w:val="20"/>
                <w:szCs w:val="20"/>
                <w:color w:val="auto"/>
              </w:rPr>
              <w:t>Add back (Deduct):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Interest expense, net of interest income</w:t>
            </w: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38.8</w:t>
            </w:r>
          </w:p>
        </w:tc>
        <w:tc>
          <w:tcPr>
            <w:tcW w:w="2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93.1</w:t>
            </w: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60" w:type="dxa"/>
            <w:vAlign w:val="bottom"/>
          </w:tcPr>
          <w:p>
            <w:pPr>
              <w:ind w:left="200"/>
              <w:spacing w:after="0"/>
              <w:rPr>
                <w:sz w:val="20"/>
                <w:szCs w:val="20"/>
                <w:color w:val="auto"/>
              </w:rPr>
            </w:pPr>
            <w:r>
              <w:rPr>
                <w:rFonts w:ascii="Arial" w:cs="Arial" w:eastAsia="Arial" w:hAnsi="Arial"/>
                <w:sz w:val="20"/>
                <w:szCs w:val="20"/>
                <w:color w:val="auto"/>
              </w:rPr>
              <w:t>Income tax expense for controlling interests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109.9</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79.1</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237.3</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189.4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FF0FC"/>
          </w:tcPr>
          <w:p>
            <w:pPr>
              <w:ind w:left="200"/>
              <w:spacing w:after="0" w:line="228" w:lineRule="exact"/>
              <w:rPr>
                <w:sz w:val="20"/>
                <w:szCs w:val="20"/>
                <w:color w:val="auto"/>
              </w:rPr>
            </w:pPr>
            <w:r>
              <w:rPr>
                <w:rFonts w:ascii="Arial" w:cs="Arial" w:eastAsia="Arial" w:hAnsi="Arial"/>
                <w:sz w:val="20"/>
                <w:szCs w:val="20"/>
                <w:color w:val="auto"/>
              </w:rPr>
              <w:t>Depreciaton, depleton and amortzaton expense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FF0FC"/>
          </w:tcPr>
          <w:p>
            <w:pPr>
              <w:ind w:left="340"/>
              <w:spacing w:after="0"/>
              <w:rPr>
                <w:sz w:val="20"/>
                <w:szCs w:val="20"/>
                <w:color w:val="auto"/>
              </w:rPr>
            </w:pPr>
            <w:r>
              <w:rPr>
                <w:rFonts w:ascii="Arial" w:cs="Arial" w:eastAsia="Arial" w:hAnsi="Arial"/>
                <w:sz w:val="20"/>
                <w:szCs w:val="20"/>
                <w:color w:val="auto"/>
              </w:rPr>
              <w:t>and earnings/loss from nonconsolidated equity</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6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20"/>
                <w:szCs w:val="20"/>
                <w:color w:val="auto"/>
              </w:rPr>
              <w:t>afliates</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129.8</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122.4</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378.1</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374.6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60" w:type="dxa"/>
            <w:vAlign w:val="bottom"/>
          </w:tcPr>
          <w:p>
            <w:pPr>
              <w:ind w:left="200"/>
              <w:spacing w:after="0"/>
              <w:rPr>
                <w:sz w:val="20"/>
                <w:szCs w:val="20"/>
                <w:color w:val="auto"/>
              </w:rPr>
            </w:pPr>
            <w:r>
              <w:rPr>
                <w:rFonts w:ascii="Arial" w:cs="Arial" w:eastAsia="Arial" w:hAnsi="Arial"/>
                <w:sz w:val="20"/>
                <w:szCs w:val="20"/>
                <w:color w:val="auto"/>
              </w:rPr>
              <w:t>Acquisiton and integraton expenses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3.3</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4.5</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Nonrecurring gain on divestture</w:t>
            </w:r>
          </w:p>
        </w:tc>
        <w:tc>
          <w:tcPr>
            <w:tcW w:w="28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180" w:type="dxa"/>
            <w:vAlign w:val="bottom"/>
            <w:gridSpan w:val="2"/>
            <w:shd w:val="clear" w:color="auto" w:fill="CFF0FC"/>
          </w:tcPr>
          <w:p>
            <w:pPr>
              <w:jc w:val="right"/>
              <w:ind w:right="72"/>
              <w:spacing w:after="0"/>
              <w:rPr>
                <w:sz w:val="20"/>
                <w:szCs w:val="20"/>
                <w:color w:val="auto"/>
              </w:rPr>
            </w:pPr>
            <w:r>
              <w:rPr>
                <w:rFonts w:ascii="Arial" w:cs="Arial" w:eastAsia="Arial" w:hAnsi="Arial"/>
                <w:sz w:val="20"/>
                <w:szCs w:val="20"/>
                <w:color w:val="auto"/>
              </w:rPr>
              <w:t>(0.2 )</w:t>
            </w:r>
          </w:p>
        </w:tc>
        <w:tc>
          <w:tcPr>
            <w:tcW w:w="26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(151.9 )</w:t>
            </w:r>
          </w:p>
        </w:tc>
        <w:tc>
          <w:tcPr>
            <w:tcW w:w="0" w:type="dxa"/>
            <w:vAlign w:val="bottom"/>
          </w:tcPr>
          <w:p>
            <w:pPr>
              <w:spacing w:after="0"/>
              <w:rPr>
                <w:sz w:val="1"/>
                <w:szCs w:val="1"/>
                <w:color w:val="auto"/>
              </w:rPr>
            </w:pPr>
          </w:p>
        </w:tc>
      </w:tr>
      <w:tr>
        <w:trPr>
          <w:trHeight w:val="264"/>
        </w:trPr>
        <w:tc>
          <w:tcPr>
            <w:tcW w:w="556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Adjusted EBITDA</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705.2</w:t>
            </w:r>
          </w:p>
        </w:tc>
        <w:tc>
          <w:tcPr>
            <w:tcW w:w="280" w:type="dxa"/>
            <w:vAlign w:val="bottom"/>
            <w:tcBorders>
              <w:top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533.1</w:t>
            </w:r>
          </w:p>
        </w:tc>
        <w:tc>
          <w:tcPr>
            <w:tcW w:w="240" w:type="dxa"/>
            <w:vAlign w:val="bottom"/>
            <w:tcBorders>
              <w:top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1,625.2</w:t>
            </w:r>
          </w:p>
        </w:tc>
        <w:tc>
          <w:tcPr>
            <w:tcW w:w="26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1,208.6</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-205105</wp:posOffset>
            </wp:positionV>
            <wp:extent cx="7683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-205105</wp:posOffset>
            </wp:positionV>
            <wp:extent cx="68580"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-205105</wp:posOffset>
            </wp:positionV>
            <wp:extent cx="68580"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37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Mix-adjusted average selling price (mix-adjusted ASP) is a non-GAAP measure that excludes the impacts of period-over-period product, geographic and other mix on average selling price. Mix-adjusted ASP is calculated by comparing current-period shipments to like-for-like shipments in the comparable prior period. Management uses this metric to evaluate the realizaton of pricing increases and believes this informaton is useful to investors as it provides same-on-same pricing trends. The following reconciles reported average selling price to mix-adjusted ASP and corresponding variances: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4"/>
          </w:tcPr>
          <w:p>
            <w:pPr>
              <w:jc w:val="right"/>
              <w:ind w:right="38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4"/>
          </w:tcPr>
          <w:p>
            <w:pPr>
              <w:jc w:val="right"/>
              <w:ind w:right="381"/>
              <w:spacing w:after="0"/>
              <w:rPr>
                <w:sz w:val="20"/>
                <w:szCs w:val="20"/>
                <w:color w:val="auto"/>
              </w:rPr>
            </w:pPr>
            <w:r>
              <w:rPr>
                <w:rFonts w:ascii="Arial" w:cs="Arial" w:eastAsia="Arial" w:hAnsi="Arial"/>
                <w:sz w:val="20"/>
                <w:szCs w:val="20"/>
                <w:color w:val="auto"/>
              </w:rPr>
              <w:t>Nine Months Ended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gridSpan w:val="4"/>
          </w:tcPr>
          <w:p>
            <w:pPr>
              <w:jc w:val="right"/>
              <w:ind w:right="621"/>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gridSpan w:val="4"/>
          </w:tcPr>
          <w:p>
            <w:pPr>
              <w:jc w:val="right"/>
              <w:ind w:right="601"/>
              <w:spacing w:after="0"/>
              <w:rPr>
                <w:sz w:val="20"/>
                <w:szCs w:val="20"/>
                <w:color w:val="auto"/>
              </w:rPr>
            </w:pPr>
            <w:r>
              <w:rPr>
                <w:rFonts w:ascii="Arial" w:cs="Arial" w:eastAsia="Arial" w:hAnsi="Arial"/>
                <w:sz w:val="20"/>
                <w:szCs w:val="20"/>
                <w:color w:val="auto"/>
              </w:rPr>
              <w:t>September 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57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2023</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2023</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line="228" w:lineRule="exact"/>
              <w:rPr>
                <w:sz w:val="20"/>
                <w:szCs w:val="20"/>
                <w:color w:val="auto"/>
              </w:rPr>
            </w:pPr>
            <w:r>
              <w:rPr>
                <w:rFonts w:ascii="Arial" w:cs="Arial" w:eastAsia="Arial" w:hAnsi="Arial"/>
                <w:sz w:val="20"/>
                <w:szCs w:val="20"/>
                <w:b w:val="1"/>
                <w:bCs w:val="1"/>
                <w:color w:val="auto"/>
              </w:rPr>
              <w:t>Aggregates: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Reported average selling price</w:t>
            </w:r>
          </w:p>
        </w:tc>
        <w:tc>
          <w:tcPr>
            <w:tcW w:w="2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19.98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16.65</w:t>
            </w:r>
          </w:p>
        </w:tc>
        <w:tc>
          <w:tcPr>
            <w:tcW w:w="460" w:type="dxa"/>
            <w:vAlign w:val="bottom"/>
            <w:tcBorders>
              <w:bottom w:val="single" w:sz="8" w:color="CFF0FC"/>
            </w:tcBorders>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19.72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700" w:type="dxa"/>
            <w:vAlign w:val="bottom"/>
          </w:tcPr>
          <w:p>
            <w:pPr>
              <w:ind w:left="20"/>
              <w:spacing w:after="0" w:line="201" w:lineRule="exact"/>
              <w:rPr>
                <w:sz w:val="20"/>
                <w:szCs w:val="20"/>
                <w:color w:val="auto"/>
              </w:rPr>
            </w:pPr>
            <w:r>
              <w:rPr>
                <w:rFonts w:ascii="Arial" w:cs="Arial" w:eastAsia="Arial" w:hAnsi="Arial"/>
                <w:sz w:val="20"/>
                <w:szCs w:val="20"/>
                <w:color w:val="auto"/>
              </w:rPr>
              <w:t>Adjustment for impact of product, geographic</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(0.47 )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(0.34 )</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160"/>
              <w:spacing w:after="0"/>
              <w:rPr>
                <w:sz w:val="20"/>
                <w:szCs w:val="20"/>
                <w:color w:val="auto"/>
              </w:rPr>
            </w:pPr>
            <w:r>
              <w:rPr>
                <w:rFonts w:ascii="Arial" w:cs="Arial" w:eastAsia="Arial" w:hAnsi="Arial"/>
                <w:sz w:val="20"/>
                <w:szCs w:val="20"/>
                <w:color w:val="auto"/>
              </w:rPr>
              <w:t>and other mix</w:t>
            </w:r>
          </w:p>
        </w:tc>
        <w:tc>
          <w:tcPr>
            <w:tcW w:w="2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Mix-adjusted ASP</w:t>
            </w: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19.51</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70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Reported average selling price variance</w:t>
            </w:r>
          </w:p>
        </w:tc>
        <w:tc>
          <w:tcPr>
            <w:tcW w:w="24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20.0 %</w:t>
            </w:r>
          </w:p>
        </w:tc>
        <w:tc>
          <w:tcPr>
            <w:tcW w:w="2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20.2 %</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00" w:type="dxa"/>
            <w:vAlign w:val="bottom"/>
          </w:tcPr>
          <w:p>
            <w:pPr>
              <w:ind w:left="20"/>
              <w:spacing w:after="0"/>
              <w:rPr>
                <w:sz w:val="20"/>
                <w:szCs w:val="20"/>
                <w:color w:val="auto"/>
              </w:rPr>
            </w:pPr>
            <w:r>
              <w:rPr>
                <w:rFonts w:ascii="Arial" w:cs="Arial" w:eastAsia="Arial" w:hAnsi="Arial"/>
                <w:sz w:val="20"/>
                <w:szCs w:val="20"/>
                <w:color w:val="auto"/>
              </w:rPr>
              <w:t>Mix-adjusted ASP variance</w:t>
            </w: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17.2 %</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0"/>
                <w:szCs w:val="20"/>
                <w:color w:val="auto"/>
              </w:rPr>
              <w:t>18.1 %</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00" w:type="dxa"/>
            <w:vAlign w:val="bottom"/>
          </w:tcPr>
          <w:p>
            <w:pPr>
              <w:ind w:left="20"/>
              <w:spacing w:after="0"/>
              <w:rPr>
                <w:sz w:val="20"/>
                <w:szCs w:val="20"/>
                <w:color w:val="auto"/>
              </w:rPr>
            </w:pPr>
            <w:r>
              <w:rPr>
                <w:rFonts w:ascii="Arial" w:cs="Arial" w:eastAsia="Arial" w:hAnsi="Arial"/>
                <w:sz w:val="20"/>
                <w:szCs w:val="20"/>
                <w:b w:val="1"/>
                <w:bCs w:val="1"/>
                <w:color w:val="auto"/>
              </w:rPr>
              <w:t>Cement - Contnuing Operatons: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Reported average selling price</w:t>
            </w:r>
          </w:p>
        </w:tc>
        <w:tc>
          <w:tcPr>
            <w:tcW w:w="2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177.48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149.24</w:t>
            </w:r>
          </w:p>
        </w:tc>
        <w:tc>
          <w:tcPr>
            <w:tcW w:w="460" w:type="dxa"/>
            <w:vAlign w:val="bottom"/>
            <w:tcBorders>
              <w:bottom w:val="single" w:sz="8" w:color="CFF0FC"/>
            </w:tcBorders>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172.93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700" w:type="dxa"/>
            <w:vAlign w:val="bottom"/>
          </w:tcPr>
          <w:p>
            <w:pPr>
              <w:ind w:left="20"/>
              <w:spacing w:after="0" w:line="201" w:lineRule="exact"/>
              <w:rPr>
                <w:sz w:val="20"/>
                <w:szCs w:val="20"/>
                <w:color w:val="auto"/>
              </w:rPr>
            </w:pPr>
            <w:r>
              <w:rPr>
                <w:rFonts w:ascii="Arial" w:cs="Arial" w:eastAsia="Arial" w:hAnsi="Arial"/>
                <w:sz w:val="20"/>
                <w:szCs w:val="20"/>
                <w:color w:val="auto"/>
              </w:rPr>
              <w:t>Adjustment for impact of product, geographic</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(0.44 )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(0.44 )</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160"/>
              <w:spacing w:after="0"/>
              <w:rPr>
                <w:sz w:val="20"/>
                <w:szCs w:val="20"/>
                <w:color w:val="auto"/>
              </w:rPr>
            </w:pPr>
            <w:r>
              <w:rPr>
                <w:rFonts w:ascii="Arial" w:cs="Arial" w:eastAsia="Arial" w:hAnsi="Arial"/>
                <w:sz w:val="20"/>
                <w:szCs w:val="20"/>
                <w:color w:val="auto"/>
              </w:rPr>
              <w:t>and other mix</w:t>
            </w:r>
          </w:p>
        </w:tc>
        <w:tc>
          <w:tcPr>
            <w:tcW w:w="2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Mix-adjusted ASP</w:t>
            </w: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177.04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172.49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70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Reported average selling price variance</w:t>
            </w:r>
          </w:p>
        </w:tc>
        <w:tc>
          <w:tcPr>
            <w:tcW w:w="24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18.9 %</w:t>
            </w:r>
          </w:p>
        </w:tc>
        <w:tc>
          <w:tcPr>
            <w:tcW w:w="2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23.8 %</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Pr>
          <w:p>
            <w:pPr>
              <w:ind w:left="20"/>
              <w:spacing w:after="0"/>
              <w:rPr>
                <w:sz w:val="20"/>
                <w:szCs w:val="20"/>
                <w:color w:val="auto"/>
              </w:rPr>
            </w:pPr>
            <w:r>
              <w:rPr>
                <w:rFonts w:ascii="Arial" w:cs="Arial" w:eastAsia="Arial" w:hAnsi="Arial"/>
                <w:sz w:val="20"/>
                <w:szCs w:val="20"/>
                <w:color w:val="auto"/>
              </w:rPr>
              <w:t>Mix-adjusted ASP variance</w:t>
            </w: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18.6 %</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0"/>
                <w:szCs w:val="20"/>
                <w:color w:val="auto"/>
              </w:rPr>
              <w:t>23.5 %</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-2742565</wp:posOffset>
            </wp:positionV>
            <wp:extent cx="1843405" cy="3517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43405" cy="3517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-2219325</wp:posOffset>
            </wp:positionV>
            <wp:extent cx="1877695" cy="196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77695" cy="1968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-1851025</wp:posOffset>
            </wp:positionV>
            <wp:extent cx="1877695"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77695" cy="22288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-1113790</wp:posOffset>
            </wp:positionV>
            <wp:extent cx="1843405" cy="3517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43405" cy="3517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-590550</wp:posOffset>
            </wp:positionV>
            <wp:extent cx="1877695" cy="1968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77695" cy="1968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-222250</wp:posOffset>
            </wp:positionV>
            <wp:extent cx="1877695" cy="2228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77695" cy="22288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Quarter Ended September 30, 2023</w:t>
      </w:r>
    </w:p>
    <w:p>
      <w:pPr>
        <w:spacing w:after="0" w:line="12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Financial highlights for the quarter ended September 30, 2023 (unless noted, all comparisons are versus the prior-year quarter and for contnuing operatons):</w:t>
      </w:r>
    </w:p>
    <w:p>
      <w:pPr>
        <w:spacing w:after="0" w:line="82" w:lineRule="exact"/>
        <w:rPr>
          <w:sz w:val="20"/>
          <w:szCs w:val="20"/>
          <w:color w:val="auto"/>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Consolidated total revenues of $1.99 billion compared with $1.81 billion</w:t>
      </w:r>
    </w:p>
    <w:p>
      <w:pPr>
        <w:spacing w:after="0" w:line="28"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Building Materials business total revenues of $1.92 billion compared with $1.74 billion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Magnesia Specialtes total revenues of $75.5 million compared with $75.7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Consolidated gross proft of $676.0 million compared with $487.8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Consolidated earnings from operatons of $566.6 million compared with $405.9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Net earnings from contnuing operatons atributable to Martn Marieta of $430.3 million compared with $291.2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Adjusted EBITDA of $705.2 million compared with $533.1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Earnings per diluted share from contnuing operatons of $6.94 compared with $4.67</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following tables present total revenues and gross proft (loss) for the Company and its reportable segments by product line for contnuing operatons for the three months ended September 30, 2023 and 2022. In each case, the data is stated as a percentage of revenues of the Company or the relevant segment or product line, as the case may be.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60" w:type="dxa"/>
            <w:vAlign w:val="bottom"/>
            <w:gridSpan w:val="8"/>
          </w:tcPr>
          <w:p>
            <w:pPr>
              <w:jc w:val="right"/>
              <w:ind w:right="220"/>
              <w:spacing w:after="0"/>
              <w:rPr>
                <w:sz w:val="20"/>
                <w:szCs w:val="20"/>
                <w:color w:val="auto"/>
              </w:rPr>
            </w:pPr>
            <w:r>
              <w:rPr>
                <w:rFonts w:ascii="Arial" w:cs="Arial" w:eastAsia="Arial" w:hAnsi="Arial"/>
                <w:sz w:val="20"/>
                <w:szCs w:val="20"/>
                <w:color w:val="auto"/>
                <w:w w:val="90"/>
              </w:rPr>
              <w:t>Three Months Ended September 30,</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5"/>
        </w:trPr>
        <w:tc>
          <w:tcPr>
            <w:tcW w:w="4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7"/>
        </w:trPr>
        <w:tc>
          <w:tcPr>
            <w:tcW w:w="4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4"/>
              </w:rPr>
              <w:t>2023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2022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4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5"/>
              </w:rPr>
              <w:t>Amount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92"/>
              </w:rPr>
              <w:t>Amount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gridSpan w:val="4"/>
          </w:tcPr>
          <w:p>
            <w:pPr>
              <w:ind w:left="300"/>
              <w:spacing w:after="0" w:line="226" w:lineRule="exact"/>
              <w:rPr>
                <w:sz w:val="20"/>
                <w:szCs w:val="20"/>
                <w:color w:val="auto"/>
              </w:rPr>
            </w:pPr>
            <w:r>
              <w:rPr>
                <w:rFonts w:ascii="Arial" w:cs="Arial" w:eastAsia="Arial" w:hAnsi="Arial"/>
                <w:sz w:val="20"/>
                <w:szCs w:val="20"/>
                <w:i w:val="1"/>
                <w:iCs w:val="1"/>
                <w:color w:val="auto"/>
                <w:w w:val="95"/>
              </w:rPr>
              <w:t>(Dollars in Millions)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
        </w:trPr>
        <w:tc>
          <w:tcPr>
            <w:tcW w:w="4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0"/>
        </w:trPr>
        <w:tc>
          <w:tcPr>
            <w:tcW w:w="494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East Group</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940" w:type="dxa"/>
            <w:vAlign w:val="bottom"/>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735.7</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2"/>
          </w:tcPr>
          <w:p>
            <w:pPr>
              <w:jc w:val="right"/>
              <w:ind w:right="2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686.0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Asphalt</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90.4</w:t>
            </w: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96.8</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3"/>
        </w:trPr>
        <w:tc>
          <w:tcPr>
            <w:tcW w:w="4940" w:type="dxa"/>
            <w:vAlign w:val="bottom"/>
          </w:tcPr>
          <w:p>
            <w:pPr>
              <w:ind w:left="480"/>
              <w:spacing w:after="0"/>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22"/>
                <w:szCs w:val="22"/>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20"/>
                <w:szCs w:val="20"/>
                <w:color w:val="auto"/>
              </w:rPr>
              <w:t>(11.8 )</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20"/>
                <w:szCs w:val="20"/>
                <w:color w:val="auto"/>
              </w:rPr>
              <w:t>(9.2 )</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9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East Group Total</w:t>
            </w:r>
          </w:p>
        </w:tc>
        <w:tc>
          <w:tcPr>
            <w:tcW w:w="240" w:type="dxa"/>
            <w:vAlign w:val="bottom"/>
            <w:tcBorders>
              <w:top w:val="single" w:sz="8" w:color="auto"/>
              <w:bottom w:val="single" w:sz="8" w:color="auto"/>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814.3</w:t>
            </w:r>
          </w:p>
        </w:tc>
        <w:tc>
          <w:tcPr>
            <w:tcW w:w="3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773.6</w:t>
            </w: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60"/>
        </w:trPr>
        <w:tc>
          <w:tcPr>
            <w:tcW w:w="4940" w:type="dxa"/>
            <w:vAlign w:val="bottom"/>
          </w:tcPr>
          <w:p>
            <w:pPr>
              <w:ind w:left="30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480.6</w:t>
            </w: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444.7</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940" w:type="dxa"/>
            <w:vAlign w:val="bottom"/>
          </w:tcPr>
          <w:p>
            <w:pPr>
              <w:ind w:left="48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199.1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168.2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285.2</w:t>
            </w: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227.7</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940" w:type="dxa"/>
            <w:vAlign w:val="bottom"/>
          </w:tcPr>
          <w:p>
            <w:pPr>
              <w:ind w:left="480"/>
              <w:spacing w:after="0"/>
              <w:rPr>
                <w:sz w:val="20"/>
                <w:szCs w:val="20"/>
                <w:color w:val="auto"/>
              </w:rPr>
            </w:pPr>
            <w:r>
              <w:rPr>
                <w:rFonts w:ascii="Arial" w:cs="Arial" w:eastAsia="Arial" w:hAnsi="Arial"/>
                <w:sz w:val="20"/>
                <w:szCs w:val="20"/>
                <w:color w:val="auto"/>
              </w:rPr>
              <w:t>Asphalt and paving services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269.5</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217.2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3"/>
        </w:trPr>
        <w:tc>
          <w:tcPr>
            <w:tcW w:w="4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(130.1 )</w:t>
            </w:r>
          </w:p>
        </w:tc>
        <w:tc>
          <w:tcPr>
            <w:tcW w:w="1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00" w:type="dxa"/>
            <w:vAlign w:val="bottom"/>
            <w:gridSpan w:val="3"/>
            <w:shd w:val="clear" w:color="auto" w:fill="CFF0FC"/>
          </w:tcPr>
          <w:p>
            <w:pPr>
              <w:jc w:val="right"/>
              <w:ind w:right="160"/>
              <w:spacing w:after="0"/>
              <w:rPr>
                <w:sz w:val="20"/>
                <w:szCs w:val="20"/>
                <w:color w:val="auto"/>
              </w:rPr>
            </w:pPr>
            <w:r>
              <w:rPr>
                <w:rFonts w:ascii="Arial" w:cs="Arial" w:eastAsia="Arial" w:hAnsi="Arial"/>
                <w:sz w:val="20"/>
                <w:szCs w:val="20"/>
                <w:color w:val="auto"/>
              </w:rPr>
              <w:t>(95.4 )</w:t>
            </w:r>
          </w:p>
        </w:tc>
        <w:tc>
          <w:tcPr>
            <w:tcW w:w="13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4"/>
        </w:trPr>
        <w:tc>
          <w:tcPr>
            <w:tcW w:w="4940" w:type="dxa"/>
            <w:vAlign w:val="bottom"/>
            <w:tcBorders>
              <w:top w:val="single" w:sz="8" w:color="CFF0FC"/>
            </w:tcBorders>
          </w:tcPr>
          <w:p>
            <w:pPr>
              <w:ind w:left="300"/>
              <w:spacing w:after="0"/>
              <w:rPr>
                <w:sz w:val="20"/>
                <w:szCs w:val="20"/>
                <w:color w:val="auto"/>
              </w:rPr>
            </w:pPr>
            <w:r>
              <w:rPr>
                <w:rFonts w:ascii="Arial" w:cs="Arial" w:eastAsia="Arial" w:hAnsi="Arial"/>
                <w:sz w:val="20"/>
                <w:szCs w:val="20"/>
                <w:color w:val="auto"/>
              </w:rPr>
              <w:t>West Group Total</w:t>
            </w: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1,104.3</w:t>
            </w:r>
          </w:p>
        </w:tc>
        <w:tc>
          <w:tcPr>
            <w:tcW w:w="32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1300" w:type="dxa"/>
            <w:vAlign w:val="bottom"/>
            <w:tcBorders>
              <w:top w:val="single" w:sz="8" w:color="CFF0FC"/>
            </w:tcBorders>
          </w:tcPr>
          <w:p>
            <w:pPr>
              <w:spacing w:after="0"/>
              <w:rPr>
                <w:sz w:val="22"/>
                <w:szCs w:val="22"/>
                <w:color w:val="auto"/>
              </w:rPr>
            </w:pPr>
          </w:p>
        </w:tc>
        <w:tc>
          <w:tcPr>
            <w:tcW w:w="220" w:type="dxa"/>
            <w:vAlign w:val="bottom"/>
            <w:tcBorders>
              <w:top w:val="single" w:sz="8" w:color="CFF0FC"/>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962.4</w:t>
            </w:r>
          </w:p>
        </w:tc>
        <w:tc>
          <w:tcPr>
            <w:tcW w:w="20" w:type="dxa"/>
            <w:vAlign w:val="bottom"/>
            <w:tcBorders>
              <w:top w:val="single" w:sz="8" w:color="CFF0FC"/>
            </w:tcBorders>
          </w:tcPr>
          <w:p>
            <w:pPr>
              <w:spacing w:after="0"/>
              <w:rPr>
                <w:sz w:val="22"/>
                <w:szCs w:val="22"/>
                <w:color w:val="auto"/>
              </w:rPr>
            </w:pPr>
          </w:p>
        </w:tc>
        <w:tc>
          <w:tcPr>
            <w:tcW w:w="220" w:type="dxa"/>
            <w:vAlign w:val="bottom"/>
            <w:tcBorders>
              <w:top w:val="single" w:sz="8" w:color="CFF0FC"/>
            </w:tcBorders>
          </w:tcPr>
          <w:p>
            <w:pPr>
              <w:spacing w:after="0"/>
              <w:rPr>
                <w:sz w:val="22"/>
                <w:szCs w:val="22"/>
                <w:color w:val="auto"/>
              </w:rPr>
            </w:pPr>
          </w:p>
        </w:tc>
        <w:tc>
          <w:tcPr>
            <w:tcW w:w="138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1,918.6</w:t>
            </w: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1,736.0</w:t>
            </w: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3"/>
        </w:trPr>
        <w:tc>
          <w:tcPr>
            <w:tcW w:w="4940" w:type="dxa"/>
            <w:vAlign w:val="bottom"/>
          </w:tcPr>
          <w:p>
            <w:pPr>
              <w:ind w:left="20"/>
              <w:spacing w:after="0"/>
              <w:rPr>
                <w:sz w:val="20"/>
                <w:szCs w:val="20"/>
                <w:color w:val="auto"/>
              </w:rPr>
            </w:pPr>
            <w:r>
              <w:rPr>
                <w:rFonts w:ascii="Arial" w:cs="Arial" w:eastAsia="Arial" w:hAnsi="Arial"/>
                <w:sz w:val="20"/>
                <w:szCs w:val="20"/>
                <w:color w:val="auto"/>
              </w:rPr>
              <w:t>Total Magnesia Specialtes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75.5</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0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1,994.1</w:t>
            </w:r>
          </w:p>
        </w:tc>
        <w:tc>
          <w:tcPr>
            <w:tcW w:w="3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1,811.7</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483"/>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80" w:type="dxa"/>
            <w:vAlign w:val="bottom"/>
            <w:gridSpan w:val="9"/>
          </w:tcPr>
          <w:p>
            <w:pPr>
              <w:ind w:left="300"/>
              <w:spacing w:after="0"/>
              <w:rPr>
                <w:sz w:val="20"/>
                <w:szCs w:val="20"/>
                <w:color w:val="auto"/>
              </w:rPr>
            </w:pPr>
            <w:r>
              <w:rPr>
                <w:rFonts w:ascii="Arial" w:cs="Arial" w:eastAsia="Arial" w:hAnsi="Arial"/>
                <w:sz w:val="20"/>
                <w:szCs w:val="20"/>
                <w:color w:val="auto"/>
                <w:w w:val="97"/>
              </w:rPr>
              <w:t>Three Months Ended September 30,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
        </w:trPr>
        <w:tc>
          <w:tcPr>
            <w:tcW w:w="4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4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2023</w:t>
            </w:r>
          </w:p>
        </w:tc>
        <w:tc>
          <w:tcPr>
            <w:tcW w:w="13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116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r>
      <w:tr>
        <w:trPr>
          <w:trHeight w:val="263"/>
        </w:trPr>
        <w:tc>
          <w:tcPr>
            <w:tcW w:w="4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5"/>
              </w:rPr>
              <w:t>Amount</w:t>
            </w:r>
          </w:p>
        </w:tc>
        <w:tc>
          <w:tcPr>
            <w:tcW w:w="3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5"/>
              </w:rPr>
              <w:t>% of Revenues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20"/>
                <w:szCs w:val="20"/>
                <w:color w:val="auto"/>
                <w:w w:val="95"/>
              </w:rPr>
              <w:t>Amount</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91"/>
              </w:rPr>
              <w:t>% of Revenues</w:t>
            </w:r>
          </w:p>
        </w:tc>
        <w:tc>
          <w:tcPr>
            <w:tcW w:w="100" w:type="dxa"/>
            <w:vAlign w:val="bottom"/>
          </w:tcPr>
          <w:p>
            <w:pPr>
              <w:spacing w:after="0"/>
              <w:rPr>
                <w:sz w:val="22"/>
                <w:szCs w:val="22"/>
                <w:color w:val="auto"/>
              </w:rPr>
            </w:pPr>
          </w:p>
        </w:tc>
      </w:tr>
      <w:tr>
        <w:trPr>
          <w:trHeight w:val="260"/>
        </w:trPr>
        <w:tc>
          <w:tcPr>
            <w:tcW w:w="4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60" w:type="dxa"/>
            <w:vAlign w:val="bottom"/>
            <w:gridSpan w:val="7"/>
          </w:tcPr>
          <w:p>
            <w:pPr>
              <w:jc w:val="right"/>
              <w:ind w:right="940"/>
              <w:spacing w:after="0"/>
              <w:rPr>
                <w:sz w:val="20"/>
                <w:szCs w:val="20"/>
                <w:color w:val="auto"/>
              </w:rPr>
            </w:pPr>
            <w:r>
              <w:rPr>
                <w:rFonts w:ascii="Arial" w:cs="Arial" w:eastAsia="Arial" w:hAnsi="Arial"/>
                <w:sz w:val="20"/>
                <w:szCs w:val="20"/>
                <w:i w:val="1"/>
                <w:iCs w:val="1"/>
                <w:color w:val="auto"/>
              </w:rPr>
              <w:t>(Dollars in Millions)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Gross proft (loss):</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94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440.6</w:t>
            </w: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36.2</w:t>
            </w:r>
          </w:p>
        </w:tc>
        <w:tc>
          <w:tcPr>
            <w:tcW w:w="2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333.6</w:t>
            </w: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29.5</w:t>
            </w:r>
          </w:p>
        </w:tc>
        <w:tc>
          <w:tcPr>
            <w:tcW w:w="100" w:type="dxa"/>
            <w:vAlign w:val="bottom"/>
            <w:shd w:val="clear" w:color="auto" w:fill="CFF0FC"/>
          </w:tcPr>
          <w:p>
            <w:pPr>
              <w:spacing w:after="0"/>
              <w:rPr>
                <w:sz w:val="24"/>
                <w:szCs w:val="24"/>
                <w:color w:val="auto"/>
              </w:rPr>
            </w:pPr>
          </w:p>
        </w:tc>
      </w:tr>
      <w:tr>
        <w:trPr>
          <w:trHeight w:val="260"/>
        </w:trPr>
        <w:tc>
          <w:tcPr>
            <w:tcW w:w="4940" w:type="dxa"/>
            <w:vAlign w:val="bottom"/>
          </w:tcPr>
          <w:p>
            <w:pPr>
              <w:ind w:left="48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108.7</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54.6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67.3</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40.0</w:t>
            </w:r>
          </w:p>
        </w:tc>
        <w:tc>
          <w:tcPr>
            <w:tcW w:w="100" w:type="dxa"/>
            <w:vAlign w:val="bottom"/>
          </w:tcPr>
          <w:p>
            <w:pPr>
              <w:spacing w:after="0"/>
              <w:rPr>
                <w:sz w:val="22"/>
                <w:szCs w:val="22"/>
                <w:color w:val="auto"/>
              </w:rPr>
            </w:pPr>
          </w:p>
        </w:tc>
      </w:tr>
      <w:tr>
        <w:trPr>
          <w:trHeight w:val="280"/>
        </w:trPr>
        <w:tc>
          <w:tcPr>
            <w:tcW w:w="4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34.1</w:t>
            </w: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w:t>
            </w: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18.7</w:t>
            </w: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100" w:type="dxa"/>
            <w:vAlign w:val="bottom"/>
            <w:shd w:val="clear" w:color="auto" w:fill="CFF0FC"/>
          </w:tcPr>
          <w:p>
            <w:pPr>
              <w:spacing w:after="0"/>
              <w:rPr>
                <w:sz w:val="24"/>
                <w:szCs w:val="24"/>
                <w:color w:val="auto"/>
              </w:rPr>
            </w:pPr>
          </w:p>
        </w:tc>
      </w:tr>
      <w:tr>
        <w:trPr>
          <w:trHeight w:val="263"/>
        </w:trPr>
        <w:tc>
          <w:tcPr>
            <w:tcW w:w="4940" w:type="dxa"/>
            <w:vAlign w:val="bottom"/>
          </w:tcPr>
          <w:p>
            <w:pPr>
              <w:ind w:left="480"/>
              <w:spacing w:after="0"/>
              <w:rPr>
                <w:sz w:val="20"/>
                <w:szCs w:val="20"/>
                <w:color w:val="auto"/>
              </w:rPr>
            </w:pPr>
            <w:r>
              <w:rPr>
                <w:rFonts w:ascii="Arial" w:cs="Arial" w:eastAsia="Arial" w:hAnsi="Arial"/>
                <w:sz w:val="20"/>
                <w:szCs w:val="20"/>
                <w:color w:val="auto"/>
              </w:rPr>
              <w:t>Asphalt and paving services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18.4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49.7</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15.8</w:t>
            </w:r>
          </w:p>
        </w:tc>
        <w:tc>
          <w:tcPr>
            <w:tcW w:w="100" w:type="dxa"/>
            <w:vAlign w:val="bottom"/>
          </w:tcPr>
          <w:p>
            <w:pPr>
              <w:spacing w:after="0"/>
              <w:rPr>
                <w:sz w:val="22"/>
                <w:szCs w:val="22"/>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649.5</w:t>
            </w: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33.8</w:t>
            </w:r>
          </w:p>
        </w:tc>
        <w:tc>
          <w:tcPr>
            <w:tcW w:w="2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469.3</w:t>
            </w:r>
          </w:p>
        </w:tc>
        <w:tc>
          <w:tcPr>
            <w:tcW w:w="220" w:type="dxa"/>
            <w:vAlign w:val="bottom"/>
            <w:shd w:val="clear" w:color="auto" w:fill="CFF0FC"/>
          </w:tcPr>
          <w:p>
            <w:pPr>
              <w:spacing w:after="0"/>
              <w:rPr>
                <w:sz w:val="23"/>
                <w:szCs w:val="2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100" w:type="dxa"/>
            <w:vAlign w:val="bottom"/>
            <w:shd w:val="clear" w:color="auto" w:fill="CFF0FC"/>
          </w:tcPr>
          <w:p>
            <w:pPr>
              <w:spacing w:after="0"/>
              <w:rPr>
                <w:sz w:val="23"/>
                <w:szCs w:val="23"/>
                <w:color w:val="auto"/>
              </w:rPr>
            </w:pPr>
          </w:p>
        </w:tc>
      </w:tr>
      <w:tr>
        <w:trPr>
          <w:trHeight w:val="260"/>
        </w:trPr>
        <w:tc>
          <w:tcPr>
            <w:tcW w:w="494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28.3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20.6</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27.2</w:t>
            </w:r>
          </w:p>
        </w:tc>
        <w:tc>
          <w:tcPr>
            <w:tcW w:w="100" w:type="dxa"/>
            <w:vAlign w:val="bottom"/>
          </w:tcPr>
          <w:p>
            <w:pPr>
              <w:spacing w:after="0"/>
              <w:rPr>
                <w:sz w:val="22"/>
                <w:szCs w:val="22"/>
                <w:color w:val="auto"/>
              </w:rPr>
            </w:pPr>
          </w:p>
        </w:tc>
      </w:tr>
      <w:tr>
        <w:trPr>
          <w:trHeight w:val="273"/>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2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0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(2.1 )</w:t>
            </w:r>
          </w:p>
        </w:tc>
        <w:tc>
          <w:tcPr>
            <w:tcW w:w="13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8"/>
        </w:trPr>
        <w:tc>
          <w:tcPr>
            <w:tcW w:w="494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676.0</w:t>
            </w:r>
          </w:p>
        </w:tc>
        <w:tc>
          <w:tcPr>
            <w:tcW w:w="3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33.9</w:t>
            </w:r>
          </w:p>
        </w:tc>
        <w:tc>
          <w:tcPr>
            <w:tcW w:w="220" w:type="dxa"/>
            <w:vAlign w:val="bottom"/>
            <w:tcBorders>
              <w:top w:val="single" w:sz="8" w:color="CFF0FC"/>
            </w:tcBorders>
          </w:tcPr>
          <w:p>
            <w:pPr>
              <w:spacing w:after="0"/>
              <w:rPr>
                <w:sz w:val="23"/>
                <w:szCs w:val="23"/>
                <w:color w:val="auto"/>
              </w:rPr>
            </w:pPr>
          </w:p>
        </w:tc>
        <w:tc>
          <w:tcPr>
            <w:tcW w:w="20" w:type="dxa"/>
            <w:vAlign w:val="bottom"/>
            <w:tcBorders>
              <w:top w:val="single" w:sz="8" w:color="CFF0FC"/>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487.8</w:t>
            </w:r>
          </w:p>
        </w:tc>
        <w:tc>
          <w:tcPr>
            <w:tcW w:w="220" w:type="dxa"/>
            <w:vAlign w:val="bottom"/>
            <w:tcBorders>
              <w:top w:val="single" w:sz="8" w:color="CFF0FC"/>
            </w:tcBorders>
          </w:tcPr>
          <w:p>
            <w:pPr>
              <w:spacing w:after="0"/>
              <w:rPr>
                <w:sz w:val="23"/>
                <w:szCs w:val="23"/>
                <w:color w:val="auto"/>
              </w:rPr>
            </w:pPr>
          </w:p>
        </w:tc>
        <w:tc>
          <w:tcPr>
            <w:tcW w:w="13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26.9</w:t>
            </w:r>
          </w:p>
        </w:tc>
        <w:tc>
          <w:tcPr>
            <w:tcW w:w="100" w:type="dxa"/>
            <w:vAlign w:val="bottom"/>
            <w:tcBorders>
              <w:top w:val="single" w:sz="8" w:color="CFF0FC"/>
            </w:tcBorders>
          </w:tcPr>
          <w:p>
            <w:pPr>
              <w:spacing w:after="0"/>
              <w:rPr>
                <w:sz w:val="23"/>
                <w:szCs w:val="23"/>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-4414520</wp:posOffset>
            </wp:positionV>
            <wp:extent cx="76835" cy="180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-4414520</wp:posOffset>
            </wp:positionV>
            <wp:extent cx="68580" cy="180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-3376930</wp:posOffset>
            </wp:positionV>
            <wp:extent cx="7683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-3376930</wp:posOffset>
            </wp:positionV>
            <wp:extent cx="6858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-2665095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-2647950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-2665095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-2647950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-205105</wp:posOffset>
            </wp:positionV>
            <wp:extent cx="7683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-205105</wp:posOffset>
            </wp:positionV>
            <wp:extent cx="6858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27" w:name="page28"/>
    <w:bookmarkEnd w:id="27"/>
    <w:p>
      <w:pPr>
        <w:jc w:val="center"/>
        <w:ind w:right="1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by product line for the Building Materials business:</w:t>
      </w:r>
    </w:p>
    <w:p>
      <w:pPr>
        <w:spacing w:after="0" w:line="13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Three Months Ended September 30,</w:t>
      </w:r>
    </w:p>
    <w:p>
      <w:pPr>
        <w:spacing w:after="0" w:line="54" w:lineRule="exact"/>
        <w:rPr>
          <w:sz w:val="20"/>
          <w:szCs w:val="20"/>
          <w:color w:val="auto"/>
        </w:rPr>
      </w:pPr>
    </w:p>
    <w:p>
      <w:pPr>
        <w:ind w:left="7380"/>
        <w:spacing w:after="0"/>
        <w:tabs>
          <w:tab w:leader="none" w:pos="8780" w:val="left"/>
          <w:tab w:leader="none" w:pos="10100" w:val="left"/>
        </w:tabs>
        <w:rPr>
          <w:sz w:val="20"/>
          <w:szCs w:val="20"/>
          <w:color w:val="auto"/>
        </w:rPr>
      </w:pPr>
      <w:r>
        <w:rPr>
          <w:rFonts w:ascii="Arial" w:cs="Arial" w:eastAsia="Arial" w:hAnsi="Arial"/>
          <w:sz w:val="20"/>
          <w:szCs w:val="20"/>
          <w:color w:val="auto"/>
        </w:rPr>
        <w:t>2023</w:t>
      </w:r>
      <w:r>
        <w:rPr>
          <w:sz w:val="20"/>
          <w:szCs w:val="20"/>
          <w:color w:val="auto"/>
        </w:rPr>
        <w:tab/>
      </w:r>
      <w:r>
        <w:rPr>
          <w:rFonts w:ascii="Arial" w:cs="Arial" w:eastAsia="Arial" w:hAnsi="Arial"/>
          <w:sz w:val="20"/>
          <w:szCs w:val="20"/>
          <w:color w:val="auto"/>
        </w:rPr>
        <w:t>2022</w:t>
      </w:r>
      <w:r>
        <w:rPr>
          <w:sz w:val="20"/>
          <w:szCs w:val="20"/>
          <w:color w:val="auto"/>
        </w:rPr>
        <w:tab/>
      </w:r>
      <w:r>
        <w:rPr>
          <w:rFonts w:ascii="Arial" w:cs="Arial" w:eastAsia="Arial" w:hAnsi="Arial"/>
          <w:sz w:val="16"/>
          <w:szCs w:val="16"/>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-138430</wp:posOffset>
            </wp:positionV>
            <wp:extent cx="26314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80" w:type="dxa"/>
            <w:vAlign w:val="bottom"/>
          </w:tcPr>
          <w:p>
            <w:pPr>
              <w:spacing w:after="0"/>
              <w:rPr>
                <w:sz w:val="21"/>
                <w:szCs w:val="21"/>
                <w:color w:val="auto"/>
              </w:rPr>
            </w:pPr>
          </w:p>
        </w:tc>
        <w:tc>
          <w:tcPr>
            <w:tcW w:w="3720" w:type="dxa"/>
            <w:vAlign w:val="bottom"/>
          </w:tcPr>
          <w:p>
            <w:pPr>
              <w:jc w:val="right"/>
              <w:ind w:right="141"/>
              <w:spacing w:after="0"/>
              <w:rPr>
                <w:sz w:val="20"/>
                <w:szCs w:val="20"/>
                <w:color w:val="auto"/>
              </w:rPr>
            </w:pPr>
            <w:r>
              <w:rPr>
                <w:rFonts w:ascii="Arial" w:cs="Arial" w:eastAsia="Arial" w:hAnsi="Arial"/>
                <w:sz w:val="20"/>
                <w:szCs w:val="20"/>
                <w:i w:val="1"/>
                <w:iCs w:val="1"/>
                <w:color w:val="auto"/>
              </w:rPr>
              <w:t>(In Millions)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5280" w:type="dxa"/>
            <w:vAlign w:val="bottom"/>
          </w:tcPr>
          <w:p>
            <w:pPr>
              <w:ind w:left="20"/>
              <w:spacing w:after="0"/>
              <w:rPr>
                <w:sz w:val="20"/>
                <w:szCs w:val="20"/>
                <w:color w:val="auto"/>
              </w:rPr>
            </w:pPr>
            <w:r>
              <w:rPr>
                <w:rFonts w:ascii="Arial" w:cs="Arial" w:eastAsia="Arial" w:hAnsi="Arial"/>
                <w:sz w:val="20"/>
                <w:szCs w:val="20"/>
                <w:color w:val="auto"/>
              </w:rPr>
              <w:t>Aggregates tons</w:t>
            </w:r>
          </w:p>
        </w:tc>
        <w:tc>
          <w:tcPr>
            <w:tcW w:w="3720" w:type="dxa"/>
            <w:vAlign w:val="bottom"/>
          </w:tcPr>
          <w:p>
            <w:pPr>
              <w:jc w:val="right"/>
              <w:ind w:right="721"/>
              <w:spacing w:after="0"/>
              <w:rPr>
                <w:sz w:val="20"/>
                <w:szCs w:val="20"/>
                <w:color w:val="auto"/>
              </w:rPr>
            </w:pPr>
            <w:r>
              <w:rPr>
                <w:rFonts w:ascii="Arial" w:cs="Arial" w:eastAsia="Arial" w:hAnsi="Arial"/>
                <w:sz w:val="20"/>
                <w:szCs w:val="20"/>
                <w:color w:val="auto"/>
              </w:rPr>
              <w:t>55.9</w:t>
            </w:r>
          </w:p>
        </w:tc>
        <w:tc>
          <w:tcPr>
            <w:tcW w:w="1200" w:type="dxa"/>
            <w:vAlign w:val="bottom"/>
          </w:tcPr>
          <w:p>
            <w:pPr>
              <w:jc w:val="right"/>
              <w:ind w:right="521"/>
              <w:spacing w:after="0"/>
              <w:rPr>
                <w:sz w:val="20"/>
                <w:szCs w:val="20"/>
                <w:color w:val="auto"/>
              </w:rPr>
            </w:pPr>
            <w:r>
              <w:rPr>
                <w:rFonts w:ascii="Arial" w:cs="Arial" w:eastAsia="Arial" w:hAnsi="Arial"/>
                <w:sz w:val="20"/>
                <w:szCs w:val="20"/>
                <w:color w:val="auto"/>
              </w:rPr>
              <w:t>60.2</w:t>
            </w:r>
          </w:p>
        </w:tc>
        <w:tc>
          <w:tcPr>
            <w:tcW w:w="1140" w:type="dxa"/>
            <w:vAlign w:val="bottom"/>
          </w:tcPr>
          <w:p>
            <w:pPr>
              <w:jc w:val="right"/>
              <w:spacing w:after="0"/>
              <w:rPr>
                <w:sz w:val="20"/>
                <w:szCs w:val="20"/>
                <w:color w:val="auto"/>
              </w:rPr>
            </w:pPr>
            <w:r>
              <w:rPr>
                <w:rFonts w:ascii="Arial" w:cs="Arial" w:eastAsia="Arial" w:hAnsi="Arial"/>
                <w:sz w:val="20"/>
                <w:szCs w:val="20"/>
                <w:color w:val="auto"/>
              </w:rPr>
              <w:t>(7.3 )%</w:t>
            </w:r>
          </w:p>
        </w:tc>
      </w:tr>
      <w:tr>
        <w:trPr>
          <w:trHeight w:val="270"/>
        </w:trPr>
        <w:tc>
          <w:tcPr>
            <w:tcW w:w="5280" w:type="dxa"/>
            <w:vAlign w:val="bottom"/>
          </w:tcPr>
          <w:p>
            <w:pPr>
              <w:ind w:left="20"/>
              <w:spacing w:after="0"/>
              <w:rPr>
                <w:sz w:val="20"/>
                <w:szCs w:val="20"/>
                <w:color w:val="auto"/>
              </w:rPr>
            </w:pPr>
            <w:r>
              <w:rPr>
                <w:rFonts w:ascii="Arial" w:cs="Arial" w:eastAsia="Arial" w:hAnsi="Arial"/>
                <w:sz w:val="20"/>
                <w:szCs w:val="20"/>
                <w:color w:val="auto"/>
              </w:rPr>
              <w:t>Cement tons</w:t>
            </w:r>
          </w:p>
        </w:tc>
        <w:tc>
          <w:tcPr>
            <w:tcW w:w="3720" w:type="dxa"/>
            <w:vAlign w:val="bottom"/>
          </w:tcPr>
          <w:p>
            <w:pPr>
              <w:jc w:val="right"/>
              <w:ind w:right="721"/>
              <w:spacing w:after="0"/>
              <w:rPr>
                <w:sz w:val="20"/>
                <w:szCs w:val="20"/>
                <w:color w:val="auto"/>
              </w:rPr>
            </w:pPr>
            <w:r>
              <w:rPr>
                <w:rFonts w:ascii="Arial" w:cs="Arial" w:eastAsia="Arial" w:hAnsi="Arial"/>
                <w:sz w:val="20"/>
                <w:szCs w:val="20"/>
                <w:color w:val="auto"/>
              </w:rPr>
              <w:t>1.1</w:t>
            </w:r>
          </w:p>
        </w:tc>
        <w:tc>
          <w:tcPr>
            <w:tcW w:w="1200" w:type="dxa"/>
            <w:vAlign w:val="bottom"/>
          </w:tcPr>
          <w:p>
            <w:pPr>
              <w:jc w:val="right"/>
              <w:ind w:right="521"/>
              <w:spacing w:after="0"/>
              <w:rPr>
                <w:sz w:val="20"/>
                <w:szCs w:val="20"/>
                <w:color w:val="auto"/>
              </w:rPr>
            </w:pPr>
            <w:r>
              <w:rPr>
                <w:rFonts w:ascii="Arial" w:cs="Arial" w:eastAsia="Arial" w:hAnsi="Arial"/>
                <w:sz w:val="20"/>
                <w:szCs w:val="20"/>
                <w:color w:val="auto"/>
              </w:rPr>
              <w:t>1.1</w:t>
            </w:r>
          </w:p>
        </w:tc>
        <w:tc>
          <w:tcPr>
            <w:tcW w:w="1140" w:type="dxa"/>
            <w:vAlign w:val="bottom"/>
          </w:tcPr>
          <w:p>
            <w:pPr>
              <w:jc w:val="right"/>
              <w:spacing w:after="0"/>
              <w:rPr>
                <w:sz w:val="20"/>
                <w:szCs w:val="20"/>
                <w:color w:val="auto"/>
              </w:rPr>
            </w:pPr>
            <w:r>
              <w:rPr>
                <w:rFonts w:ascii="Arial" w:cs="Arial" w:eastAsia="Arial" w:hAnsi="Arial"/>
                <w:sz w:val="20"/>
                <w:szCs w:val="20"/>
                <w:color w:val="auto"/>
              </w:rPr>
              <w:t>0.2 %</w:t>
            </w:r>
          </w:p>
        </w:tc>
      </w:tr>
      <w:tr>
        <w:trPr>
          <w:trHeight w:val="270"/>
        </w:trPr>
        <w:tc>
          <w:tcPr>
            <w:tcW w:w="5280" w:type="dxa"/>
            <w:vAlign w:val="bottom"/>
          </w:tcPr>
          <w:p>
            <w:pPr>
              <w:ind w:left="20"/>
              <w:spacing w:after="0"/>
              <w:rPr>
                <w:sz w:val="20"/>
                <w:szCs w:val="20"/>
                <w:color w:val="auto"/>
              </w:rPr>
            </w:pPr>
            <w:r>
              <w:rPr>
                <w:rFonts w:ascii="Arial" w:cs="Arial" w:eastAsia="Arial" w:hAnsi="Arial"/>
                <w:sz w:val="20"/>
                <w:szCs w:val="20"/>
                <w:color w:val="auto"/>
              </w:rPr>
              <w:t>Ready Mixed Concrete cubic yards</w:t>
            </w:r>
          </w:p>
        </w:tc>
        <w:tc>
          <w:tcPr>
            <w:tcW w:w="3720" w:type="dxa"/>
            <w:vAlign w:val="bottom"/>
          </w:tcPr>
          <w:p>
            <w:pPr>
              <w:jc w:val="right"/>
              <w:ind w:right="721"/>
              <w:spacing w:after="0"/>
              <w:rPr>
                <w:sz w:val="20"/>
                <w:szCs w:val="20"/>
                <w:color w:val="auto"/>
              </w:rPr>
            </w:pPr>
            <w:r>
              <w:rPr>
                <w:rFonts w:ascii="Arial" w:cs="Arial" w:eastAsia="Arial" w:hAnsi="Arial"/>
                <w:sz w:val="20"/>
                <w:szCs w:val="20"/>
                <w:color w:val="auto"/>
              </w:rPr>
              <w:t>1.8</w:t>
            </w:r>
          </w:p>
        </w:tc>
        <w:tc>
          <w:tcPr>
            <w:tcW w:w="1200" w:type="dxa"/>
            <w:vAlign w:val="bottom"/>
          </w:tcPr>
          <w:p>
            <w:pPr>
              <w:jc w:val="right"/>
              <w:ind w:right="521"/>
              <w:spacing w:after="0"/>
              <w:rPr>
                <w:sz w:val="20"/>
                <w:szCs w:val="20"/>
                <w:color w:val="auto"/>
              </w:rPr>
            </w:pPr>
            <w:r>
              <w:rPr>
                <w:rFonts w:ascii="Arial" w:cs="Arial" w:eastAsia="Arial" w:hAnsi="Arial"/>
                <w:sz w:val="20"/>
                <w:szCs w:val="20"/>
                <w:color w:val="auto"/>
              </w:rPr>
              <w:t>1.7</w:t>
            </w:r>
          </w:p>
        </w:tc>
        <w:tc>
          <w:tcPr>
            <w:tcW w:w="1140" w:type="dxa"/>
            <w:vAlign w:val="bottom"/>
          </w:tcPr>
          <w:p>
            <w:pPr>
              <w:jc w:val="right"/>
              <w:spacing w:after="0"/>
              <w:rPr>
                <w:sz w:val="20"/>
                <w:szCs w:val="20"/>
                <w:color w:val="auto"/>
              </w:rPr>
            </w:pPr>
            <w:r>
              <w:rPr>
                <w:rFonts w:ascii="Arial" w:cs="Arial" w:eastAsia="Arial" w:hAnsi="Arial"/>
                <w:sz w:val="20"/>
                <w:szCs w:val="20"/>
                <w:color w:val="auto"/>
              </w:rPr>
              <w:t>3.6 %</w:t>
            </w:r>
          </w:p>
        </w:tc>
      </w:tr>
      <w:tr>
        <w:trPr>
          <w:trHeight w:val="270"/>
        </w:trPr>
        <w:tc>
          <w:tcPr>
            <w:tcW w:w="5280" w:type="dxa"/>
            <w:vAlign w:val="bottom"/>
          </w:tcPr>
          <w:p>
            <w:pPr>
              <w:ind w:left="20"/>
              <w:spacing w:after="0"/>
              <w:rPr>
                <w:sz w:val="20"/>
                <w:szCs w:val="20"/>
                <w:color w:val="auto"/>
              </w:rPr>
            </w:pPr>
            <w:r>
              <w:rPr>
                <w:rFonts w:ascii="Arial" w:cs="Arial" w:eastAsia="Arial" w:hAnsi="Arial"/>
                <w:sz w:val="20"/>
                <w:szCs w:val="20"/>
                <w:color w:val="auto"/>
              </w:rPr>
              <w:t>Asphalt tons</w:t>
            </w:r>
          </w:p>
        </w:tc>
        <w:tc>
          <w:tcPr>
            <w:tcW w:w="3720" w:type="dxa"/>
            <w:vAlign w:val="bottom"/>
          </w:tcPr>
          <w:p>
            <w:pPr>
              <w:jc w:val="right"/>
              <w:ind w:right="721"/>
              <w:spacing w:after="0"/>
              <w:rPr>
                <w:sz w:val="20"/>
                <w:szCs w:val="20"/>
                <w:color w:val="auto"/>
              </w:rPr>
            </w:pPr>
            <w:r>
              <w:rPr>
                <w:rFonts w:ascii="Arial" w:cs="Arial" w:eastAsia="Arial" w:hAnsi="Arial"/>
                <w:sz w:val="20"/>
                <w:szCs w:val="20"/>
                <w:color w:val="auto"/>
              </w:rPr>
              <w:t>3.9</w:t>
            </w:r>
          </w:p>
        </w:tc>
        <w:tc>
          <w:tcPr>
            <w:tcW w:w="1200" w:type="dxa"/>
            <w:vAlign w:val="bottom"/>
          </w:tcPr>
          <w:p>
            <w:pPr>
              <w:jc w:val="right"/>
              <w:ind w:right="521"/>
              <w:spacing w:after="0"/>
              <w:rPr>
                <w:sz w:val="20"/>
                <w:szCs w:val="20"/>
                <w:color w:val="auto"/>
              </w:rPr>
            </w:pPr>
            <w:r>
              <w:rPr>
                <w:rFonts w:ascii="Arial" w:cs="Arial" w:eastAsia="Arial" w:hAnsi="Arial"/>
                <w:sz w:val="20"/>
                <w:szCs w:val="20"/>
                <w:color w:val="auto"/>
              </w:rPr>
              <w:t>3.7</w:t>
            </w:r>
          </w:p>
        </w:tc>
        <w:tc>
          <w:tcPr>
            <w:tcW w:w="1140" w:type="dxa"/>
            <w:vAlign w:val="bottom"/>
          </w:tcPr>
          <w:p>
            <w:pPr>
              <w:jc w:val="right"/>
              <w:spacing w:after="0"/>
              <w:rPr>
                <w:sz w:val="20"/>
                <w:szCs w:val="20"/>
                <w:color w:val="auto"/>
              </w:rPr>
            </w:pPr>
            <w:r>
              <w:rPr>
                <w:rFonts w:ascii="Arial" w:cs="Arial" w:eastAsia="Arial" w:hAnsi="Arial"/>
                <w:sz w:val="20"/>
                <w:szCs w:val="20"/>
                <w:color w:val="auto"/>
              </w:rPr>
              <w:t>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-836930</wp:posOffset>
            </wp:positionV>
            <wp:extent cx="26314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60" w:type="dxa"/>
            <w:vAlign w:val="bottom"/>
            <w:gridSpan w:val="8"/>
          </w:tcPr>
          <w:p>
            <w:pPr>
              <w:spacing w:after="0"/>
              <w:rPr>
                <w:sz w:val="20"/>
                <w:szCs w:val="20"/>
                <w:color w:val="auto"/>
              </w:rPr>
            </w:pPr>
            <w:r>
              <w:rPr>
                <w:rFonts w:ascii="Arial" w:cs="Arial" w:eastAsia="Arial" w:hAnsi="Arial"/>
                <w:sz w:val="20"/>
                <w:szCs w:val="20"/>
                <w:color w:val="auto"/>
                <w:w w:val="99"/>
              </w:rPr>
              <w:t>The average selling price and pricing variances by product line for the Building Materials business are as follows:</w:t>
            </w: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gridSpan w:val="6"/>
          </w:tcPr>
          <w:p>
            <w:pPr>
              <w:ind w:left="180"/>
              <w:spacing w:after="0"/>
              <w:rPr>
                <w:sz w:val="20"/>
                <w:szCs w:val="20"/>
                <w:color w:val="auto"/>
              </w:rPr>
            </w:pPr>
            <w:r>
              <w:rPr>
                <w:rFonts w:ascii="Arial" w:cs="Arial" w:eastAsia="Arial" w:hAnsi="Arial"/>
                <w:sz w:val="20"/>
                <w:szCs w:val="20"/>
                <w:color w:val="auto"/>
                <w:w w:val="92"/>
              </w:rPr>
              <w:t>Three Months Ended September 30,</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7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7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6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2022</w:t>
            </w:r>
          </w:p>
        </w:tc>
        <w:tc>
          <w:tcPr>
            <w:tcW w:w="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 Change</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20"/>
              <w:spacing w:after="0" w:line="226" w:lineRule="exact"/>
              <w:rPr>
                <w:sz w:val="20"/>
                <w:szCs w:val="20"/>
                <w:color w:val="auto"/>
              </w:rPr>
            </w:pPr>
            <w:r>
              <w:rPr>
                <w:rFonts w:ascii="Arial" w:cs="Arial" w:eastAsia="Arial" w:hAnsi="Arial"/>
                <w:sz w:val="20"/>
                <w:szCs w:val="20"/>
                <w:color w:val="auto"/>
              </w:rPr>
              <w:t>Aggregates (per ton)</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19.98</w:t>
            </w:r>
          </w:p>
        </w:tc>
        <w:tc>
          <w:tcPr>
            <w:tcW w:w="300" w:type="dxa"/>
            <w:vAlign w:val="bottom"/>
          </w:tcPr>
          <w:p>
            <w:pPr>
              <w:spacing w:after="0"/>
              <w:rPr>
                <w:sz w:val="21"/>
                <w:szCs w:val="21"/>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16.65</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20.0</w:t>
            </w:r>
          </w:p>
        </w:tc>
        <w:tc>
          <w:tcPr>
            <w:tcW w:w="140" w:type="dxa"/>
            <w:vAlign w:val="bottom"/>
          </w:tcPr>
          <w:p>
            <w:pPr>
              <w:jc w:val="right"/>
              <w:spacing w:after="0"/>
              <w:rPr>
                <w:sz w:val="20"/>
                <w:szCs w:val="20"/>
                <w:color w:val="auto"/>
              </w:rPr>
            </w:pPr>
            <w:r>
              <w:rPr>
                <w:rFonts w:ascii="Arial" w:cs="Arial" w:eastAsia="Arial" w:hAnsi="Arial"/>
                <w:sz w:val="19"/>
                <w:szCs w:val="19"/>
                <w:color w:val="auto"/>
                <w:w w:val="70"/>
              </w:rPr>
              <w:t>%</w:t>
            </w:r>
          </w:p>
        </w:tc>
        <w:tc>
          <w:tcPr>
            <w:tcW w:w="0" w:type="dxa"/>
            <w:vAlign w:val="bottom"/>
          </w:tcPr>
          <w:p>
            <w:pPr>
              <w:spacing w:after="0"/>
              <w:rPr>
                <w:sz w:val="1"/>
                <w:szCs w:val="1"/>
                <w:color w:val="auto"/>
              </w:rPr>
            </w:pPr>
          </w:p>
        </w:tc>
      </w:tr>
      <w:tr>
        <w:trPr>
          <w:trHeight w:val="250"/>
        </w:trPr>
        <w:tc>
          <w:tcPr>
            <w:tcW w:w="5700" w:type="dxa"/>
            <w:vAlign w:val="bottom"/>
          </w:tcPr>
          <w:p>
            <w:pPr>
              <w:ind w:left="20"/>
              <w:spacing w:after="0"/>
              <w:rPr>
                <w:sz w:val="20"/>
                <w:szCs w:val="20"/>
                <w:color w:val="auto"/>
              </w:rPr>
            </w:pPr>
            <w:r>
              <w:rPr>
                <w:rFonts w:ascii="Arial" w:cs="Arial" w:eastAsia="Arial" w:hAnsi="Arial"/>
                <w:sz w:val="20"/>
                <w:szCs w:val="20"/>
                <w:color w:val="auto"/>
              </w:rPr>
              <w:t>Cement (per ton)</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177.48</w:t>
            </w:r>
          </w:p>
        </w:tc>
        <w:tc>
          <w:tcPr>
            <w:tcW w:w="68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149.24</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18.9 %</w:t>
            </w:r>
          </w:p>
        </w:tc>
        <w:tc>
          <w:tcPr>
            <w:tcW w:w="0" w:type="dxa"/>
            <w:vAlign w:val="bottom"/>
          </w:tcPr>
          <w:p>
            <w:pPr>
              <w:spacing w:after="0"/>
              <w:rPr>
                <w:sz w:val="1"/>
                <w:szCs w:val="1"/>
                <w:color w:val="auto"/>
              </w:rPr>
            </w:pPr>
          </w:p>
        </w:tc>
      </w:tr>
      <w:tr>
        <w:trPr>
          <w:trHeight w:val="265"/>
        </w:trPr>
        <w:tc>
          <w:tcPr>
            <w:tcW w:w="5700" w:type="dxa"/>
            <w:vAlign w:val="bottom"/>
          </w:tcPr>
          <w:p>
            <w:pPr>
              <w:ind w:left="20"/>
              <w:spacing w:after="0"/>
              <w:rPr>
                <w:sz w:val="20"/>
                <w:szCs w:val="20"/>
                <w:color w:val="auto"/>
              </w:rPr>
            </w:pPr>
            <w:r>
              <w:rPr>
                <w:rFonts w:ascii="Arial" w:cs="Arial" w:eastAsia="Arial" w:hAnsi="Arial"/>
                <w:sz w:val="20"/>
                <w:szCs w:val="20"/>
                <w:color w:val="auto"/>
              </w:rPr>
              <w:t>Ready Mixed Concrete (per cubic yard)</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160.43</w:t>
            </w:r>
          </w:p>
        </w:tc>
        <w:tc>
          <w:tcPr>
            <w:tcW w:w="68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132.64</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20.9 %</w:t>
            </w: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20"/>
                <w:szCs w:val="20"/>
                <w:color w:val="auto"/>
              </w:rPr>
              <w:t>Asphalt (per ton)</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65.58</w:t>
            </w:r>
          </w:p>
        </w:tc>
        <w:tc>
          <w:tcPr>
            <w:tcW w:w="68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61.45</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2" w:lineRule="exact"/>
        <w:rPr>
          <w:sz w:val="20"/>
          <w:szCs w:val="20"/>
          <w:color w:val="auto"/>
        </w:rPr>
      </w:pPr>
    </w:p>
    <w:p>
      <w:pPr>
        <w:jc w:val="both"/>
        <w:ind w:right="100"/>
        <w:spacing w:after="0" w:line="271" w:lineRule="auto"/>
        <w:rPr>
          <w:sz w:val="20"/>
          <w:szCs w:val="20"/>
          <w:color w:val="auto"/>
        </w:rPr>
      </w:pPr>
      <w:r>
        <w:rPr>
          <w:rFonts w:ascii="Arial" w:cs="Arial" w:eastAsia="Arial" w:hAnsi="Arial"/>
          <w:sz w:val="19"/>
          <w:szCs w:val="19"/>
          <w:color w:val="auto"/>
        </w:rPr>
        <w:t>Third-quarter aggregates shipments decreased 7.3%, as sofer demand in certain Midwest and Southwest markets was partally ofset by contnued strength in key Southeast markets. While shipment delays and weather negatvely impacted infrastructure demand in the third quarter, customer backlogs remain strong across the Company's geographies and are expected to increase. For the third quarter, the infrastructure, nonresidental, residental and ChemRock/Rail markets represented 39%, 33%, 23% and 5% of aggregates shipments, respectvely. The Company's value-over-volume marketplace approach was also a factor as pricing increased 20.0%, or 17.2% on a mix-adjusted basis, over the prior-year quarter, due to the cumulatve efect of January 1 and mid-year pricing actons. Aggregates gross proft improved 32.1% to $440.6 million and gross margin expanded 670 basis points to 36.2%, as pricing growth and lower diesel fuel costs more than ofset lower shipments and higher personnel, repairs, supplies and contract services costs.</w:t>
      </w:r>
    </w:p>
    <w:p>
      <w:pPr>
        <w:spacing w:after="0" w:line="78" w:lineRule="exact"/>
        <w:rPr>
          <w:sz w:val="20"/>
          <w:szCs w:val="20"/>
          <w:color w:val="auto"/>
        </w:rPr>
      </w:pPr>
    </w:p>
    <w:p>
      <w:pPr>
        <w:jc w:val="both"/>
        <w:ind w:right="100"/>
        <w:spacing w:after="0" w:line="264" w:lineRule="auto"/>
        <w:rPr>
          <w:sz w:val="20"/>
          <w:szCs w:val="20"/>
          <w:color w:val="auto"/>
        </w:rPr>
      </w:pPr>
      <w:r>
        <w:rPr>
          <w:rFonts w:ascii="Arial" w:cs="Arial" w:eastAsia="Arial" w:hAnsi="Arial"/>
          <w:sz w:val="20"/>
          <w:szCs w:val="20"/>
          <w:color w:val="auto"/>
        </w:rPr>
        <w:t>Cement shipments of 1.1 million tons were relatvely fat, while pricing increased 18.9%, as largely sold-out conditons contnued to drive robust pricing momentum. Cement gross proft grew to $108.7 million, an increase of 61.5%, and gross margin expanded 1,460 basis points to a record 54.6%, refectng pricing gains and lower energy costs.</w:t>
      </w:r>
    </w:p>
    <w:p>
      <w:pPr>
        <w:spacing w:after="0" w:line="78" w:lineRule="exact"/>
        <w:rPr>
          <w:sz w:val="20"/>
          <w:szCs w:val="20"/>
          <w:color w:val="auto"/>
        </w:rPr>
      </w:pPr>
    </w:p>
    <w:p>
      <w:pPr>
        <w:jc w:val="both"/>
        <w:ind w:right="100"/>
        <w:spacing w:after="0" w:line="274" w:lineRule="auto"/>
        <w:rPr>
          <w:sz w:val="20"/>
          <w:szCs w:val="20"/>
          <w:color w:val="auto"/>
        </w:rPr>
      </w:pPr>
      <w:r>
        <w:rPr>
          <w:rFonts w:ascii="Arial" w:cs="Arial" w:eastAsia="Arial" w:hAnsi="Arial"/>
          <w:sz w:val="20"/>
          <w:szCs w:val="20"/>
          <w:color w:val="auto"/>
        </w:rPr>
        <w:t>Ready mix pricing increased 20.9% due to pricing actons implemented in all Arizona and Texas markets, and shipments increased 3.6%, resultng in revenues and gross proft increases of 25.3% and 81.8%, respectvely.</w:t>
      </w:r>
    </w:p>
    <w:p>
      <w:pPr>
        <w:spacing w:after="0" w:line="69" w:lineRule="exact"/>
        <w:rPr>
          <w:sz w:val="20"/>
          <w:szCs w:val="20"/>
          <w:color w:val="auto"/>
        </w:rPr>
      </w:pPr>
    </w:p>
    <w:p>
      <w:pPr>
        <w:jc w:val="both"/>
        <w:ind w:right="100"/>
        <w:spacing w:after="0" w:line="264" w:lineRule="auto"/>
        <w:rPr>
          <w:sz w:val="20"/>
          <w:szCs w:val="20"/>
          <w:color w:val="auto"/>
        </w:rPr>
      </w:pPr>
      <w:r>
        <w:rPr>
          <w:rFonts w:ascii="Arial" w:cs="Arial" w:eastAsia="Arial" w:hAnsi="Arial"/>
          <w:sz w:val="20"/>
          <w:szCs w:val="20"/>
          <w:color w:val="auto"/>
        </w:rPr>
        <w:t>Asphalt shipments increased 5.7% and pricing increased 6.7%, respectvely, leading to a 14.6% increase in total asphalt and paving revenues. Asphalt and paving gross proft improved 33.0% and gross margin improved 260 basis points over the prior-year quarter, as lower natural gas and liquid asphalt, or bitumen, costs augmented pricing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Page 28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1" w:right="23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Specialtes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Magnesia Specialtes third-quarter total revenues of $75.5 million were relatvely fat, as weakening demand for chemical products was ofset by strong pricing improvement in both chemicals and lime product lines. Gross proft increased 3.6% to $21.4 million, as energy cost moderaton and higher pricing more than ofset lower operatng leverage.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Operatng Results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Consolidated SG&amp;A for the third quarter of 2023 was 5.4% of total revenues compared with 5.2% in the prior-year quarter.</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Among other items, other operatng income, net, includes gains and losses on the sale of assets; recoveries and losses related to certain customer accounts receivable; rental, royalty and services income; and accreton expense, depreciaton expense and gains and losses related to asset retrement obligatons. For the third quarter, consolidated other operatng income, net, was $2.0 million in 2023 and $14.8 million in 2022, refectng higher gains on land sales in the prior-year quarter.</w:t>
      </w:r>
    </w:p>
    <w:p>
      <w:pPr>
        <w:spacing w:after="0" w:line="8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Earnings from operatons for the quarter were $566.6 million in 2023 compared with $405.9 million in 2022. 2023 refects increased total revenues and higher gross proft, resultng primarily from higher pricing and lower energy costs.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nonoperatng income, net, includes interest income; pension and postretrement beneft cost (excluding service cost); foreign currency transacton gains and losses; equity earnings or losses from nonconsolidated afliates; and other miscellaneous income and expenses. For the third quarter, other nonoperatng income, net, was $14.3 million and $7.3 million in 2023 and 2022, respectvely, with the increase resultng from higher interest income.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Nine Months Ended September 30, 2023</w:t>
      </w:r>
    </w:p>
    <w:p>
      <w:pPr>
        <w:spacing w:after="0" w:line="12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Financial highlights for the nine months ended September 30, 2023 (unless noted, all comparisons are versus the prior-year period and for contnuing operatons):</w:t>
      </w:r>
    </w:p>
    <w:p>
      <w:pPr>
        <w:spacing w:after="0" w:line="82"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total revenues of $5.17 billion compared with $4.68 billion</w:t>
      </w:r>
    </w:p>
    <w:p>
      <w:pPr>
        <w:spacing w:after="0" w:line="28"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Building Materials business total revenues of $4.93 billion compared with $4.45 billion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Magnesia Specialtes total revenues of $239.4 million compared with $234.4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gross proft of $1.54 billion compared with $1.07 billion</w:t>
      </w:r>
    </w:p>
    <w:p>
      <w:pPr>
        <w:spacing w:after="0" w:line="26" w:lineRule="exact"/>
        <w:rPr>
          <w:rFonts w:ascii="Arial" w:cs="Arial" w:eastAsia="Arial" w:hAnsi="Arial"/>
          <w:sz w:val="20"/>
          <w:szCs w:val="20"/>
          <w:color w:val="007DC6"/>
        </w:rPr>
      </w:pPr>
    </w:p>
    <w:p>
      <w:pPr>
        <w:ind w:left="760" w:right="20" w:hanging="378"/>
        <w:spacing w:after="0" w:line="259" w:lineRule="auto"/>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earnings from operatons of $1.23 billion compared with $944.4 million; the prior-year period included a $151.9 million nonrecurring gain on a divestture</w:t>
      </w:r>
    </w:p>
    <w:p>
      <w:pPr>
        <w:spacing w:after="0" w:line="1" w:lineRule="exact"/>
        <w:rPr>
          <w:rFonts w:ascii="Arial" w:cs="Arial" w:eastAsia="Arial" w:hAnsi="Arial"/>
          <w:sz w:val="20"/>
          <w:szCs w:val="20"/>
          <w:color w:val="007DC6"/>
        </w:rPr>
      </w:pPr>
    </w:p>
    <w:p>
      <w:pPr>
        <w:ind w:left="760" w:hanging="378"/>
        <w:spacing w:after="0" w:line="260" w:lineRule="auto"/>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Net earnings from contnuing operatons atributable to Martn Marieta of $912.2 million compared with $668.9 million; the prior-year period included a $108.3 million nonrecurring gain on a divestture</w:t>
      </w:r>
    </w:p>
    <w:p>
      <w:pPr>
        <w:spacing w:after="0" w:line="1"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Adjusted EBITDA of $1.63 billion compared with $1.21 billion</w:t>
      </w:r>
    </w:p>
    <w:p>
      <w:pPr>
        <w:spacing w:after="0" w:line="28" w:lineRule="exact"/>
        <w:rPr>
          <w:rFonts w:ascii="Arial" w:cs="Arial" w:eastAsia="Arial" w:hAnsi="Arial"/>
          <w:sz w:val="20"/>
          <w:szCs w:val="20"/>
          <w:color w:val="007DC6"/>
        </w:rPr>
      </w:pPr>
    </w:p>
    <w:p>
      <w:pPr>
        <w:ind w:left="760" w:right="20" w:hanging="378"/>
        <w:spacing w:after="0" w:line="272" w:lineRule="auto"/>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Earnings per diluted share from contnuing operatons of $14.69 compared with $10.69; the prior-year period included a $1.73 per diluted share impact from a nonrecurring gain on a divestture</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following tables present total revenues and gross proft (loss) for the Company and its reportable segments by product line for contnuing operatons for the nine months ended September 30, 2023 and 2022. In each case, the data is stated as a percentage of revenues of the Company or the relevant segment or product line, as the case may be.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3"/>
          </w:tcPr>
          <w:p>
            <w:pPr>
              <w:jc w:val="right"/>
              <w:ind w:right="301"/>
              <w:spacing w:after="0"/>
              <w:rPr>
                <w:sz w:val="20"/>
                <w:szCs w:val="20"/>
                <w:color w:val="auto"/>
              </w:rPr>
            </w:pPr>
            <w:r>
              <w:rPr>
                <w:rFonts w:ascii="Arial" w:cs="Arial" w:eastAsia="Arial" w:hAnsi="Arial"/>
                <w:sz w:val="20"/>
                <w:szCs w:val="20"/>
                <w:color w:val="auto"/>
              </w:rPr>
              <w:t>(Contnued)</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25"/>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ind w:left="80"/>
              <w:spacing w:after="0"/>
              <w:rPr>
                <w:sz w:val="20"/>
                <w:szCs w:val="20"/>
                <w:color w:val="auto"/>
              </w:rPr>
            </w:pPr>
            <w:r>
              <w:rPr>
                <w:rFonts w:ascii="Arial" w:cs="Arial" w:eastAsia="Arial" w:hAnsi="Arial"/>
                <w:sz w:val="20"/>
                <w:szCs w:val="20"/>
                <w:color w:val="auto"/>
              </w:rPr>
              <w:t>Nine Months Ended September 30,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7"/>
        </w:trPr>
        <w:tc>
          <w:tcPr>
            <w:tcW w:w="4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9"/>
              </w:rPr>
              <w:t>2023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2022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5"/>
              </w:rPr>
              <w:t>Amount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2"/>
              </w:rPr>
              <w:t>Amount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3"/>
          </w:tcPr>
          <w:p>
            <w:pPr>
              <w:ind w:left="60"/>
              <w:spacing w:after="0" w:line="226" w:lineRule="exact"/>
              <w:rPr>
                <w:sz w:val="20"/>
                <w:szCs w:val="20"/>
                <w:color w:val="auto"/>
              </w:rPr>
            </w:pPr>
            <w:r>
              <w:rPr>
                <w:rFonts w:ascii="Arial" w:cs="Arial" w:eastAsia="Arial" w:hAnsi="Arial"/>
                <w:sz w:val="20"/>
                <w:szCs w:val="20"/>
                <w:i w:val="1"/>
                <w:iCs w:val="1"/>
                <w:color w:val="auto"/>
                <w:w w:val="95"/>
              </w:rPr>
              <w:t>(Dollars in Millions)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
        </w:trPr>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476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0"/>
        </w:trPr>
        <w:tc>
          <w:tcPr>
            <w:tcW w:w="476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300"/>
              <w:spacing w:after="0"/>
              <w:rPr>
                <w:sz w:val="20"/>
                <w:szCs w:val="20"/>
                <w:color w:val="auto"/>
              </w:rPr>
            </w:pPr>
            <w:r>
              <w:rPr>
                <w:rFonts w:ascii="Arial" w:cs="Arial" w:eastAsia="Arial" w:hAnsi="Arial"/>
                <w:sz w:val="20"/>
                <w:szCs w:val="20"/>
                <w:color w:val="auto"/>
              </w:rPr>
              <w:t>East Group</w:t>
            </w:r>
          </w:p>
        </w:tc>
        <w:tc>
          <w:tcPr>
            <w:tcW w:w="2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760" w:type="dxa"/>
            <w:vAlign w:val="bottom"/>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1,953.8</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1,737.3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Asphalt</w:t>
            </w:r>
          </w:p>
        </w:tc>
        <w:tc>
          <w:tcPr>
            <w:tcW w:w="2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145.7</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144.9</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4"/>
        </w:trPr>
        <w:tc>
          <w:tcPr>
            <w:tcW w:w="4760" w:type="dxa"/>
            <w:vAlign w:val="bottom"/>
          </w:tcPr>
          <w:p>
            <w:pPr>
              <w:ind w:left="480"/>
              <w:spacing w:after="0"/>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(20.5 )</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0"/>
                <w:szCs w:val="20"/>
                <w:color w:val="auto"/>
              </w:rPr>
              <w:t>(15.3 )</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47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East Group Total</w:t>
            </w:r>
          </w:p>
        </w:tc>
        <w:tc>
          <w:tcPr>
            <w:tcW w:w="240" w:type="dxa"/>
            <w:vAlign w:val="bottom"/>
            <w:tcBorders>
              <w:top w:val="single" w:sz="8" w:color="auto"/>
              <w:bottom w:val="single" w:sz="8" w:color="auto"/>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2,079.0</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1,866.9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60"/>
        </w:trPr>
        <w:tc>
          <w:tcPr>
            <w:tcW w:w="4760" w:type="dxa"/>
            <w:vAlign w:val="bottom"/>
          </w:tcPr>
          <w:p>
            <w:pPr>
              <w:ind w:left="30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1,325.8</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1,207.7</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760" w:type="dxa"/>
            <w:vAlign w:val="bottom"/>
          </w:tcPr>
          <w:p>
            <w:pPr>
              <w:ind w:left="48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565.3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469.0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776.5</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745.4</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760" w:type="dxa"/>
            <w:vAlign w:val="bottom"/>
          </w:tcPr>
          <w:p>
            <w:pPr>
              <w:ind w:left="480"/>
              <w:spacing w:after="0"/>
              <w:rPr>
                <w:sz w:val="20"/>
                <w:szCs w:val="20"/>
                <w:color w:val="auto"/>
              </w:rPr>
            </w:pPr>
            <w:r>
              <w:rPr>
                <w:rFonts w:ascii="Arial" w:cs="Arial" w:eastAsia="Arial" w:hAnsi="Arial"/>
                <w:sz w:val="20"/>
                <w:szCs w:val="20"/>
                <w:color w:val="auto"/>
              </w:rPr>
              <w:t>Asphalt and paving services</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513.0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441.5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3"/>
        </w:trPr>
        <w:tc>
          <w:tcPr>
            <w:tcW w:w="47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(330.0 )</w:t>
            </w: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(280.7 )</w:t>
            </w: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3"/>
        </w:trPr>
        <w:tc>
          <w:tcPr>
            <w:tcW w:w="4760" w:type="dxa"/>
            <w:vAlign w:val="bottom"/>
            <w:tcBorders>
              <w:top w:val="single" w:sz="8" w:color="CFF0FC"/>
            </w:tcBorders>
          </w:tcPr>
          <w:p>
            <w:pPr>
              <w:ind w:left="300"/>
              <w:spacing w:after="0"/>
              <w:rPr>
                <w:sz w:val="20"/>
                <w:szCs w:val="20"/>
                <w:color w:val="auto"/>
              </w:rPr>
            </w:pPr>
            <w:r>
              <w:rPr>
                <w:rFonts w:ascii="Arial" w:cs="Arial" w:eastAsia="Arial" w:hAnsi="Arial"/>
                <w:sz w:val="20"/>
                <w:szCs w:val="20"/>
                <w:color w:val="auto"/>
              </w:rPr>
              <w:t>West Group Total</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2,850.6</w:t>
            </w:r>
          </w:p>
        </w:tc>
        <w:tc>
          <w:tcPr>
            <w:tcW w:w="26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340" w:type="dxa"/>
            <w:vAlign w:val="bottom"/>
            <w:tcBorders>
              <w:top w:val="single" w:sz="8" w:color="CFF0FC"/>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2,582.9</w:t>
            </w:r>
          </w:p>
        </w:tc>
        <w:tc>
          <w:tcPr>
            <w:tcW w:w="22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32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70"/>
        </w:trPr>
        <w:tc>
          <w:tcPr>
            <w:tcW w:w="4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4,929.6</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4,449.8</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3"/>
        </w:trPr>
        <w:tc>
          <w:tcPr>
            <w:tcW w:w="4760" w:type="dxa"/>
            <w:vAlign w:val="bottom"/>
          </w:tcPr>
          <w:p>
            <w:pPr>
              <w:ind w:left="20"/>
              <w:spacing w:after="0"/>
              <w:rPr>
                <w:sz w:val="20"/>
                <w:szCs w:val="20"/>
                <w:color w:val="auto"/>
              </w:rPr>
            </w:pPr>
            <w:r>
              <w:rPr>
                <w:rFonts w:ascii="Arial" w:cs="Arial" w:eastAsia="Arial" w:hAnsi="Arial"/>
                <w:sz w:val="20"/>
                <w:szCs w:val="20"/>
                <w:color w:val="auto"/>
              </w:rPr>
              <w:t>Total Magnesia Specialtes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239.4</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04"/>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5,169.0</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4,684.2</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455"/>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ind w:left="20"/>
              <w:spacing w:after="0"/>
              <w:rPr>
                <w:sz w:val="20"/>
                <w:szCs w:val="20"/>
                <w:color w:val="auto"/>
              </w:rPr>
            </w:pPr>
            <w:r>
              <w:rPr>
                <w:rFonts w:ascii="Arial" w:cs="Arial" w:eastAsia="Arial" w:hAnsi="Arial"/>
                <w:sz w:val="20"/>
                <w:szCs w:val="20"/>
                <w:color w:val="auto"/>
              </w:rPr>
              <w:t>Nine Months Ended September 30,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
        </w:trPr>
        <w:tc>
          <w:tcPr>
            <w:tcW w:w="4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4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2023</w:t>
            </w:r>
          </w:p>
        </w:tc>
        <w:tc>
          <w:tcPr>
            <w:tcW w:w="1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2022</w:t>
            </w: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3"/>
          </w:tcPr>
          <w:p>
            <w:pPr>
              <w:jc w:val="center"/>
              <w:ind w:right="521"/>
              <w:spacing w:after="0"/>
              <w:rPr>
                <w:sz w:val="20"/>
                <w:szCs w:val="20"/>
                <w:color w:val="auto"/>
              </w:rPr>
            </w:pPr>
            <w:r>
              <w:rPr>
                <w:rFonts w:ascii="Arial" w:cs="Arial" w:eastAsia="Arial" w:hAnsi="Arial"/>
                <w:sz w:val="20"/>
                <w:szCs w:val="20"/>
                <w:color w:val="auto"/>
                <w:w w:val="95"/>
              </w:rPr>
              <w:t>Amount</w:t>
            </w:r>
          </w:p>
        </w:tc>
        <w:tc>
          <w:tcPr>
            <w:tcW w:w="1340" w:type="dxa"/>
            <w:vAlign w:val="bottom"/>
          </w:tcPr>
          <w:p>
            <w:pPr>
              <w:ind w:left="20"/>
              <w:spacing w:after="0"/>
              <w:rPr>
                <w:sz w:val="20"/>
                <w:szCs w:val="20"/>
                <w:color w:val="auto"/>
              </w:rPr>
            </w:pPr>
            <w:r>
              <w:rPr>
                <w:rFonts w:ascii="Arial" w:cs="Arial" w:eastAsia="Arial" w:hAnsi="Arial"/>
                <w:sz w:val="20"/>
                <w:szCs w:val="20"/>
                <w:color w:val="auto"/>
                <w:w w:val="95"/>
              </w:rPr>
              <w:t>% of Revenues</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20"/>
                <w:szCs w:val="20"/>
                <w:color w:val="auto"/>
                <w:w w:val="92"/>
              </w:rPr>
              <w:t>Amount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w w:val="85"/>
              </w:rPr>
              <w:t>% of Revenues</w:t>
            </w:r>
          </w:p>
        </w:tc>
        <w:tc>
          <w:tcPr>
            <w:tcW w:w="100" w:type="dxa"/>
            <w:vAlign w:val="bottom"/>
          </w:tcPr>
          <w:p>
            <w:pPr>
              <w:spacing w:after="0"/>
              <w:rPr>
                <w:sz w:val="22"/>
                <w:szCs w:val="22"/>
                <w:color w:val="auto"/>
              </w:rPr>
            </w:pPr>
          </w:p>
        </w:tc>
      </w:tr>
      <w:tr>
        <w:trPr>
          <w:trHeight w:val="260"/>
        </w:trPr>
        <w:tc>
          <w:tcPr>
            <w:tcW w:w="47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i w:val="1"/>
                <w:iCs w:val="1"/>
                <w:color w:val="auto"/>
              </w:rPr>
              <w:t>(Dollars</w:t>
            </w:r>
          </w:p>
        </w:tc>
        <w:tc>
          <w:tcPr>
            <w:tcW w:w="240" w:type="dxa"/>
            <w:vAlign w:val="bottom"/>
          </w:tcPr>
          <w:p>
            <w:pPr>
              <w:spacing w:after="0" w:line="226" w:lineRule="exact"/>
              <w:rPr>
                <w:sz w:val="20"/>
                <w:szCs w:val="20"/>
                <w:color w:val="auto"/>
              </w:rPr>
            </w:pPr>
            <w:r>
              <w:rPr>
                <w:rFonts w:ascii="Arial" w:cs="Arial" w:eastAsia="Arial" w:hAnsi="Arial"/>
                <w:sz w:val="20"/>
                <w:szCs w:val="20"/>
                <w:i w:val="1"/>
                <w:iCs w:val="1"/>
                <w:color w:val="auto"/>
              </w:rPr>
              <w:t>in</w:t>
            </w: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20"/>
                <w:szCs w:val="20"/>
                <w:i w:val="1"/>
                <w:iCs w:val="1"/>
                <w:color w:val="auto"/>
              </w:rPr>
              <w:t>Millions)</w:t>
            </w: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Gross proft (loss):</w:t>
            </w:r>
          </w:p>
        </w:tc>
        <w:tc>
          <w:tcPr>
            <w:tcW w:w="2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0"/>
        </w:trPr>
        <w:tc>
          <w:tcPr>
            <w:tcW w:w="476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1,049.5</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743.6</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w:t>
            </w:r>
          </w:p>
        </w:tc>
        <w:tc>
          <w:tcPr>
            <w:tcW w:w="100" w:type="dxa"/>
            <w:vAlign w:val="bottom"/>
            <w:shd w:val="clear" w:color="auto" w:fill="CFF0FC"/>
          </w:tcPr>
          <w:p>
            <w:pPr>
              <w:spacing w:after="0"/>
              <w:rPr>
                <w:sz w:val="24"/>
                <w:szCs w:val="24"/>
                <w:color w:val="auto"/>
              </w:rPr>
            </w:pPr>
          </w:p>
        </w:tc>
      </w:tr>
      <w:tr>
        <w:trPr>
          <w:trHeight w:val="260"/>
        </w:trPr>
        <w:tc>
          <w:tcPr>
            <w:tcW w:w="4760" w:type="dxa"/>
            <w:vAlign w:val="bottom"/>
          </w:tcPr>
          <w:p>
            <w:pPr>
              <w:ind w:left="48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249.0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44.1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144.8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30.9</w:t>
            </w:r>
          </w:p>
        </w:tc>
        <w:tc>
          <w:tcPr>
            <w:tcW w:w="100" w:type="dxa"/>
            <w:vAlign w:val="bottom"/>
          </w:tcPr>
          <w:p>
            <w:pPr>
              <w:spacing w:after="0"/>
              <w:rPr>
                <w:sz w:val="22"/>
                <w:szCs w:val="22"/>
                <w:color w:val="auto"/>
              </w:rPr>
            </w:pPr>
          </w:p>
        </w:tc>
      </w:tr>
      <w:tr>
        <w:trPr>
          <w:trHeight w:val="280"/>
        </w:trPr>
        <w:tc>
          <w:tcPr>
            <w:tcW w:w="47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80.7</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55.3</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w:t>
            </w:r>
          </w:p>
        </w:tc>
        <w:tc>
          <w:tcPr>
            <w:tcW w:w="100" w:type="dxa"/>
            <w:vAlign w:val="bottom"/>
            <w:shd w:val="clear" w:color="auto" w:fill="CFF0FC"/>
          </w:tcPr>
          <w:p>
            <w:pPr>
              <w:spacing w:after="0"/>
              <w:rPr>
                <w:sz w:val="24"/>
                <w:szCs w:val="24"/>
                <w:color w:val="auto"/>
              </w:rPr>
            </w:pPr>
          </w:p>
        </w:tc>
      </w:tr>
      <w:tr>
        <w:trPr>
          <w:trHeight w:val="264"/>
        </w:trPr>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Asphalt and paving services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12.5</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63.0</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10.7</w:t>
            </w:r>
          </w:p>
        </w:tc>
        <w:tc>
          <w:tcPr>
            <w:tcW w:w="100" w:type="dxa"/>
            <w:vAlign w:val="bottom"/>
            <w:tcBorders>
              <w:bottom w:val="single" w:sz="8" w:color="CFF0FC"/>
            </w:tcBorders>
          </w:tcPr>
          <w:p>
            <w:pPr>
              <w:spacing w:after="0"/>
              <w:rPr>
                <w:sz w:val="22"/>
                <w:szCs w:val="22"/>
                <w:color w:val="auto"/>
              </w:rPr>
            </w:pPr>
          </w:p>
        </w:tc>
      </w:tr>
      <w:tr>
        <w:trPr>
          <w:trHeight w:val="270"/>
        </w:trPr>
        <w:tc>
          <w:tcPr>
            <w:tcW w:w="4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1,461.3</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w:t>
            </w: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1,006.7</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w:t>
            </w:r>
          </w:p>
        </w:tc>
        <w:tc>
          <w:tcPr>
            <w:tcW w:w="100" w:type="dxa"/>
            <w:vAlign w:val="bottom"/>
            <w:shd w:val="clear" w:color="auto" w:fill="CFF0FC"/>
          </w:tcPr>
          <w:p>
            <w:pPr>
              <w:spacing w:after="0"/>
              <w:rPr>
                <w:sz w:val="23"/>
                <w:szCs w:val="23"/>
                <w:color w:val="auto"/>
              </w:rPr>
            </w:pPr>
          </w:p>
        </w:tc>
      </w:tr>
      <w:tr>
        <w:trPr>
          <w:trHeight w:val="260"/>
        </w:trPr>
        <w:tc>
          <w:tcPr>
            <w:tcW w:w="476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74.1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30.9</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30.2</w:t>
            </w:r>
          </w:p>
        </w:tc>
        <w:tc>
          <w:tcPr>
            <w:tcW w:w="100" w:type="dxa"/>
            <w:vAlign w:val="bottom"/>
          </w:tcPr>
          <w:p>
            <w:pPr>
              <w:spacing w:after="0"/>
              <w:rPr>
                <w:sz w:val="22"/>
                <w:szCs w:val="22"/>
                <w:color w:val="auto"/>
              </w:rPr>
            </w:pPr>
          </w:p>
        </w:tc>
      </w:tr>
      <w:tr>
        <w:trPr>
          <w:trHeight w:val="273"/>
        </w:trPr>
        <w:tc>
          <w:tcPr>
            <w:tcW w:w="4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2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(8.5 )</w:t>
            </w: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8"/>
        </w:trPr>
        <w:tc>
          <w:tcPr>
            <w:tcW w:w="476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1,539.2</w:t>
            </w:r>
          </w:p>
        </w:tc>
        <w:tc>
          <w:tcPr>
            <w:tcW w:w="2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29.8</w:t>
            </w:r>
          </w:p>
        </w:tc>
        <w:tc>
          <w:tcPr>
            <w:tcW w:w="240" w:type="dxa"/>
            <w:vAlign w:val="bottom"/>
            <w:tcBorders>
              <w:top w:val="single" w:sz="8" w:color="CFF0FC"/>
            </w:tcBorders>
          </w:tcPr>
          <w:p>
            <w:pPr>
              <w:spacing w:after="0"/>
              <w:rPr>
                <w:sz w:val="23"/>
                <w:szCs w:val="23"/>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1,069.1</w:t>
            </w:r>
          </w:p>
        </w:tc>
        <w:tc>
          <w:tcPr>
            <w:tcW w:w="22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22.8</w:t>
            </w:r>
          </w:p>
        </w:tc>
        <w:tc>
          <w:tcPr>
            <w:tcW w:w="100" w:type="dxa"/>
            <w:vAlign w:val="bottom"/>
            <w:tcBorders>
              <w:top w:val="single" w:sz="8" w:color="CFF0FC"/>
            </w:tcBorders>
          </w:tcPr>
          <w:p>
            <w:pPr>
              <w:spacing w:after="0"/>
              <w:rPr>
                <w:sz w:val="23"/>
                <w:szCs w:val="23"/>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-4396740</wp:posOffset>
            </wp:positionV>
            <wp:extent cx="76835"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-4396740</wp:posOffset>
            </wp:positionV>
            <wp:extent cx="6858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-3359785</wp:posOffset>
            </wp:positionV>
            <wp:extent cx="7683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-3359785</wp:posOffset>
            </wp:positionV>
            <wp:extent cx="685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-2647950</wp:posOffset>
            </wp:positionV>
            <wp:extent cx="768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-2630805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-2647950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-2630805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-728345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-728345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-205105</wp:posOffset>
            </wp:positionV>
            <wp:extent cx="76835"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-205105</wp:posOffset>
            </wp:positionV>
            <wp:extent cx="68580" cy="20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0" w:name="page31"/>
    <w:bookmarkEnd w:id="30"/>
    <w:p>
      <w:pPr>
        <w:jc w:val="center"/>
        <w:ind w:right="1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by product line for the Building Materials business:</w:t>
      </w:r>
    </w:p>
    <w:p>
      <w:pPr>
        <w:spacing w:after="0" w:line="13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Nine Months Ended September 30,</w:t>
      </w:r>
    </w:p>
    <w:p>
      <w:pPr>
        <w:spacing w:after="0" w:line="54" w:lineRule="exact"/>
        <w:rPr>
          <w:sz w:val="20"/>
          <w:szCs w:val="20"/>
          <w:color w:val="auto"/>
        </w:rPr>
      </w:pPr>
    </w:p>
    <w:p>
      <w:pPr>
        <w:ind w:left="7380"/>
        <w:spacing w:after="0"/>
        <w:tabs>
          <w:tab w:leader="none" w:pos="8780" w:val="left"/>
          <w:tab w:leader="none" w:pos="10100" w:val="left"/>
        </w:tabs>
        <w:rPr>
          <w:sz w:val="20"/>
          <w:szCs w:val="20"/>
          <w:color w:val="auto"/>
        </w:rPr>
      </w:pPr>
      <w:r>
        <w:rPr>
          <w:rFonts w:ascii="Arial" w:cs="Arial" w:eastAsia="Arial" w:hAnsi="Arial"/>
          <w:sz w:val="20"/>
          <w:szCs w:val="20"/>
          <w:color w:val="auto"/>
        </w:rPr>
        <w:t>2023</w:t>
      </w:r>
      <w:r>
        <w:rPr>
          <w:sz w:val="20"/>
          <w:szCs w:val="20"/>
          <w:color w:val="auto"/>
        </w:rPr>
        <w:tab/>
      </w:r>
      <w:r>
        <w:rPr>
          <w:rFonts w:ascii="Arial" w:cs="Arial" w:eastAsia="Arial" w:hAnsi="Arial"/>
          <w:sz w:val="20"/>
          <w:szCs w:val="20"/>
          <w:color w:val="auto"/>
        </w:rPr>
        <w:t>2022</w:t>
      </w:r>
      <w:r>
        <w:rPr>
          <w:sz w:val="20"/>
          <w:szCs w:val="20"/>
          <w:color w:val="auto"/>
        </w:rPr>
        <w:tab/>
      </w:r>
      <w:r>
        <w:rPr>
          <w:rFonts w:ascii="Arial" w:cs="Arial" w:eastAsia="Arial" w:hAnsi="Arial"/>
          <w:sz w:val="16"/>
          <w:szCs w:val="16"/>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-138430</wp:posOffset>
            </wp:positionV>
            <wp:extent cx="26314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40" w:type="dxa"/>
            <w:vAlign w:val="bottom"/>
          </w:tcPr>
          <w:p>
            <w:pPr>
              <w:spacing w:after="0"/>
              <w:rPr>
                <w:sz w:val="21"/>
                <w:szCs w:val="21"/>
                <w:color w:val="auto"/>
              </w:rPr>
            </w:pPr>
          </w:p>
        </w:tc>
        <w:tc>
          <w:tcPr>
            <w:tcW w:w="3700" w:type="dxa"/>
            <w:vAlign w:val="bottom"/>
          </w:tcPr>
          <w:p>
            <w:pPr>
              <w:jc w:val="right"/>
              <w:ind w:right="81"/>
              <w:spacing w:after="0"/>
              <w:rPr>
                <w:sz w:val="20"/>
                <w:szCs w:val="20"/>
                <w:color w:val="auto"/>
              </w:rPr>
            </w:pPr>
            <w:r>
              <w:rPr>
                <w:rFonts w:ascii="Arial" w:cs="Arial" w:eastAsia="Arial" w:hAnsi="Arial"/>
                <w:sz w:val="20"/>
                <w:szCs w:val="20"/>
                <w:i w:val="1"/>
                <w:iCs w:val="1"/>
                <w:color w:val="auto"/>
              </w:rPr>
              <w:t>(In Millions)</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240" w:type="dxa"/>
            <w:vAlign w:val="bottom"/>
          </w:tcPr>
          <w:p>
            <w:pPr>
              <w:ind w:left="20"/>
              <w:spacing w:after="0"/>
              <w:rPr>
                <w:sz w:val="20"/>
                <w:szCs w:val="20"/>
                <w:color w:val="auto"/>
              </w:rPr>
            </w:pPr>
            <w:r>
              <w:rPr>
                <w:rFonts w:ascii="Arial" w:cs="Arial" w:eastAsia="Arial" w:hAnsi="Arial"/>
                <w:sz w:val="20"/>
                <w:szCs w:val="20"/>
                <w:color w:val="auto"/>
              </w:rPr>
              <w:t>Aggregates tons</w:t>
            </w:r>
          </w:p>
        </w:tc>
        <w:tc>
          <w:tcPr>
            <w:tcW w:w="3700" w:type="dxa"/>
            <w:vAlign w:val="bottom"/>
          </w:tcPr>
          <w:p>
            <w:pPr>
              <w:jc w:val="right"/>
              <w:ind w:right="661"/>
              <w:spacing w:after="0"/>
              <w:rPr>
                <w:sz w:val="20"/>
                <w:szCs w:val="20"/>
                <w:color w:val="auto"/>
              </w:rPr>
            </w:pPr>
            <w:r>
              <w:rPr>
                <w:rFonts w:ascii="Arial" w:cs="Arial" w:eastAsia="Arial" w:hAnsi="Arial"/>
                <w:sz w:val="20"/>
                <w:szCs w:val="20"/>
                <w:color w:val="auto"/>
              </w:rPr>
              <w:t>152.2</w:t>
            </w:r>
          </w:p>
        </w:tc>
        <w:tc>
          <w:tcPr>
            <w:tcW w:w="1200" w:type="dxa"/>
            <w:vAlign w:val="bottom"/>
          </w:tcPr>
          <w:p>
            <w:pPr>
              <w:jc w:val="right"/>
              <w:ind w:right="461"/>
              <w:spacing w:after="0"/>
              <w:rPr>
                <w:sz w:val="20"/>
                <w:szCs w:val="20"/>
                <w:color w:val="auto"/>
              </w:rPr>
            </w:pPr>
            <w:r>
              <w:rPr>
                <w:rFonts w:ascii="Arial" w:cs="Arial" w:eastAsia="Arial" w:hAnsi="Arial"/>
                <w:sz w:val="20"/>
                <w:szCs w:val="20"/>
                <w:color w:val="auto"/>
              </w:rPr>
              <w:t>160.1</w:t>
            </w:r>
          </w:p>
        </w:tc>
        <w:tc>
          <w:tcPr>
            <w:tcW w:w="1200" w:type="dxa"/>
            <w:vAlign w:val="bottom"/>
          </w:tcPr>
          <w:p>
            <w:pPr>
              <w:jc w:val="right"/>
              <w:spacing w:after="0"/>
              <w:rPr>
                <w:sz w:val="20"/>
                <w:szCs w:val="20"/>
                <w:color w:val="auto"/>
              </w:rPr>
            </w:pPr>
            <w:r>
              <w:rPr>
                <w:rFonts w:ascii="Arial" w:cs="Arial" w:eastAsia="Arial" w:hAnsi="Arial"/>
                <w:sz w:val="20"/>
                <w:szCs w:val="20"/>
                <w:color w:val="auto"/>
              </w:rPr>
              <w:t>(5.0 )%</w:t>
            </w:r>
          </w:p>
        </w:tc>
      </w:tr>
      <w:tr>
        <w:trPr>
          <w:trHeight w:val="270"/>
        </w:trPr>
        <w:tc>
          <w:tcPr>
            <w:tcW w:w="5240" w:type="dxa"/>
            <w:vAlign w:val="bottom"/>
          </w:tcPr>
          <w:p>
            <w:pPr>
              <w:ind w:left="20"/>
              <w:spacing w:after="0"/>
              <w:rPr>
                <w:sz w:val="20"/>
                <w:szCs w:val="20"/>
                <w:color w:val="auto"/>
              </w:rPr>
            </w:pPr>
            <w:r>
              <w:rPr>
                <w:rFonts w:ascii="Arial" w:cs="Arial" w:eastAsia="Arial" w:hAnsi="Arial"/>
                <w:sz w:val="20"/>
                <w:szCs w:val="20"/>
                <w:color w:val="auto"/>
              </w:rPr>
              <w:t>Cement tons</w:t>
            </w:r>
          </w:p>
        </w:tc>
        <w:tc>
          <w:tcPr>
            <w:tcW w:w="3700" w:type="dxa"/>
            <w:vAlign w:val="bottom"/>
          </w:tcPr>
          <w:p>
            <w:pPr>
              <w:jc w:val="right"/>
              <w:ind w:right="661"/>
              <w:spacing w:after="0"/>
              <w:rPr>
                <w:sz w:val="20"/>
                <w:szCs w:val="20"/>
                <w:color w:val="auto"/>
              </w:rPr>
            </w:pPr>
            <w:r>
              <w:rPr>
                <w:rFonts w:ascii="Arial" w:cs="Arial" w:eastAsia="Arial" w:hAnsi="Arial"/>
                <w:sz w:val="20"/>
                <w:szCs w:val="20"/>
                <w:color w:val="auto"/>
              </w:rPr>
              <w:t>3.2</w:t>
            </w:r>
          </w:p>
        </w:tc>
        <w:tc>
          <w:tcPr>
            <w:tcW w:w="1200" w:type="dxa"/>
            <w:vAlign w:val="bottom"/>
          </w:tcPr>
          <w:p>
            <w:pPr>
              <w:jc w:val="right"/>
              <w:ind w:right="461"/>
              <w:spacing w:after="0"/>
              <w:rPr>
                <w:sz w:val="20"/>
                <w:szCs w:val="20"/>
                <w:color w:val="auto"/>
              </w:rPr>
            </w:pPr>
            <w:r>
              <w:rPr>
                <w:rFonts w:ascii="Arial" w:cs="Arial" w:eastAsia="Arial" w:hAnsi="Arial"/>
                <w:sz w:val="20"/>
                <w:szCs w:val="20"/>
                <w:color w:val="auto"/>
              </w:rPr>
              <w:t>3.2</w:t>
            </w:r>
          </w:p>
        </w:tc>
        <w:tc>
          <w:tcPr>
            <w:tcW w:w="1200" w:type="dxa"/>
            <w:vAlign w:val="bottom"/>
          </w:tcPr>
          <w:p>
            <w:pPr>
              <w:jc w:val="right"/>
              <w:spacing w:after="0"/>
              <w:rPr>
                <w:sz w:val="20"/>
                <w:szCs w:val="20"/>
                <w:color w:val="auto"/>
              </w:rPr>
            </w:pPr>
            <w:r>
              <w:rPr>
                <w:rFonts w:ascii="Arial" w:cs="Arial" w:eastAsia="Arial" w:hAnsi="Arial"/>
                <w:sz w:val="20"/>
                <w:szCs w:val="20"/>
                <w:color w:val="auto"/>
              </w:rPr>
              <w:t>(2.0 )%</w:t>
            </w:r>
          </w:p>
        </w:tc>
      </w:tr>
      <w:tr>
        <w:trPr>
          <w:trHeight w:val="270"/>
        </w:trPr>
        <w:tc>
          <w:tcPr>
            <w:tcW w:w="5240" w:type="dxa"/>
            <w:vAlign w:val="bottom"/>
          </w:tcPr>
          <w:p>
            <w:pPr>
              <w:ind w:left="20"/>
              <w:spacing w:after="0"/>
              <w:rPr>
                <w:sz w:val="20"/>
                <w:szCs w:val="20"/>
                <w:color w:val="auto"/>
              </w:rPr>
            </w:pPr>
            <w:r>
              <w:rPr>
                <w:rFonts w:ascii="Arial" w:cs="Arial" w:eastAsia="Arial" w:hAnsi="Arial"/>
                <w:sz w:val="20"/>
                <w:szCs w:val="20"/>
                <w:color w:val="auto"/>
              </w:rPr>
              <w:t>Ready Mixed Concrete cubic yards</w:t>
            </w:r>
          </w:p>
        </w:tc>
        <w:tc>
          <w:tcPr>
            <w:tcW w:w="3700" w:type="dxa"/>
            <w:vAlign w:val="bottom"/>
          </w:tcPr>
          <w:p>
            <w:pPr>
              <w:jc w:val="right"/>
              <w:ind w:right="661"/>
              <w:spacing w:after="0"/>
              <w:rPr>
                <w:sz w:val="20"/>
                <w:szCs w:val="20"/>
                <w:color w:val="auto"/>
              </w:rPr>
            </w:pPr>
            <w:r>
              <w:rPr>
                <w:rFonts w:ascii="Arial" w:cs="Arial" w:eastAsia="Arial" w:hAnsi="Arial"/>
                <w:sz w:val="20"/>
                <w:szCs w:val="20"/>
                <w:color w:val="auto"/>
              </w:rPr>
              <w:t>5.1</w:t>
            </w:r>
          </w:p>
        </w:tc>
        <w:tc>
          <w:tcPr>
            <w:tcW w:w="1200" w:type="dxa"/>
            <w:vAlign w:val="bottom"/>
          </w:tcPr>
          <w:p>
            <w:pPr>
              <w:jc w:val="right"/>
              <w:ind w:right="461"/>
              <w:spacing w:after="0"/>
              <w:rPr>
                <w:sz w:val="20"/>
                <w:szCs w:val="20"/>
                <w:color w:val="auto"/>
              </w:rPr>
            </w:pPr>
            <w:r>
              <w:rPr>
                <w:rFonts w:ascii="Arial" w:cs="Arial" w:eastAsia="Arial" w:hAnsi="Arial"/>
                <w:sz w:val="20"/>
                <w:szCs w:val="20"/>
                <w:color w:val="auto"/>
              </w:rPr>
              <w:t>5.9</w:t>
            </w:r>
          </w:p>
        </w:tc>
        <w:tc>
          <w:tcPr>
            <w:tcW w:w="1200" w:type="dxa"/>
            <w:vAlign w:val="bottom"/>
          </w:tcPr>
          <w:p>
            <w:pPr>
              <w:jc w:val="right"/>
              <w:spacing w:after="0"/>
              <w:rPr>
                <w:sz w:val="20"/>
                <w:szCs w:val="20"/>
                <w:color w:val="auto"/>
              </w:rPr>
            </w:pPr>
            <w:r>
              <w:rPr>
                <w:rFonts w:ascii="Arial" w:cs="Arial" w:eastAsia="Arial" w:hAnsi="Arial"/>
                <w:sz w:val="20"/>
                <w:szCs w:val="20"/>
                <w:color w:val="auto"/>
              </w:rPr>
              <w:t>(14.6 )%</w:t>
            </w:r>
          </w:p>
        </w:tc>
      </w:tr>
      <w:tr>
        <w:trPr>
          <w:trHeight w:val="270"/>
        </w:trPr>
        <w:tc>
          <w:tcPr>
            <w:tcW w:w="5240" w:type="dxa"/>
            <w:vAlign w:val="bottom"/>
          </w:tcPr>
          <w:p>
            <w:pPr>
              <w:ind w:left="20"/>
              <w:spacing w:after="0"/>
              <w:rPr>
                <w:sz w:val="20"/>
                <w:szCs w:val="20"/>
                <w:color w:val="auto"/>
              </w:rPr>
            </w:pPr>
            <w:r>
              <w:rPr>
                <w:rFonts w:ascii="Arial" w:cs="Arial" w:eastAsia="Arial" w:hAnsi="Arial"/>
                <w:sz w:val="20"/>
                <w:szCs w:val="20"/>
                <w:color w:val="auto"/>
              </w:rPr>
              <w:t>Asphalt tons</w:t>
            </w:r>
          </w:p>
        </w:tc>
        <w:tc>
          <w:tcPr>
            <w:tcW w:w="3700" w:type="dxa"/>
            <w:vAlign w:val="bottom"/>
          </w:tcPr>
          <w:p>
            <w:pPr>
              <w:jc w:val="right"/>
              <w:ind w:right="661"/>
              <w:spacing w:after="0"/>
              <w:rPr>
                <w:sz w:val="20"/>
                <w:szCs w:val="20"/>
                <w:color w:val="auto"/>
              </w:rPr>
            </w:pPr>
            <w:r>
              <w:rPr>
                <w:rFonts w:ascii="Arial" w:cs="Arial" w:eastAsia="Arial" w:hAnsi="Arial"/>
                <w:sz w:val="20"/>
                <w:szCs w:val="20"/>
                <w:color w:val="auto"/>
              </w:rPr>
              <w:t>7.0</w:t>
            </w:r>
          </w:p>
        </w:tc>
        <w:tc>
          <w:tcPr>
            <w:tcW w:w="1200" w:type="dxa"/>
            <w:vAlign w:val="bottom"/>
          </w:tcPr>
          <w:p>
            <w:pPr>
              <w:jc w:val="right"/>
              <w:ind w:right="461"/>
              <w:spacing w:after="0"/>
              <w:rPr>
                <w:sz w:val="20"/>
                <w:szCs w:val="20"/>
                <w:color w:val="auto"/>
              </w:rPr>
            </w:pPr>
            <w:r>
              <w:rPr>
                <w:rFonts w:ascii="Arial" w:cs="Arial" w:eastAsia="Arial" w:hAnsi="Arial"/>
                <w:sz w:val="20"/>
                <w:szCs w:val="20"/>
                <w:color w:val="auto"/>
              </w:rPr>
              <w:t>6.9</w:t>
            </w:r>
          </w:p>
        </w:tc>
        <w:tc>
          <w:tcPr>
            <w:tcW w:w="1200" w:type="dxa"/>
            <w:vAlign w:val="bottom"/>
          </w:tcPr>
          <w:p>
            <w:pPr>
              <w:jc w:val="right"/>
              <w:spacing w:after="0"/>
              <w:rPr>
                <w:sz w:val="20"/>
                <w:szCs w:val="20"/>
                <w:color w:val="auto"/>
              </w:rPr>
            </w:pPr>
            <w:r>
              <w:rPr>
                <w:rFonts w:ascii="Arial" w:cs="Arial" w:eastAsia="Arial" w:hAnsi="Arial"/>
                <w:sz w:val="20"/>
                <w:szCs w:val="20"/>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-836930</wp:posOffset>
            </wp:positionV>
            <wp:extent cx="26314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gridSpan w:val="8"/>
          </w:tcPr>
          <w:p>
            <w:pPr>
              <w:spacing w:after="0"/>
              <w:rPr>
                <w:sz w:val="20"/>
                <w:szCs w:val="20"/>
                <w:color w:val="auto"/>
              </w:rPr>
            </w:pPr>
            <w:r>
              <w:rPr>
                <w:rFonts w:ascii="Arial" w:cs="Arial" w:eastAsia="Arial" w:hAnsi="Arial"/>
                <w:sz w:val="20"/>
                <w:szCs w:val="20"/>
                <w:color w:val="auto"/>
                <w:w w:val="99"/>
              </w:rPr>
              <w:t>The average selling price and pricing variances by product line for the Building Materials business are as follows: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gridSpan w:val="6"/>
          </w:tcPr>
          <w:p>
            <w:pPr>
              <w:ind w:left="220"/>
              <w:spacing w:after="0"/>
              <w:rPr>
                <w:sz w:val="20"/>
                <w:szCs w:val="20"/>
                <w:color w:val="auto"/>
              </w:rPr>
            </w:pPr>
            <w:r>
              <w:rPr>
                <w:rFonts w:ascii="Arial" w:cs="Arial" w:eastAsia="Arial" w:hAnsi="Arial"/>
                <w:sz w:val="20"/>
                <w:szCs w:val="20"/>
                <w:color w:val="auto"/>
                <w:w w:val="92"/>
              </w:rPr>
              <w:t>Nine Months Ended September 30,</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7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6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2022</w:t>
            </w:r>
          </w:p>
        </w:tc>
        <w:tc>
          <w:tcPr>
            <w:tcW w:w="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4"/>
              </w:rPr>
              <w:t>% Change</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line="226" w:lineRule="exact"/>
              <w:rPr>
                <w:sz w:val="20"/>
                <w:szCs w:val="20"/>
                <w:color w:val="auto"/>
              </w:rPr>
            </w:pPr>
            <w:r>
              <w:rPr>
                <w:rFonts w:ascii="Arial" w:cs="Arial" w:eastAsia="Arial" w:hAnsi="Arial"/>
                <w:sz w:val="20"/>
                <w:szCs w:val="20"/>
                <w:color w:val="auto"/>
              </w:rPr>
              <w:t>Aggregates (per ton)</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19.72</w:t>
            </w:r>
          </w:p>
        </w:tc>
        <w:tc>
          <w:tcPr>
            <w:tcW w:w="320" w:type="dxa"/>
            <w:vAlign w:val="bottom"/>
          </w:tcPr>
          <w:p>
            <w:pPr>
              <w:spacing w:after="0"/>
              <w:rPr>
                <w:sz w:val="21"/>
                <w:szCs w:val="21"/>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16.41</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20.2</w:t>
            </w:r>
          </w:p>
        </w:tc>
        <w:tc>
          <w:tcPr>
            <w:tcW w:w="140" w:type="dxa"/>
            <w:vAlign w:val="bottom"/>
          </w:tcPr>
          <w:p>
            <w:pPr>
              <w:jc w:val="right"/>
              <w:spacing w:after="0"/>
              <w:rPr>
                <w:sz w:val="20"/>
                <w:szCs w:val="20"/>
                <w:color w:val="auto"/>
              </w:rPr>
            </w:pPr>
            <w:r>
              <w:rPr>
                <w:rFonts w:ascii="Arial" w:cs="Arial" w:eastAsia="Arial" w:hAnsi="Arial"/>
                <w:sz w:val="19"/>
                <w:szCs w:val="19"/>
                <w:color w:val="auto"/>
                <w:w w:val="70"/>
              </w:rPr>
              <w:t>%</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20"/>
                <w:szCs w:val="20"/>
                <w:color w:val="auto"/>
              </w:rPr>
              <w:t>Cement (per ton)</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172.93</w:t>
            </w:r>
          </w:p>
        </w:tc>
        <w:tc>
          <w:tcPr>
            <w:tcW w:w="70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139.64</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23.8 %</w:t>
            </w:r>
          </w:p>
        </w:tc>
        <w:tc>
          <w:tcPr>
            <w:tcW w:w="0" w:type="dxa"/>
            <w:vAlign w:val="bottom"/>
          </w:tcPr>
          <w:p>
            <w:pPr>
              <w:spacing w:after="0"/>
              <w:rPr>
                <w:sz w:val="1"/>
                <w:szCs w:val="1"/>
                <w:color w:val="auto"/>
              </w:rPr>
            </w:pPr>
          </w:p>
        </w:tc>
      </w:tr>
      <w:tr>
        <w:trPr>
          <w:trHeight w:val="265"/>
        </w:trPr>
        <w:tc>
          <w:tcPr>
            <w:tcW w:w="5720" w:type="dxa"/>
            <w:vAlign w:val="bottom"/>
          </w:tcPr>
          <w:p>
            <w:pPr>
              <w:ind w:left="20"/>
              <w:spacing w:after="0"/>
              <w:rPr>
                <w:sz w:val="20"/>
                <w:szCs w:val="20"/>
                <w:color w:val="auto"/>
              </w:rPr>
            </w:pPr>
            <w:r>
              <w:rPr>
                <w:rFonts w:ascii="Arial" w:cs="Arial" w:eastAsia="Arial" w:hAnsi="Arial"/>
                <w:sz w:val="20"/>
                <w:szCs w:val="20"/>
                <w:color w:val="auto"/>
              </w:rPr>
              <w:t>Ready Mixed Concrete (per cubic yard)</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152.79</w:t>
            </w:r>
          </w:p>
        </w:tc>
        <w:tc>
          <w:tcPr>
            <w:tcW w:w="70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125.32</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21.9 %</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20"/>
                <w:szCs w:val="20"/>
                <w:color w:val="auto"/>
              </w:rPr>
              <w:t>Asphalt (per ton)</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65.71</w:t>
            </w:r>
          </w:p>
        </w:tc>
        <w:tc>
          <w:tcPr>
            <w:tcW w:w="70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61.21</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2"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Year-to-date aggregates shipments decreased 5.0%, largely driven by the afordability-driven residental slowdown and moderaton in warehouse constructon demand. For the year-to-date period, the infrastructure, nonresidental, residental and ChemRock/Rail markets represented 36%, 35%, 24% and 5% of aggregates shipments, respectvely. Aggregates pricing increased 20.2%, or 18.1% on a mix-adjusted basis, over the prior-year period, refectng the cumulatve impact of 2022 and 2023 price increases. Year-to-date aggregates gross proft improved 41.1% to $1.05 billion and gross margin expanded 670 basis points to 32.0%, as strong pricing growth and lower diesel fuel costs more than ofset lower shipments and higher personnel, repairs, supplies and contract services costs.</w:t>
      </w:r>
    </w:p>
    <w:p>
      <w:pPr>
        <w:spacing w:after="0" w:line="60" w:lineRule="exact"/>
        <w:rPr>
          <w:sz w:val="20"/>
          <w:szCs w:val="20"/>
          <w:color w:val="auto"/>
        </w:rPr>
      </w:pPr>
    </w:p>
    <w:p>
      <w:pPr>
        <w:jc w:val="both"/>
        <w:ind w:right="100"/>
        <w:spacing w:after="0" w:line="284" w:lineRule="auto"/>
        <w:rPr>
          <w:sz w:val="20"/>
          <w:szCs w:val="20"/>
          <w:color w:val="auto"/>
        </w:rPr>
      </w:pPr>
      <w:r>
        <w:rPr>
          <w:rFonts w:ascii="Arial" w:cs="Arial" w:eastAsia="Arial" w:hAnsi="Arial"/>
          <w:sz w:val="19"/>
          <w:szCs w:val="19"/>
          <w:color w:val="auto"/>
        </w:rPr>
        <w:t>Cement shipments decreased 2.0%. Pricing increased 23.8%, as largely sold-out conditons in Texas contnue to drive robust pricing momentum. Cement gross proft grew to $249.0 million, an increase of 72.0%, and gross margin expanded 1,320 basis points to 44.1%, as pricing gains and lower energy costs more than ofset lower shipments and higher raw materials and maintenance costs.</w:t>
      </w:r>
    </w:p>
    <w:p>
      <w:pPr>
        <w:spacing w:after="0" w:line="61" w:lineRule="exact"/>
        <w:rPr>
          <w:sz w:val="20"/>
          <w:szCs w:val="20"/>
          <w:color w:val="auto"/>
        </w:rPr>
      </w:pPr>
    </w:p>
    <w:p>
      <w:pPr>
        <w:jc w:val="both"/>
        <w:ind w:right="120"/>
        <w:spacing w:after="0" w:line="332" w:lineRule="auto"/>
        <w:rPr>
          <w:sz w:val="20"/>
          <w:szCs w:val="20"/>
          <w:color w:val="auto"/>
        </w:rPr>
      </w:pPr>
      <w:r>
        <w:rPr>
          <w:rFonts w:ascii="Arial" w:cs="Arial" w:eastAsia="Arial" w:hAnsi="Arial"/>
          <w:sz w:val="18"/>
          <w:szCs w:val="18"/>
          <w:color w:val="auto"/>
        </w:rPr>
        <w:t>Ready mix pricing increased 21.9% due to pricing actons implemented in all Arizona and Texas markets. Ready mix shipments declined 14.6%, partally driven by the divestture of the Company’s Colorado and Central Texas ready mixed concrete businesses on April 1, 2022.</w:t>
      </w:r>
    </w:p>
    <w:p>
      <w:pPr>
        <w:spacing w:after="0" w:line="21" w:lineRule="exact"/>
        <w:rPr>
          <w:sz w:val="20"/>
          <w:szCs w:val="20"/>
          <w:color w:val="auto"/>
        </w:rPr>
      </w:pPr>
    </w:p>
    <w:p>
      <w:pPr>
        <w:jc w:val="both"/>
        <w:ind w:right="100"/>
        <w:spacing w:after="0" w:line="264" w:lineRule="auto"/>
        <w:rPr>
          <w:sz w:val="20"/>
          <w:szCs w:val="20"/>
          <w:color w:val="auto"/>
        </w:rPr>
      </w:pPr>
      <w:r>
        <w:rPr>
          <w:rFonts w:ascii="Arial" w:cs="Arial" w:eastAsia="Arial" w:hAnsi="Arial"/>
          <w:sz w:val="20"/>
          <w:szCs w:val="20"/>
          <w:color w:val="auto"/>
        </w:rPr>
        <w:t>Asphalt shipments increased 1.2% and pricing increased 7.4%, as total asphalt and paving revenues increased 12.3%. Asphalt and paving gross proft improved 30.4% and gross margin improved 180 basis points over the prior-year period, as lower natural gas and liquid asphalt, or bitumen, costs augmented pricing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Page 31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1" w:right="23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Specialtes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Magnesia Specialtes total revenues increased 2.1% to $239.4 million for the nine months ended September 30, 2023, driven by higher pricing across all product lines, partally ofset by lower chemical sales. Gross proft increased 4.6% to $74.1 million as pricing gains and lower energy costs ofset lower volumes.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Operatng Results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Consolidated SG&amp;A for the nine months ended September 30, 2023 and 2022 was 6.3% of total revenues.</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color w:val="auto"/>
        </w:rPr>
        <w:t>For the nine months ended September 30, consolidated other operatng income, net, was $15.3 million in 2023 and $177.4 million in 2022, which included a $151.9 million pretax gain on the sale of the Colorado and Central Texas ready-mixed concrete operatons.</w:t>
      </w:r>
    </w:p>
    <w:p>
      <w:pPr>
        <w:spacing w:after="0" w:line="4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Earnings from operatons for the nine months ended September 30 were $1.23 billion in 2023 compared with $944.4 million in 2022, with the increase driven by the cumulatve impact of price increases in 2022 and 2023 and lower energy costs.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For the nine months ended September 30, other nonoperatng income, net, was $49.2 million and $40.1 million in 2023 and 2022, respectvely, with the increase resultng from higher interest income.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nine months ended September 30, 2023 and 2022, the efectve income tax rates for contnuing operatons were 20.6% and 22.1%, respectvely. The higher efectve income tax rate for the 2022 period was driven by the impact of the divestture of the Colorado and Central Texas ready mixed concrete businesses.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Cash provided by operatng actvites for the nine months ended September 30, 2023 and 2022 was $972.5 million and $560.7 million, respectvely. Operatng cash fow is substantally derived from consolidated net earnings before deductng depreciaton, depleton and amortzaton, and changes in working capital requirements.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Depreciaton, depleton and amortzaton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40" w:type="dxa"/>
            <w:vAlign w:val="bottom"/>
          </w:tcPr>
          <w:p>
            <w:pPr>
              <w:spacing w:after="0"/>
              <w:rPr>
                <w:sz w:val="21"/>
                <w:szCs w:val="21"/>
                <w:color w:val="auto"/>
              </w:rPr>
            </w:pPr>
          </w:p>
        </w:tc>
        <w:tc>
          <w:tcPr>
            <w:tcW w:w="2880" w:type="dxa"/>
            <w:vAlign w:val="bottom"/>
            <w:gridSpan w:val="4"/>
          </w:tcPr>
          <w:p>
            <w:pPr>
              <w:jc w:val="center"/>
              <w:ind w:left="421"/>
              <w:spacing w:after="0"/>
              <w:rPr>
                <w:sz w:val="20"/>
                <w:szCs w:val="20"/>
                <w:color w:val="auto"/>
              </w:rPr>
            </w:pPr>
            <w:r>
              <w:rPr>
                <w:rFonts w:ascii="Arial" w:cs="Arial" w:eastAsia="Arial" w:hAnsi="Arial"/>
                <w:sz w:val="20"/>
                <w:szCs w:val="20"/>
                <w:color w:val="auto"/>
                <w:w w:val="91"/>
              </w:rPr>
              <w:t>Nine Months Ended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7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20"/>
                <w:szCs w:val="20"/>
                <w:color w:val="auto"/>
                <w:w w:val="89"/>
              </w:rPr>
              <w:t>September 30,</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5"/>
        </w:trPr>
        <w:tc>
          <w:tcPr>
            <w:tcW w:w="77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77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2023</w:t>
            </w:r>
          </w:p>
        </w:tc>
        <w:tc>
          <w:tcPr>
            <w:tcW w:w="52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2022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0"/>
        </w:trPr>
        <w:tc>
          <w:tcPr>
            <w:tcW w:w="7740" w:type="dxa"/>
            <w:vAlign w:val="bottom"/>
          </w:tcPr>
          <w:p>
            <w:pPr>
              <w:spacing w:after="0"/>
              <w:rPr>
                <w:sz w:val="22"/>
                <w:szCs w:val="22"/>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tcPr>
          <w:p>
            <w:pPr>
              <w:ind w:left="20"/>
              <w:spacing w:after="0" w:line="226" w:lineRule="exact"/>
              <w:rPr>
                <w:sz w:val="20"/>
                <w:szCs w:val="20"/>
                <w:color w:val="auto"/>
              </w:rPr>
            </w:pPr>
            <w:r>
              <w:rPr>
                <w:rFonts w:ascii="Arial" w:cs="Arial" w:eastAsia="Arial" w:hAnsi="Arial"/>
                <w:sz w:val="20"/>
                <w:szCs w:val="20"/>
                <w:i w:val="1"/>
                <w:iCs w:val="1"/>
                <w:color w:val="auto"/>
              </w:rPr>
              <w:t>in</w:t>
            </w:r>
          </w:p>
        </w:tc>
        <w:tc>
          <w:tcPr>
            <w:tcW w:w="1020" w:type="dxa"/>
            <w:vAlign w:val="bottom"/>
            <w:tcBorders>
              <w:top w:val="single" w:sz="8" w:color="auto"/>
            </w:tcBorders>
          </w:tcPr>
          <w:p>
            <w:pPr>
              <w:spacing w:after="0"/>
              <w:rPr>
                <w:sz w:val="20"/>
                <w:szCs w:val="20"/>
                <w:color w:val="auto"/>
              </w:rPr>
            </w:pPr>
            <w:r>
              <w:rPr>
                <w:rFonts w:ascii="Arial" w:cs="Arial" w:eastAsia="Arial" w:hAnsi="Arial"/>
                <w:sz w:val="20"/>
                <w:szCs w:val="20"/>
                <w:i w:val="1"/>
                <w:iCs w:val="1"/>
                <w:color w:val="auto"/>
              </w:rPr>
              <w:t>Millions)</w:t>
            </w: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7740" w:type="dxa"/>
            <w:vAlign w:val="bottom"/>
            <w:shd w:val="clear" w:color="auto" w:fill="CFF0FC"/>
          </w:tcPr>
          <w:p>
            <w:pPr>
              <w:ind w:left="20"/>
              <w:spacing w:after="0"/>
              <w:rPr>
                <w:sz w:val="20"/>
                <w:szCs w:val="20"/>
                <w:color w:val="auto"/>
              </w:rPr>
            </w:pPr>
            <w:r>
              <w:rPr>
                <w:rFonts w:ascii="Arial" w:cs="Arial" w:eastAsia="Arial" w:hAnsi="Arial"/>
                <w:sz w:val="20"/>
                <w:szCs w:val="20"/>
                <w:color w:val="auto"/>
              </w:rPr>
              <w:t>Depreciaton</w:t>
            </w:r>
          </w:p>
        </w:tc>
        <w:tc>
          <w:tcPr>
            <w:tcW w:w="1040" w:type="dxa"/>
            <w:vAlign w:val="bottom"/>
            <w:shd w:val="clear" w:color="auto" w:fill="CFF0FC"/>
          </w:tcPr>
          <w:p>
            <w:pPr>
              <w:jc w:val="right"/>
              <w:ind w:right="821"/>
              <w:spacing w:after="0"/>
              <w:rPr>
                <w:sz w:val="20"/>
                <w:szCs w:val="20"/>
                <w:color w:val="auto"/>
              </w:rPr>
            </w:pPr>
            <w:r>
              <w:rPr>
                <w:rFonts w:ascii="Arial" w:cs="Arial" w:eastAsia="Arial" w:hAnsi="Arial"/>
                <w:sz w:val="20"/>
                <w:szCs w:val="20"/>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304.9</w:t>
            </w:r>
          </w:p>
        </w:tc>
        <w:tc>
          <w:tcPr>
            <w:tcW w:w="1320" w:type="dxa"/>
            <w:vAlign w:val="bottom"/>
            <w:gridSpan w:val="2"/>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296.9</w:t>
            </w:r>
          </w:p>
        </w:tc>
        <w:tc>
          <w:tcPr>
            <w:tcW w:w="100" w:type="dxa"/>
            <w:vAlign w:val="bottom"/>
            <w:shd w:val="clear" w:color="auto" w:fill="CFF0FC"/>
          </w:tcPr>
          <w:p>
            <w:pPr>
              <w:spacing w:after="0"/>
              <w:rPr>
                <w:sz w:val="24"/>
                <w:szCs w:val="24"/>
                <w:color w:val="auto"/>
              </w:rPr>
            </w:pPr>
          </w:p>
        </w:tc>
      </w:tr>
      <w:tr>
        <w:trPr>
          <w:trHeight w:val="260"/>
        </w:trPr>
        <w:tc>
          <w:tcPr>
            <w:tcW w:w="7740" w:type="dxa"/>
            <w:vAlign w:val="bottom"/>
          </w:tcPr>
          <w:p>
            <w:pPr>
              <w:ind w:left="20"/>
              <w:spacing w:after="0"/>
              <w:rPr>
                <w:sz w:val="20"/>
                <w:szCs w:val="20"/>
                <w:color w:val="auto"/>
              </w:rPr>
            </w:pPr>
            <w:r>
              <w:rPr>
                <w:rFonts w:ascii="Arial" w:cs="Arial" w:eastAsia="Arial" w:hAnsi="Arial"/>
                <w:sz w:val="20"/>
                <w:szCs w:val="20"/>
                <w:color w:val="auto"/>
              </w:rPr>
              <w:t>Depleton</w:t>
            </w:r>
          </w:p>
        </w:tc>
        <w:tc>
          <w:tcPr>
            <w:tcW w:w="10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38.5</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45.9</w:t>
            </w:r>
          </w:p>
        </w:tc>
        <w:tc>
          <w:tcPr>
            <w:tcW w:w="100" w:type="dxa"/>
            <w:vAlign w:val="bottom"/>
          </w:tcPr>
          <w:p>
            <w:pPr>
              <w:spacing w:after="0"/>
              <w:rPr>
                <w:sz w:val="22"/>
                <w:szCs w:val="22"/>
                <w:color w:val="auto"/>
              </w:rPr>
            </w:pPr>
          </w:p>
        </w:tc>
      </w:tr>
      <w:tr>
        <w:trPr>
          <w:trHeight w:val="27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Amortzaton</w:t>
            </w:r>
          </w:p>
        </w:tc>
        <w:tc>
          <w:tcPr>
            <w:tcW w:w="104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w:t>
            </w: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3"/>
        </w:trPr>
        <w:tc>
          <w:tcPr>
            <w:tcW w:w="7740" w:type="dxa"/>
            <w:vAlign w:val="bottom"/>
          </w:tcPr>
          <w:p>
            <w:pPr>
              <w:ind w:left="20"/>
              <w:spacing w:after="0"/>
              <w:rPr>
                <w:sz w:val="20"/>
                <w:szCs w:val="20"/>
                <w:color w:val="auto"/>
              </w:rPr>
            </w:pPr>
            <w:r>
              <w:rPr>
                <w:rFonts w:ascii="Arial" w:cs="Arial" w:eastAsia="Arial" w:hAnsi="Arial"/>
                <w:sz w:val="20"/>
                <w:szCs w:val="20"/>
                <w:color w:val="auto"/>
              </w:rPr>
              <w:t>Total</w:t>
            </w:r>
          </w:p>
        </w:tc>
        <w:tc>
          <w:tcPr>
            <w:tcW w:w="1040" w:type="dxa"/>
            <w:vAlign w:val="bottom"/>
          </w:tcPr>
          <w:p>
            <w:pPr>
              <w:jc w:val="right"/>
              <w:ind w:right="821"/>
              <w:spacing w:after="0"/>
              <w:rPr>
                <w:sz w:val="20"/>
                <w:szCs w:val="20"/>
                <w:color w:val="auto"/>
              </w:rPr>
            </w:pPr>
            <w:r>
              <w:rPr>
                <w:rFonts w:ascii="Arial" w:cs="Arial" w:eastAsia="Arial" w:hAnsi="Arial"/>
                <w:sz w:val="20"/>
                <w:szCs w:val="20"/>
                <w:color w:val="auto"/>
                <w:w w:val="89"/>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9"/>
              </w:rPr>
              <w:t>384.6</w:t>
            </w:r>
          </w:p>
        </w:tc>
        <w:tc>
          <w:tcPr>
            <w:tcW w:w="132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5"/>
              </w:rPr>
              <w:t>380.3</w:t>
            </w:r>
          </w:p>
        </w:tc>
        <w:tc>
          <w:tcPr>
            <w:tcW w:w="100" w:type="dxa"/>
            <w:vAlign w:val="bottom"/>
          </w:tcPr>
          <w:p>
            <w:pPr>
              <w:spacing w:after="0"/>
              <w:rPr>
                <w:sz w:val="22"/>
                <w:szCs w:val="22"/>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-205105</wp:posOffset>
            </wp:positionV>
            <wp:extent cx="68580" cy="2057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3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seasonal nature of constructon actvity impacts the Company’s interim operatng cash fow when compared with the full year. Full-year 2022 net cash provided by operatng actvites was $991.2 million.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nine months ended September 30, 2023 and 2022, the Company paid $464.1 million and $309.1 million, respectvely, for additons to property, plant and equipment.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The Company repurchased 381,520 shares of common stock at an aggregate cost of $150.0 million during the frst nine months of 2023. At September 30, 2023, 12.7 million shares of common stock remain under the Company’s repurchase authorizaton.</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On September 29, 2022, the Company satsfed and discharged its $700 million of 0.650% Senior Notes due 2023 (the 2023 Notes). In connecton with the satsfacton and discharge, the Company irrevocably deposited existng cash in an amount sufcient to satsfy all remaining principal and interest payments on the 2023 Notes with Regions Bank (the Trustee). The money was invested in a fund that invested exclusively in U.S. Treasury securites and was classifed as </w:t>
      </w:r>
      <w:r>
        <w:rPr>
          <w:rFonts w:ascii="Arial" w:cs="Arial" w:eastAsia="Arial" w:hAnsi="Arial"/>
          <w:sz w:val="19"/>
          <w:szCs w:val="19"/>
          <w:i w:val="1"/>
          <w:iCs w:val="1"/>
          <w:color w:val="auto"/>
        </w:rPr>
        <w:t>Restricted investments (to satsfy discharged debt and related interest)</w:t>
      </w:r>
      <w:r>
        <w:rPr>
          <w:rFonts w:ascii="Arial" w:cs="Arial" w:eastAsia="Arial" w:hAnsi="Arial"/>
          <w:sz w:val="19"/>
          <w:szCs w:val="19"/>
          <w:color w:val="auto"/>
        </w:rPr>
        <w:t xml:space="preserve"> on the consolidated balance sheet at December 31, 2022. As a result of the satsfacton and discharge, the obligatons of the Company under the indenture with respect to the 2023 Notes were terminated, except those provisions of the indenture that, by their terms, survived the satsfacton and discharge. The 2023 Notes remained on the Company’s consolidated balance sheet at December 31, 2022 and contnued to accrete to their par value over the period untl maturity. On July 17, 2023, the Trustee satsfed the remaining principal and interest payments and the 2023 Notes have been repaid in full.</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securitzaton facility (the Trade Receivable Facility) that matures on September 19, 2024. The Trade Receivable Facility contains a cross-default provision to the Company’s other debt agreements.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has an $800 million fve-year senior unsecured revolving facility (the Revolving Facility), which matures in December 2027. The Revolving Facility requires the Company’s rato of consolidated net debt-to-consolidated EBITDA, as defned, for the trailing-twelve-month period (the Rato) to not exceed 3.50 tmes as of the end of any fscal quarter, provided that the Company may exclude from the Rato debt incurred in connecton with certain acquisitons during the quarter or the three preceding quarters so long as the Rato calculated without such exclusion does not exceed 4.00 tmes. Additonally, if there are no amounts outstanding under the Revolving Facility and the Trade Receivable Facility, consolidated debt, including debt for which the Company is a guarantor, shall be reduced in an amount equal to the lesser of $500.0 million or the sum of the Company’s unrestricted cash and temporary investments, for purposes of the covenant calculaton. The Company was in compliance with the Rato at September 30, 2023.</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the event of a default on the Rato, the lenders can terminate the Revolving Facility and Trade Receivable Facility and declare any outstanding balances as immediately due. There were no amounts outstanding under the Trade Receivable Facility or the Revolving Facility at September 30, 2023.</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Cash on hand and restricted investments,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for payment of dividends for the foreseeable future and allow the repurchase of shares of the Company’s common stock. At September 30, 2023, the Company had $1.20 billion of unused borrowing capacity under its Revolving Facility and Trade Receivable Facility, subject to complying with the related leverage covenant. Historically, the Company has successfully extended the maturity dates of these credit facilites.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outlined the risks associated with its business in its Annual Report on Form 10-K for the year ended December 31, 2022.</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contnues to evaluate its exposure to all operatng risks on an ongoing basis.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16, 2022, the U.S. enacted the Infaton Reducton Act of 2022, which, among other things, implements a 15% minimum tax on book income of certain large corporatons, a 1% excise tax on net stock repurchases and several tax incentves to promote clean energy. Based on the Company’s current analysis of the provisions, management does not believe this legislaton will have a material impact on the Company’s consolidated fnancial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 and in other publicatons may turn out to be wrong.</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Company’s outlook is subject to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include, but are not limited to: the ability of the Company to face challenges, including shipment declines resultng from economic events beyond the Company’s control; a widespread decline in aggregates pricing, including a decline in aggregates shipment volume negatvely afectng aggregates price; the history of both cement and ready mixed concrete being subject to signifcant changes in supply, demand and price fuctuatons; the terminaton, capping and/or reducton or suspension of the federal and/or state gasoline tax(es) or other revenue related to public constructon; the level and tming of federal, state or local transportaton or infrastructure or public projects funding and any issues arising with such federal or state budgets, most partcularly in Texas, Colorado, North Carolina, Minnesota, California, Georgia, Arizona, Iowa, Florida and Indiana; the United States Congress’ inability to reach agreement among themselves or with the Administraton on policy issues that impact the federal budget; the ability of states and/or other enttes to fnance approved projects either with tax revenues or alternatve fnancing structures; levels of constructon spending in the markets the Company serves; a reducton in defense spending and the subsequent impact on constructon actvity on or near military bases; a decline in energy-related constructon actvity resultng from a sustained period of low global oil prices or changes in oil producton paterns or capital spending in response to this decline, partcularly in Texas and West Virginia; sustained high residental mortgage rates and other factors that have resulted in a slowdown in residental constructon in some geographies; unfavorable weather conditons, partcularly Atlantc Ocean, Pacifc Ocean and Gulf of Mexico storm and hurricane actvity, the late start to spring or the early onset of winter and the impact of a drought or excessive rainfall in the markets served by the Company, any of which can signifcantly afect producton schedules, volumes, product and/or geographic mix and proftability; the volatlity of fuel costs and energy,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contnued increases in the cost of other repair and supply parts; constructon labor shortages and/or supply chain challenges; unexpected equipment failures, unscheduled maintenance, industrial accident or other prolonged and/or signifcant disrupton to producton facilites; the resiliency and potental declines of the Company’s various constructon end-use markets; the potental negatve impacts of new waves of COVID-19 or its variants, or any other outbreak of diseases, epidemic or pandemic, or similar public health threat, or fear of such event and its related economic and societal response; increasing governmental regulaton, including environmental laws and climate change regulatons at the federal and state levels; transportaton availability or a sustained reducton in capital investment by the railroads, notably the availability of railcars, locomotve power and the conditon of rail infrastructure to move trains to supply the Company’s Texas, Colorado, Florida, Carolinas and the Gulf Coast markets, including the movement of essental dolomitc lime for magnesia chemicals to the Company’s plant in Manistee, Michigan and its customers; increased transportaton costs, including increases from higher or fuctuatng passed-through energy costs or fuel surcharges, and other costs to comply with tghtening regulatons, as well as higher volumes of rail and water shipments; availability of trucks and licensed drivers for transport of the Company’s materials; availability and cost of constructon equipment in the United States; weakening in the steel industry markets served by the Company’s dolomitc lime products; potental impact on costs, supply chain, oil and gas prices, or other maters relatng to the war between Russia and Ukraine, the war in Israel and related confict in the Middle East and confict between China and Taiwan; trade disputes with one or more natons impactng the U.S. economy, including the impact of tarifs on the steel industry; unplanned changes in costs or realignment of customers that introduce volatlity to earnings, including that of the Magnesia Specialtes business that is running at capacity; proper functoning of informaton technology and automated operatng systems to manage or support operatons; infaton and its efect on both producton and interest costs; the concentraton of customers in constructon markets and the increased risk of potental losses on customer receivables; the impact of the level of demand in the Company’s end-use markets, producton levels and management of producton costs on the operatng leverage and therefore proftability of the Company; the possibility that the expected synergies from acquisitons will not be realized or will not be realized within the expected tme period, including achieving antcipated proftability to maintain compliance with the Company’s leverage rato debt covenant; changes in tax laws, the interpretaton of such laws and/or administratve practces, including acquisitons and divesttures, that would increase the Company’s tax rate; violaton of the Company’s debt covenant if price and/or volumes return to previous levels of instability; downward pressure on the Company’s common stock price and its impact on goodwill impairment evaluatons; the possibility of a reducton of the Company’s credit ratng to non-investment grade; and other risk factors listed from tme to tme found in the Company’s flings with the SEC.</w:t>
      </w:r>
    </w:p>
    <w:p>
      <w:pPr>
        <w:spacing w:after="0" w:line="32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2022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Martn Marieta’s Annual Report on Form 10-K, as fled with the Securites and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fscal year ended December 31, 2022, by writng to:</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Martn Marieta</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Atn: Corporate Secretary</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4123 Parklake Avenue</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Raleigh, North Carolina 27612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510-4736</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www.martnmarieta.com</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Informaton included on the Company’s website is not incorporated into, or otherwise creates a part of, this report.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Item 3. Quanttatve and Qualitatve Disclosures About Market Risk.</w:t>
      </w:r>
    </w:p>
    <w:p>
      <w:pPr>
        <w:spacing w:after="0" w:line="121"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The Company’s operatons are highly dependent upon the interest rate-sensitve constructon and steelmaking industries. Consequently, these marketplaces could experience lower levels of economic actvity in an environment of rising interest rates or escalatng costs.</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Demand in the nonresidental and residental constructon markets, which combined accounted for 59% of aggregates shipments for the nine months ended September 30, 2023, is afected by interest rates. Since December 31, 2022, the Federal Reserve has raised the target federal funds rate 100 basis points.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Aside from these inherent risks from within its operatons, the Company’s earnings are also afected by changes in short-term interest rates and changes in enacted tax laws.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Variable-Rate Borrowing Facilites. </w:t>
      </w:r>
      <w:r>
        <w:rPr>
          <w:rFonts w:ascii="Arial" w:cs="Arial" w:eastAsia="Arial" w:hAnsi="Arial"/>
          <w:sz w:val="20"/>
          <w:szCs w:val="20"/>
          <w:color w:val="auto"/>
        </w:rPr>
        <w:t>At September 30, 2023, the Company had an $800.0 million Revolving Facility and a $400.0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facilites bear interest at a variable interest rate. There were no borrowings outstanding on either facility at September 30, 2023. However, any future borrowings under the credit facilites or outstanding variable-rate debt are exposed to interest rate risk.</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Pension Expense. </w:t>
      </w:r>
      <w:r>
        <w:rPr>
          <w:rFonts w:ascii="Arial" w:cs="Arial" w:eastAsia="Arial" w:hAnsi="Arial"/>
          <w:sz w:val="20"/>
          <w:szCs w:val="20"/>
          <w:color w:val="auto"/>
        </w:rPr>
        <w:t>The Company’s results of operatons are afected by its pension expense. Assumptons that afect pension expense include</w:t>
      </w:r>
      <w:r>
        <w:rPr>
          <w:rFonts w:ascii="Arial" w:cs="Arial" w:eastAsia="Arial" w:hAnsi="Arial"/>
          <w:sz w:val="20"/>
          <w:szCs w:val="20"/>
          <w:i w:val="1"/>
          <w:iCs w:val="1"/>
          <w:color w:val="auto"/>
        </w:rPr>
        <w:t xml:space="preserve"> </w:t>
      </w:r>
      <w:r>
        <w:rPr>
          <w:rFonts w:ascii="Arial" w:cs="Arial" w:eastAsia="Arial" w:hAnsi="Arial"/>
          <w:sz w:val="20"/>
          <w:szCs w:val="20"/>
          <w:color w:val="auto"/>
        </w:rPr>
        <w:t>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2022. As of September 30, 2023, discount rates were approximately 50 basis points higher than the rate selected at December 31, 2022, the most recent measurement date.</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Income Tax. </w:t>
      </w:r>
      <w:r>
        <w:rPr>
          <w:rFonts w:ascii="Arial" w:cs="Arial" w:eastAsia="Arial" w:hAnsi="Arial"/>
          <w:sz w:val="20"/>
          <w:szCs w:val="20"/>
          <w:color w:val="auto"/>
        </w:rPr>
        <w:t>Any changes in enacted tax laws, rules or regulatory or judicial interpretatons, or any change in the pronouncements relatng</w:t>
      </w:r>
      <w:r>
        <w:rPr>
          <w:rFonts w:ascii="Arial" w:cs="Arial" w:eastAsia="Arial" w:hAnsi="Arial"/>
          <w:sz w:val="20"/>
          <w:szCs w:val="20"/>
          <w:i w:val="1"/>
          <w:iCs w:val="1"/>
          <w:color w:val="auto"/>
        </w:rPr>
        <w:t xml:space="preserve"> </w:t>
      </w:r>
      <w:r>
        <w:rPr>
          <w:rFonts w:ascii="Arial" w:cs="Arial" w:eastAsia="Arial" w:hAnsi="Arial"/>
          <w:sz w:val="20"/>
          <w:szCs w:val="20"/>
          <w:color w:val="auto"/>
        </w:rPr>
        <w:t>to accountng for income taxes could materially impact the Company’s efectve tax rate, tax payments, fnancial conditon and results of operatons.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electricity, coal, petroleum coke and liquid asphalt, represent signifcant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producton costs of the Company. The Company may be unable to pass along increases in the costs of energy to customers in the form of price increases for the Company’s products. The cement product line and Magnesia Specialtes business each have varying fxed-price agreements for a porton of their 2023 energy requirements. On a consolidated basis, energy expense for the nine months ended September 30, 2023 decreased 19% compared with the prior-year period, inclusive of a $0.87-per-gallon decrease in diesel costs. A hypothetcal 10% change in the Company’s energy prices in 2023 as compared with 2022, assuming constant volumes, would change 2023 energy expense by $50.0 million.</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competton is based principally on price, which is highly sensitve to changes in supply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Prices are ofen subject to material changes in response to relatvely minor fuctuatons in supply and demand, general economic conditons and other market conditons beyond the Company’s control. Increases in the producton capacity of industry partcipants or increases in cement imports tend to create an oversupply of such products leading to an imbalance between supply and demand, which can have a negatve impact on product prices. There can be no assurance that product prices will not decline in the future or that such declines will not have a material adverse efect on the Company’s business, fnancial conditon and results of operatons. Taking full-year 2022 cement product revenues of $602.3 million, a hypothetcal 10% change in the average selling price of the cement product line would impact full-year cement product revenues by $60.2 million.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Cement is a key raw material in the producton of ready mixed concrete. The Company may be unable to pass along increases in the costs of cement and raw materials to customers in the form of price increases for the Company’s products. A hypothetcal 10% change in cement costs in 2023 compared with 2022, assuming constant volumes, would change the ready mixed concrete product line cost of sales by $26.2 million. While increases in cement pricing may negatvely impact the proftability of the ready mixed concrete operatons, the cement business would beneft, although the positve impact may not refect a direct correlaton to the impact on the ready mixed concrete business.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Evaluaton of Disclosure Controls and Procedures. </w:t>
      </w:r>
      <w:r>
        <w:rPr>
          <w:rFonts w:ascii="Arial" w:cs="Arial" w:eastAsia="Arial" w:hAnsi="Arial"/>
          <w:sz w:val="20"/>
          <w:szCs w:val="20"/>
          <w:color w:val="auto"/>
        </w:rPr>
        <w:t>As of September 30, 2023, an evaluaton was performed under the supervision and with</w:t>
      </w:r>
      <w:r>
        <w:rPr>
          <w:rFonts w:ascii="Arial" w:cs="Arial" w:eastAsia="Arial" w:hAnsi="Arial"/>
          <w:sz w:val="20"/>
          <w:szCs w:val="20"/>
          <w:i w:val="1"/>
          <w:iCs w:val="1"/>
          <w:color w:val="auto"/>
        </w:rPr>
        <w:t xml:space="preserve"> </w:t>
      </w:r>
      <w:r>
        <w:rPr>
          <w:rFonts w:ascii="Arial" w:cs="Arial" w:eastAsia="Arial" w:hAnsi="Arial"/>
          <w:sz w:val="20"/>
          <w:szCs w:val="20"/>
          <w:color w:val="auto"/>
        </w:rPr>
        <w:t>the 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September 30, 2023.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8 Commitments and Contngencies, Legal and Administratve Proceedings</w:t>
      </w:r>
      <w:r>
        <w:rPr>
          <w:rFonts w:ascii="Arial" w:cs="Arial" w:eastAsia="Arial" w:hAnsi="Arial"/>
          <w:sz w:val="20"/>
          <w:szCs w:val="20"/>
          <w:i w:val="1"/>
          <w:iCs w:val="1"/>
          <w:color w:val="auto"/>
        </w:rPr>
        <w:t>,</w:t>
      </w:r>
      <w:r>
        <w:rPr>
          <w:rFonts w:ascii="Arial" w:cs="Arial" w:eastAsia="Arial" w:hAnsi="Arial"/>
          <w:sz w:val="20"/>
          <w:szCs w:val="20"/>
          <w:color w:val="auto"/>
        </w:rPr>
        <w:t xml:space="preserv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-9525</wp:posOffset>
            </wp:positionV>
            <wp:extent cx="40176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0176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Martn Marieta Annual Report on Form 10-K for the year ended December 31,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center"/>
              <w:ind w:left="130"/>
              <w:spacing w:after="0"/>
              <w:rPr>
                <w:sz w:val="20"/>
                <w:szCs w:val="20"/>
                <w:color w:val="auto"/>
              </w:rPr>
            </w:pPr>
            <w:r>
              <w:rPr>
                <w:rFonts w:ascii="Arial" w:cs="Arial" w:eastAsia="Arial" w:hAnsi="Arial"/>
                <w:sz w:val="18"/>
                <w:szCs w:val="18"/>
                <w:color w:val="auto"/>
                <w:w w:val="88"/>
              </w:rPr>
              <w:t>Total Number of Shares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Maximum Number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Total Number of</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Average Price</w:t>
            </w:r>
          </w:p>
        </w:tc>
        <w:tc>
          <w:tcPr>
            <w:tcW w:w="220" w:type="dxa"/>
            <w:vAlign w:val="bottom"/>
          </w:tcPr>
          <w:p>
            <w:pPr>
              <w:spacing w:after="0"/>
              <w:rPr>
                <w:sz w:val="21"/>
                <w:szCs w:val="21"/>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91"/>
              </w:rPr>
              <w:t>Publicly Announced</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be Purchased Under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44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1"/>
                <w:szCs w:val="21"/>
                <w:color w:val="auto"/>
              </w:rPr>
            </w:pPr>
          </w:p>
        </w:tc>
        <w:tc>
          <w:tcPr>
            <w:tcW w:w="1620" w:type="dxa"/>
            <w:vAlign w:val="bottom"/>
          </w:tcPr>
          <w:p>
            <w:pPr>
              <w:ind w:left="180"/>
              <w:spacing w:after="0"/>
              <w:rPr>
                <w:sz w:val="20"/>
                <w:szCs w:val="20"/>
                <w:color w:val="auto"/>
              </w:rPr>
            </w:pPr>
            <w:r>
              <w:rPr>
                <w:rFonts w:ascii="Arial" w:cs="Arial" w:eastAsia="Arial" w:hAnsi="Arial"/>
                <w:sz w:val="18"/>
                <w:szCs w:val="18"/>
                <w:color w:val="auto"/>
                <w:w w:val="95"/>
              </w:rPr>
              <w:t>Shares Purchased</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8"/>
              </w:rPr>
              <w:t>Paid per Share</w:t>
            </w:r>
          </w:p>
        </w:tc>
        <w:tc>
          <w:tcPr>
            <w:tcW w:w="220" w:type="dxa"/>
            <w:vAlign w:val="bottom"/>
          </w:tcPr>
          <w:p>
            <w:pPr>
              <w:spacing w:after="0"/>
              <w:rPr>
                <w:sz w:val="21"/>
                <w:szCs w:val="21"/>
                <w:color w:val="auto"/>
              </w:rPr>
            </w:pPr>
          </w:p>
        </w:tc>
        <w:tc>
          <w:tcPr>
            <w:tcW w:w="1960" w:type="dxa"/>
            <w:vAlign w:val="bottom"/>
          </w:tcPr>
          <w:p>
            <w:pPr>
              <w:jc w:val="center"/>
              <w:ind w:left="110"/>
              <w:spacing w:after="0"/>
              <w:rPr>
                <w:sz w:val="20"/>
                <w:szCs w:val="20"/>
                <w:color w:val="auto"/>
              </w:rPr>
            </w:pPr>
            <w:r>
              <w:rPr>
                <w:rFonts w:ascii="Arial" w:cs="Arial" w:eastAsia="Arial" w:hAnsi="Arial"/>
                <w:sz w:val="18"/>
                <w:szCs w:val="18"/>
                <w:color w:val="auto"/>
                <w:w w:val="88"/>
              </w:rPr>
              <w:t>Plans or Programs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the Plans or Programs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33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20"/>
              <w:spacing w:after="0"/>
              <w:rPr>
                <w:sz w:val="20"/>
                <w:szCs w:val="20"/>
                <w:color w:val="auto"/>
              </w:rPr>
            </w:pPr>
            <w:r>
              <w:rPr>
                <w:rFonts w:ascii="Arial" w:cs="Arial" w:eastAsia="Arial" w:hAnsi="Arial"/>
                <w:sz w:val="18"/>
                <w:szCs w:val="18"/>
                <w:color w:val="auto"/>
              </w:rPr>
              <w:t>July 1, 2023 - July 31, 2023</w:t>
            </w:r>
          </w:p>
        </w:tc>
        <w:tc>
          <w:tcPr>
            <w:tcW w:w="120" w:type="dxa"/>
            <w:vAlign w:val="bottom"/>
            <w:vMerge w:val="continue"/>
          </w:tcPr>
          <w:p>
            <w:pPr>
              <w:spacing w:after="0"/>
              <w:rPr>
                <w:sz w:val="19"/>
                <w:szCs w:val="19"/>
                <w:color w:val="auto"/>
              </w:rPr>
            </w:pPr>
          </w:p>
        </w:tc>
        <w:tc>
          <w:tcPr>
            <w:tcW w:w="1620" w:type="dxa"/>
            <w:vAlign w:val="bottom"/>
          </w:tcPr>
          <w:p>
            <w:pPr>
              <w:ind w:left="1440"/>
              <w:spacing w:after="0"/>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vMerge w:val="continue"/>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12,721,096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August 1, 2023 - August 31, 2023</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ind w:left="14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12,721,096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w w:val="99"/>
              </w:rPr>
              <w:t>September 1, 2023 - September 30, 2023</w:t>
            </w:r>
          </w:p>
        </w:tc>
        <w:tc>
          <w:tcPr>
            <w:tcW w:w="120" w:type="dxa"/>
            <w:vAlign w:val="bottom"/>
          </w:tcPr>
          <w:p>
            <w:pPr>
              <w:spacing w:after="0"/>
              <w:rPr>
                <w:sz w:val="20"/>
                <w:szCs w:val="20"/>
                <w:color w:val="auto"/>
              </w:rPr>
            </w:pPr>
          </w:p>
        </w:tc>
        <w:tc>
          <w:tcPr>
            <w:tcW w:w="16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12,721,096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96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-25400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5. Other Informaton</w:t>
      </w:r>
    </w:p>
    <w:p>
      <w:pPr>
        <w:spacing w:after="0" w:line="12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During the three months ended September 30, 2023, no director or ofcer of the Company adopted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20"/>
                <w:szCs w:val="20"/>
                <w:color w:val="auto"/>
              </w:rPr>
              <w:t>Exhibit No.</w:t>
            </w:r>
          </w:p>
        </w:tc>
        <w:tc>
          <w:tcPr>
            <w:tcW w:w="100" w:type="dxa"/>
            <w:vAlign w:val="bottom"/>
          </w:tcPr>
          <w:p>
            <w:pPr>
              <w:spacing w:after="0"/>
              <w:rPr>
                <w:sz w:val="24"/>
                <w:szCs w:val="24"/>
                <w:color w:val="auto"/>
              </w:rPr>
            </w:pPr>
          </w:p>
        </w:tc>
        <w:tc>
          <w:tcPr>
            <w:tcW w:w="9840" w:type="dxa"/>
            <w:vAlign w:val="bottom"/>
          </w:tcPr>
          <w:p>
            <w:pPr>
              <w:ind w:left="4500"/>
              <w:spacing w:after="0"/>
              <w:rPr>
                <w:sz w:val="20"/>
                <w:szCs w:val="20"/>
                <w:color w:val="auto"/>
              </w:rPr>
            </w:pPr>
            <w:r>
              <w:rPr>
                <w:rFonts w:ascii="Arial" w:cs="Arial" w:eastAsia="Arial" w:hAnsi="Arial"/>
                <w:sz w:val="20"/>
                <w:szCs w:val="20"/>
                <w:color w:val="auto"/>
              </w:rPr>
              <w:t>Document</w:t>
            </w:r>
          </w:p>
        </w:tc>
      </w:tr>
      <w:tr>
        <w:trPr>
          <w:trHeight w:val="44"/>
        </w:trPr>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40" w:type="dxa"/>
            <w:vAlign w:val="bottom"/>
            <w:tcBorders>
              <w:bottom w:val="single" w:sz="8" w:color="auto"/>
            </w:tcBorders>
          </w:tcPr>
          <w:p>
            <w:pPr>
              <w:spacing w:after="0"/>
              <w:rPr>
                <w:sz w:val="3"/>
                <w:szCs w:val="3"/>
                <w:color w:val="auto"/>
              </w:rPr>
            </w:pPr>
          </w:p>
        </w:tc>
      </w:tr>
      <w:tr>
        <w:trPr>
          <w:trHeight w:val="466"/>
        </w:trPr>
        <w:tc>
          <w:tcPr>
            <w:tcW w:w="1300" w:type="dxa"/>
            <w:vAlign w:val="bottom"/>
            <w:gridSpan w:val="3"/>
          </w:tcPr>
          <w:p>
            <w:pPr>
              <w:jc w:val="right"/>
              <w:ind w:right="820"/>
              <w:spacing w:after="0"/>
              <w:rPr>
                <w:sz w:val="20"/>
                <w:szCs w:val="20"/>
                <w:color w:val="auto"/>
              </w:rPr>
            </w:pPr>
            <w:r>
              <w:rPr>
                <w:rFonts w:ascii="Arial" w:cs="Arial" w:eastAsia="Arial" w:hAnsi="Arial"/>
                <w:sz w:val="20"/>
                <w:szCs w:val="20"/>
                <w:color w:val="0000FF"/>
                <w:w w:val="91"/>
              </w:rPr>
              <w:t>31.</w:t>
            </w:r>
            <w:r>
              <w:rPr>
                <w:rFonts w:ascii="Arial" w:cs="Arial" w:eastAsia="Arial" w:hAnsi="Arial"/>
                <w:sz w:val="20"/>
                <w:szCs w:val="20"/>
                <w:u w:val="single" w:color="auto"/>
                <w:color w:val="0000FF"/>
                <w:w w:val="91"/>
              </w:rPr>
              <w:t>01</w:t>
            </w: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2"/>
              </w:rPr>
              <w:t>Certfcaton dated November 1, 2023 of Chief Executve Ofcer pursuant to Securites and Exchange Act of 1934 Rule 13a-</w:t>
            </w:r>
          </w:p>
        </w:tc>
      </w:tr>
      <w:tr>
        <w:trPr>
          <w:trHeight w:val="259"/>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14 as adopted pursuant to Secton 302 of the Sarbanes-Oxley Act of 2002</w:t>
            </w:r>
          </w:p>
        </w:tc>
      </w:tr>
      <w:tr>
        <w:trPr>
          <w:trHeight w:val="477"/>
        </w:trPr>
        <w:tc>
          <w:tcPr>
            <w:tcW w:w="1300" w:type="dxa"/>
            <w:vAlign w:val="bottom"/>
            <w:gridSpan w:val="3"/>
          </w:tcPr>
          <w:p>
            <w:pPr>
              <w:jc w:val="right"/>
              <w:ind w:right="820"/>
              <w:spacing w:after="0"/>
              <w:rPr>
                <w:sz w:val="20"/>
                <w:szCs w:val="20"/>
                <w:color w:val="auto"/>
              </w:rPr>
            </w:pPr>
            <w:r>
              <w:rPr>
                <w:rFonts w:ascii="Arial" w:cs="Arial" w:eastAsia="Arial" w:hAnsi="Arial"/>
                <w:sz w:val="20"/>
                <w:szCs w:val="20"/>
                <w:color w:val="0000FF"/>
                <w:w w:val="91"/>
              </w:rPr>
              <w:t>31.</w:t>
            </w:r>
            <w:r>
              <w:rPr>
                <w:rFonts w:ascii="Arial" w:cs="Arial" w:eastAsia="Arial" w:hAnsi="Arial"/>
                <w:sz w:val="20"/>
                <w:szCs w:val="20"/>
                <w:u w:val="single" w:color="auto"/>
                <w:color w:val="0000FF"/>
                <w:w w:val="91"/>
              </w:rPr>
              <w:t>02</w:t>
            </w: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2"/>
              </w:rPr>
              <w:t>Certfcaton dated November 1, 2023 of Chief Financial Ofcer pursuant to Securites and Exchange Act of 1934 Rule 13a-</w:t>
            </w:r>
          </w:p>
        </w:tc>
      </w:tr>
      <w:tr>
        <w:trPr>
          <w:trHeight w:val="260"/>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14 as adopted pursuant to Secton 302 of the Sarbanes-Oxley Act of 2002</w:t>
            </w:r>
          </w:p>
        </w:tc>
      </w:tr>
      <w:tr>
        <w:trPr>
          <w:trHeight w:val="368"/>
        </w:trPr>
        <w:tc>
          <w:tcPr>
            <w:tcW w:w="1300" w:type="dxa"/>
            <w:vAlign w:val="bottom"/>
            <w:gridSpan w:val="3"/>
          </w:tcPr>
          <w:p>
            <w:pPr>
              <w:jc w:val="right"/>
              <w:ind w:right="820"/>
              <w:spacing w:after="0"/>
              <w:rPr>
                <w:sz w:val="20"/>
                <w:szCs w:val="20"/>
                <w:color w:val="auto"/>
              </w:rPr>
            </w:pPr>
            <w:r>
              <w:rPr>
                <w:rFonts w:ascii="Arial" w:cs="Arial" w:eastAsia="Arial" w:hAnsi="Arial"/>
                <w:sz w:val="20"/>
                <w:szCs w:val="20"/>
                <w:color w:val="0000FF"/>
                <w:w w:val="91"/>
              </w:rPr>
              <w:t>32.</w:t>
            </w:r>
            <w:r>
              <w:rPr>
                <w:rFonts w:ascii="Arial" w:cs="Arial" w:eastAsia="Arial" w:hAnsi="Arial"/>
                <w:sz w:val="20"/>
                <w:szCs w:val="20"/>
                <w:u w:val="single" w:color="auto"/>
                <w:color w:val="0000FF"/>
                <w:w w:val="91"/>
              </w:rPr>
              <w:t>01</w:t>
            </w: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2"/>
              </w:rPr>
              <w:t>Writen Statement dated November 1, 2023 of Chief Executve Ofcer required by 18 U.S.C. 1350, as adopted pursuant to</w:t>
            </w:r>
          </w:p>
        </w:tc>
      </w:tr>
      <w:tr>
        <w:trPr>
          <w:trHeight w:val="259"/>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Secton 906 of the Sarbanes-Oxley Act of 2002</w:t>
            </w:r>
          </w:p>
        </w:tc>
      </w:tr>
      <w:tr>
        <w:trPr>
          <w:trHeight w:val="368"/>
        </w:trPr>
        <w:tc>
          <w:tcPr>
            <w:tcW w:w="1300" w:type="dxa"/>
            <w:vAlign w:val="bottom"/>
            <w:gridSpan w:val="3"/>
          </w:tcPr>
          <w:p>
            <w:pPr>
              <w:jc w:val="right"/>
              <w:ind w:right="820"/>
              <w:spacing w:after="0"/>
              <w:rPr>
                <w:sz w:val="20"/>
                <w:szCs w:val="20"/>
                <w:color w:val="auto"/>
              </w:rPr>
            </w:pPr>
            <w:r>
              <w:rPr>
                <w:rFonts w:ascii="Arial" w:cs="Arial" w:eastAsia="Arial" w:hAnsi="Arial"/>
                <w:sz w:val="20"/>
                <w:szCs w:val="20"/>
                <w:color w:val="0000FF"/>
                <w:w w:val="91"/>
              </w:rPr>
              <w:t>32.</w:t>
            </w:r>
            <w:r>
              <w:rPr>
                <w:rFonts w:ascii="Arial" w:cs="Arial" w:eastAsia="Arial" w:hAnsi="Arial"/>
                <w:sz w:val="20"/>
                <w:szCs w:val="20"/>
                <w:u w:val="single" w:color="auto"/>
                <w:color w:val="0000FF"/>
                <w:w w:val="91"/>
              </w:rPr>
              <w:t>02</w:t>
            </w: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2"/>
              </w:rPr>
              <w:t>Writen Statement dated November 1, 2023 of Chief Financial Ofcer required by 18 U.S.C. 1350, as adopted pursuant to</w:t>
            </w:r>
          </w:p>
        </w:tc>
      </w:tr>
      <w:tr>
        <w:trPr>
          <w:trHeight w:val="260"/>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Secton 906 of the Sarbanes-Oxley Act of 2002</w:t>
            </w:r>
          </w:p>
        </w:tc>
      </w:tr>
    </w:tbl>
    <w:p>
      <w:pPr>
        <w:spacing w:after="0" w:line="155" w:lineRule="exact"/>
        <w:rPr>
          <w:sz w:val="20"/>
          <w:szCs w:val="20"/>
          <w:color w:val="auto"/>
        </w:rPr>
      </w:pPr>
    </w:p>
    <w:p>
      <w:pPr>
        <w:ind w:left="1420" w:hanging="1399"/>
        <w:spacing w:after="0"/>
        <w:tabs>
          <w:tab w:leader="none" w:pos="1420" w:val="left"/>
        </w:tabs>
        <w:numPr>
          <w:ilvl w:val="0"/>
          <w:numId w:val="11"/>
        </w:numPr>
        <w:rPr>
          <w:rFonts w:ascii="Arial" w:cs="Arial" w:eastAsia="Arial" w:hAnsi="Arial"/>
          <w:sz w:val="20"/>
          <w:szCs w:val="20"/>
          <w:u w:val="single" w:color="auto"/>
          <w:color w:val="0000FF"/>
        </w:rPr>
      </w:pPr>
      <w:r>
        <w:rPr>
          <w:rFonts w:ascii="Arial" w:cs="Arial" w:eastAsia="Arial" w:hAnsi="Arial"/>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1270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040" w:type="dxa"/>
            <w:vAlign w:val="bottom"/>
          </w:tcPr>
          <w:p>
            <w:pPr>
              <w:spacing w:after="0"/>
              <w:rPr>
                <w:sz w:val="20"/>
                <w:szCs w:val="20"/>
                <w:color w:val="auto"/>
              </w:rPr>
            </w:pPr>
            <w:r>
              <w:rPr>
                <w:rFonts w:ascii="Arial" w:cs="Arial" w:eastAsia="Arial" w:hAnsi="Arial"/>
                <w:sz w:val="20"/>
                <w:szCs w:val="20"/>
                <w:color w:val="auto"/>
              </w:rPr>
              <w:t>101.INS</w:t>
            </w:r>
          </w:p>
        </w:tc>
        <w:tc>
          <w:tcPr>
            <w:tcW w:w="10160" w:type="dxa"/>
            <w:vAlign w:val="bottom"/>
          </w:tcPr>
          <w:p>
            <w:pPr>
              <w:ind w:left="360"/>
              <w:spacing w:after="0"/>
              <w:rPr>
                <w:sz w:val="20"/>
                <w:szCs w:val="20"/>
                <w:color w:val="auto"/>
              </w:rPr>
            </w:pPr>
            <w:r>
              <w:rPr>
                <w:rFonts w:ascii="Arial" w:cs="Arial" w:eastAsia="Arial" w:hAnsi="Arial"/>
                <w:sz w:val="20"/>
                <w:szCs w:val="20"/>
                <w:color w:val="auto"/>
                <w:w w:val="92"/>
              </w:rPr>
              <w:t>Inline XBRL Instance Document – The instance document does not appear in the Interactve Data File because its XBRL</w:t>
            </w:r>
          </w:p>
        </w:tc>
      </w:tr>
      <w:tr>
        <w:trPr>
          <w:trHeight w:val="250"/>
        </w:trPr>
        <w:tc>
          <w:tcPr>
            <w:tcW w:w="1040" w:type="dxa"/>
            <w:vAlign w:val="bottom"/>
          </w:tcPr>
          <w:p>
            <w:pPr>
              <w:spacing w:after="0"/>
              <w:rPr>
                <w:sz w:val="21"/>
                <w:szCs w:val="21"/>
                <w:color w:val="auto"/>
              </w:rPr>
            </w:pPr>
          </w:p>
        </w:tc>
        <w:tc>
          <w:tcPr>
            <w:tcW w:w="10160" w:type="dxa"/>
            <w:vAlign w:val="bottom"/>
          </w:tcPr>
          <w:p>
            <w:pPr>
              <w:ind w:left="360"/>
              <w:spacing w:after="0"/>
              <w:rPr>
                <w:sz w:val="20"/>
                <w:szCs w:val="20"/>
                <w:color w:val="auto"/>
              </w:rPr>
            </w:pPr>
            <w:r>
              <w:rPr>
                <w:rFonts w:ascii="Arial" w:cs="Arial" w:eastAsia="Arial" w:hAnsi="Arial"/>
                <w:sz w:val="20"/>
                <w:szCs w:val="20"/>
                <w:color w:val="auto"/>
              </w:rPr>
              <w:t>tags are embedded within the Inline XBRL document.</w:t>
            </w:r>
          </w:p>
        </w:tc>
      </w:tr>
      <w:tr>
        <w:trPr>
          <w:trHeight w:val="405"/>
        </w:trPr>
        <w:tc>
          <w:tcPr>
            <w:tcW w:w="1040" w:type="dxa"/>
            <w:vAlign w:val="bottom"/>
          </w:tcPr>
          <w:p>
            <w:pPr>
              <w:spacing w:after="0"/>
              <w:rPr>
                <w:sz w:val="20"/>
                <w:szCs w:val="20"/>
                <w:color w:val="auto"/>
              </w:rPr>
            </w:pPr>
            <w:r>
              <w:rPr>
                <w:rFonts w:ascii="Arial" w:cs="Arial" w:eastAsia="Arial" w:hAnsi="Arial"/>
                <w:sz w:val="20"/>
                <w:szCs w:val="20"/>
                <w:color w:val="auto"/>
              </w:rPr>
              <w:t>101.SCH</w:t>
            </w:r>
          </w:p>
        </w:tc>
        <w:tc>
          <w:tcPr>
            <w:tcW w:w="10160" w:type="dxa"/>
            <w:vAlign w:val="bottom"/>
          </w:tcPr>
          <w:p>
            <w:pPr>
              <w:ind w:left="360"/>
              <w:spacing w:after="0"/>
              <w:rPr>
                <w:sz w:val="20"/>
                <w:szCs w:val="20"/>
                <w:color w:val="auto"/>
              </w:rPr>
            </w:pPr>
            <w:r>
              <w:rPr>
                <w:rFonts w:ascii="Arial" w:cs="Arial" w:eastAsia="Arial" w:hAnsi="Arial"/>
                <w:sz w:val="20"/>
                <w:szCs w:val="20"/>
                <w:color w:val="auto"/>
              </w:rPr>
              <w:t>Inline XBRL Taxonomy Extension Schema Document</w:t>
            </w:r>
          </w:p>
        </w:tc>
      </w:tr>
      <w:tr>
        <w:trPr>
          <w:trHeight w:val="405"/>
        </w:trPr>
        <w:tc>
          <w:tcPr>
            <w:tcW w:w="1040" w:type="dxa"/>
            <w:vAlign w:val="bottom"/>
          </w:tcPr>
          <w:p>
            <w:pPr>
              <w:spacing w:after="0"/>
              <w:rPr>
                <w:sz w:val="20"/>
                <w:szCs w:val="20"/>
                <w:color w:val="auto"/>
              </w:rPr>
            </w:pPr>
            <w:r>
              <w:rPr>
                <w:rFonts w:ascii="Arial" w:cs="Arial" w:eastAsia="Arial" w:hAnsi="Arial"/>
                <w:sz w:val="20"/>
                <w:szCs w:val="20"/>
                <w:color w:val="auto"/>
              </w:rPr>
              <w:t>101.CAL</w:t>
            </w:r>
          </w:p>
        </w:tc>
        <w:tc>
          <w:tcPr>
            <w:tcW w:w="10160" w:type="dxa"/>
            <w:vAlign w:val="bottom"/>
          </w:tcPr>
          <w:p>
            <w:pPr>
              <w:ind w:left="360"/>
              <w:spacing w:after="0"/>
              <w:rPr>
                <w:sz w:val="20"/>
                <w:szCs w:val="20"/>
                <w:color w:val="auto"/>
              </w:rPr>
            </w:pPr>
            <w:r>
              <w:rPr>
                <w:rFonts w:ascii="Arial" w:cs="Arial" w:eastAsia="Arial" w:hAnsi="Arial"/>
                <w:sz w:val="20"/>
                <w:szCs w:val="20"/>
                <w:color w:val="auto"/>
              </w:rPr>
              <w:t>Inline XBRL Taxonomy Extension Calculaton Linkbase Document</w:t>
            </w:r>
          </w:p>
        </w:tc>
      </w:tr>
      <w:tr>
        <w:trPr>
          <w:trHeight w:val="405"/>
        </w:trPr>
        <w:tc>
          <w:tcPr>
            <w:tcW w:w="1040" w:type="dxa"/>
            <w:vAlign w:val="bottom"/>
          </w:tcPr>
          <w:p>
            <w:pPr>
              <w:spacing w:after="0"/>
              <w:rPr>
                <w:sz w:val="20"/>
                <w:szCs w:val="20"/>
                <w:color w:val="auto"/>
              </w:rPr>
            </w:pPr>
            <w:r>
              <w:rPr>
                <w:rFonts w:ascii="Arial" w:cs="Arial" w:eastAsia="Arial" w:hAnsi="Arial"/>
                <w:sz w:val="20"/>
                <w:szCs w:val="20"/>
                <w:color w:val="auto"/>
              </w:rPr>
              <w:t>101.LAB</w:t>
            </w:r>
          </w:p>
        </w:tc>
        <w:tc>
          <w:tcPr>
            <w:tcW w:w="10160" w:type="dxa"/>
            <w:vAlign w:val="bottom"/>
          </w:tcPr>
          <w:p>
            <w:pPr>
              <w:ind w:left="36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405"/>
        </w:trPr>
        <w:tc>
          <w:tcPr>
            <w:tcW w:w="1040" w:type="dxa"/>
            <w:vAlign w:val="bottom"/>
          </w:tcPr>
          <w:p>
            <w:pPr>
              <w:spacing w:after="0"/>
              <w:rPr>
                <w:sz w:val="20"/>
                <w:szCs w:val="20"/>
                <w:color w:val="auto"/>
              </w:rPr>
            </w:pPr>
            <w:r>
              <w:rPr>
                <w:rFonts w:ascii="Arial" w:cs="Arial" w:eastAsia="Arial" w:hAnsi="Arial"/>
                <w:sz w:val="20"/>
                <w:szCs w:val="20"/>
                <w:color w:val="auto"/>
              </w:rPr>
              <w:t>101.PRE</w:t>
            </w:r>
          </w:p>
        </w:tc>
        <w:tc>
          <w:tcPr>
            <w:tcW w:w="10160" w:type="dxa"/>
            <w:vAlign w:val="bottom"/>
          </w:tcPr>
          <w:p>
            <w:pPr>
              <w:ind w:left="360"/>
              <w:spacing w:after="0"/>
              <w:rPr>
                <w:sz w:val="20"/>
                <w:szCs w:val="20"/>
                <w:color w:val="auto"/>
              </w:rPr>
            </w:pPr>
            <w:r>
              <w:rPr>
                <w:rFonts w:ascii="Arial" w:cs="Arial" w:eastAsia="Arial" w:hAnsi="Arial"/>
                <w:sz w:val="20"/>
                <w:szCs w:val="20"/>
                <w:color w:val="auto"/>
              </w:rPr>
              <w:t>Inline XBRL Taxonomy Extension Presentaton Linkbase Document</w:t>
            </w:r>
          </w:p>
        </w:tc>
      </w:tr>
      <w:tr>
        <w:trPr>
          <w:trHeight w:val="405"/>
        </w:trPr>
        <w:tc>
          <w:tcPr>
            <w:tcW w:w="1040" w:type="dxa"/>
            <w:vAlign w:val="bottom"/>
          </w:tcPr>
          <w:p>
            <w:pPr>
              <w:spacing w:after="0"/>
              <w:rPr>
                <w:sz w:val="20"/>
                <w:szCs w:val="20"/>
                <w:color w:val="auto"/>
              </w:rPr>
            </w:pPr>
            <w:r>
              <w:rPr>
                <w:rFonts w:ascii="Arial" w:cs="Arial" w:eastAsia="Arial" w:hAnsi="Arial"/>
                <w:sz w:val="20"/>
                <w:szCs w:val="20"/>
                <w:color w:val="auto"/>
              </w:rPr>
              <w:t>101.DEF</w:t>
            </w:r>
          </w:p>
        </w:tc>
        <w:tc>
          <w:tcPr>
            <w:tcW w:w="10160" w:type="dxa"/>
            <w:vAlign w:val="bottom"/>
          </w:tcPr>
          <w:p>
            <w:pPr>
              <w:ind w:left="360"/>
              <w:spacing w:after="0"/>
              <w:rPr>
                <w:sz w:val="20"/>
                <w:szCs w:val="20"/>
                <w:color w:val="auto"/>
              </w:rPr>
            </w:pPr>
            <w:r>
              <w:rPr>
                <w:rFonts w:ascii="Arial" w:cs="Arial" w:eastAsia="Arial" w:hAnsi="Arial"/>
                <w:sz w:val="20"/>
                <w:szCs w:val="20"/>
                <w:color w:val="auto"/>
              </w:rPr>
              <w:t>Inline XBRL Taxonomy Extension Defniton Linkbase</w:t>
            </w:r>
          </w:p>
        </w:tc>
      </w:tr>
    </w:tbl>
    <w:p>
      <w:pPr>
        <w:spacing w:after="0" w:line="155" w:lineRule="exact"/>
        <w:rPr>
          <w:sz w:val="20"/>
          <w:szCs w:val="20"/>
          <w:color w:val="auto"/>
        </w:rPr>
      </w:pPr>
    </w:p>
    <w:p>
      <w:pPr>
        <w:ind w:left="1420" w:hanging="1399"/>
        <w:spacing w:after="0"/>
        <w:tabs>
          <w:tab w:leader="none" w:pos="14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Cover Page Interactve Data File (formated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7"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40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SIGNATURES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Securites Exchange Act of 1934, the registrant has duly caused this report to be signed on its behalf by the undersigned thereunto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20"/>
                <w:szCs w:val="20"/>
                <w:color w:val="auto"/>
              </w:rPr>
              <w:t>MARTIN MARIETTA MATERIALS, INC.</w:t>
            </w:r>
          </w:p>
        </w:tc>
      </w:tr>
      <w:tr>
        <w:trPr>
          <w:trHeight w:val="257"/>
        </w:trPr>
        <w:tc>
          <w:tcPr>
            <w:tcW w:w="35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120" w:type="dxa"/>
            <w:vAlign w:val="bottom"/>
          </w:tcPr>
          <w:p>
            <w:pPr>
              <w:ind w:left="560"/>
              <w:spacing w:after="0"/>
              <w:rPr>
                <w:sz w:val="20"/>
                <w:szCs w:val="20"/>
                <w:color w:val="auto"/>
              </w:rPr>
            </w:pPr>
            <w:r>
              <w:rPr>
                <w:rFonts w:ascii="Arial" w:cs="Arial" w:eastAsia="Arial" w:hAnsi="Arial"/>
                <w:sz w:val="20"/>
                <w:szCs w:val="20"/>
                <w:color w:val="auto"/>
              </w:rPr>
              <w:t>(Registrant)</w:t>
            </w:r>
          </w:p>
        </w:tc>
      </w:tr>
      <w:tr>
        <w:trPr>
          <w:trHeight w:val="513"/>
        </w:trPr>
        <w:tc>
          <w:tcPr>
            <w:tcW w:w="3540" w:type="dxa"/>
            <w:vAlign w:val="bottom"/>
          </w:tcPr>
          <w:p>
            <w:pPr>
              <w:ind w:left="20"/>
              <w:spacing w:after="0"/>
              <w:rPr>
                <w:sz w:val="20"/>
                <w:szCs w:val="20"/>
                <w:color w:val="auto"/>
              </w:rPr>
            </w:pPr>
            <w:r>
              <w:rPr>
                <w:rFonts w:ascii="Arial" w:cs="Arial" w:eastAsia="Arial" w:hAnsi="Arial"/>
                <w:sz w:val="20"/>
                <w:szCs w:val="20"/>
                <w:color w:val="auto"/>
              </w:rPr>
              <w:t>Date: November 1, 2023</w:t>
            </w:r>
          </w:p>
        </w:tc>
        <w:tc>
          <w:tcPr>
            <w:tcW w:w="3580" w:type="dxa"/>
            <w:vAlign w:val="bottom"/>
          </w:tcPr>
          <w:p>
            <w:pPr>
              <w:ind w:left="3000"/>
              <w:spacing w:after="0"/>
              <w:rPr>
                <w:sz w:val="20"/>
                <w:szCs w:val="20"/>
                <w:color w:val="auto"/>
              </w:rPr>
            </w:pPr>
            <w:r>
              <w:rPr>
                <w:rFonts w:ascii="Arial" w:cs="Arial" w:eastAsia="Arial" w:hAnsi="Arial"/>
                <w:sz w:val="20"/>
                <w:szCs w:val="20"/>
                <w:color w:val="auto"/>
              </w:rPr>
              <w:t>By:</w:t>
            </w:r>
          </w:p>
        </w:tc>
        <w:tc>
          <w:tcPr>
            <w:tcW w:w="4120" w:type="dxa"/>
            <w:vAlign w:val="bottom"/>
          </w:tcPr>
          <w:p>
            <w:pPr>
              <w:ind w:left="20"/>
              <w:spacing w:after="0"/>
              <w:rPr>
                <w:sz w:val="20"/>
                <w:szCs w:val="20"/>
                <w:color w:val="auto"/>
              </w:rPr>
            </w:pPr>
            <w:r>
              <w:rPr>
                <w:rFonts w:ascii="Arial" w:cs="Arial" w:eastAsia="Arial" w:hAnsi="Arial"/>
                <w:sz w:val="20"/>
                <w:szCs w:val="20"/>
                <w:color w:val="auto"/>
              </w:rPr>
              <w:t>/s/ James A. J. Nickolas</w:t>
            </w:r>
          </w:p>
        </w:tc>
      </w:tr>
      <w:tr>
        <w:trPr>
          <w:trHeight w:val="44"/>
        </w:trPr>
        <w:tc>
          <w:tcPr>
            <w:tcW w:w="3540" w:type="dxa"/>
            <w:vAlign w:val="bottom"/>
          </w:tcPr>
          <w:p>
            <w:pPr>
              <w:spacing w:after="0"/>
              <w:rPr>
                <w:sz w:val="3"/>
                <w:szCs w:val="3"/>
                <w:color w:val="auto"/>
              </w:rPr>
            </w:pPr>
          </w:p>
        </w:tc>
        <w:tc>
          <w:tcPr>
            <w:tcW w:w="358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212"/>
        </w:trPr>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20" w:type="dxa"/>
            <w:vAlign w:val="bottom"/>
          </w:tcPr>
          <w:p>
            <w:pPr>
              <w:ind w:left="20"/>
              <w:spacing w:after="0" w:line="211" w:lineRule="exact"/>
              <w:rPr>
                <w:sz w:val="20"/>
                <w:szCs w:val="20"/>
                <w:color w:val="auto"/>
              </w:rPr>
            </w:pPr>
            <w:r>
              <w:rPr>
                <w:rFonts w:ascii="Arial" w:cs="Arial" w:eastAsia="Arial" w:hAnsi="Arial"/>
                <w:sz w:val="20"/>
                <w:szCs w:val="20"/>
                <w:color w:val="auto"/>
              </w:rPr>
              <w:t>James A. J. Nickolas</w:t>
            </w:r>
          </w:p>
        </w:tc>
      </w:tr>
      <w:tr>
        <w:trPr>
          <w:trHeight w:val="250"/>
        </w:trPr>
        <w:tc>
          <w:tcPr>
            <w:tcW w:w="35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20"/>
                <w:szCs w:val="20"/>
                <w:color w:val="auto"/>
              </w:rPr>
              <w:t>Executve Vice President and</w:t>
            </w:r>
          </w:p>
        </w:tc>
      </w:tr>
      <w:tr>
        <w:trPr>
          <w:trHeight w:val="257"/>
        </w:trPr>
        <w:tc>
          <w:tcPr>
            <w:tcW w:w="35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120" w:type="dxa"/>
            <w:vAlign w:val="bottom"/>
          </w:tcPr>
          <w:p>
            <w:pPr>
              <w:ind w:left="160"/>
              <w:spacing w:after="0"/>
              <w:rPr>
                <w:sz w:val="20"/>
                <w:szCs w:val="20"/>
                <w:color w:val="auto"/>
              </w:rPr>
            </w:pPr>
            <w:r>
              <w:rPr>
                <w:rFonts w:ascii="Arial" w:cs="Arial" w:eastAsia="Arial" w:hAnsi="Arial"/>
                <w:sz w:val="20"/>
                <w:szCs w:val="20"/>
                <w:color w:val="auto"/>
              </w:rPr>
              <w:t>Chief Financial Ofcer</w:t>
            </w:r>
          </w:p>
        </w:tc>
      </w:tr>
      <w:tr>
        <w:trPr>
          <w:trHeight w:val="716"/>
        </w:trPr>
        <w:tc>
          <w:tcPr>
            <w:tcW w:w="3540" w:type="dxa"/>
            <w:vAlign w:val="bottom"/>
          </w:tcPr>
          <w:p>
            <w:pPr>
              <w:spacing w:after="0"/>
              <w:rPr>
                <w:sz w:val="24"/>
                <w:szCs w:val="24"/>
                <w:color w:val="auto"/>
              </w:rPr>
            </w:pPr>
          </w:p>
        </w:tc>
        <w:tc>
          <w:tcPr>
            <w:tcW w:w="3580" w:type="dxa"/>
            <w:vAlign w:val="bottom"/>
          </w:tcPr>
          <w:p>
            <w:pPr>
              <w:ind w:left="1540"/>
              <w:spacing w:after="0"/>
              <w:rPr>
                <w:sz w:val="20"/>
                <w:szCs w:val="20"/>
                <w:color w:val="auto"/>
              </w:rPr>
            </w:pPr>
            <w:r>
              <w:rPr>
                <w:rFonts w:ascii="Arial" w:cs="Arial" w:eastAsia="Arial" w:hAnsi="Arial"/>
                <w:sz w:val="20"/>
                <w:szCs w:val="20"/>
                <w:color w:val="auto"/>
              </w:rPr>
              <w:t>Page 41 of 41</w:t>
            </w:r>
          </w:p>
        </w:tc>
        <w:tc>
          <w:tcPr>
            <w:tcW w:w="4120" w:type="dxa"/>
            <w:vAlign w:val="bottom"/>
          </w:tcPr>
          <w:p>
            <w:pPr>
              <w:spacing w:after="0"/>
              <w:rPr>
                <w:sz w:val="24"/>
                <w:szCs w:val="24"/>
                <w:color w:val="auto"/>
              </w:rPr>
            </w:pPr>
          </w:p>
        </w:tc>
      </w:tr>
      <w:tr>
        <w:trPr>
          <w:trHeight w:val="146"/>
        </w:trPr>
        <w:tc>
          <w:tcPr>
            <w:tcW w:w="3540" w:type="dxa"/>
            <w:vAlign w:val="bottom"/>
            <w:tcBorders>
              <w:bottom w:val="single" w:sz="8" w:color="9A9A9A"/>
            </w:tcBorders>
          </w:tcPr>
          <w:p>
            <w:pPr>
              <w:spacing w:after="0"/>
              <w:rPr>
                <w:sz w:val="12"/>
                <w:szCs w:val="12"/>
                <w:color w:val="auto"/>
              </w:rPr>
            </w:pPr>
          </w:p>
        </w:tc>
        <w:tc>
          <w:tcPr>
            <w:tcW w:w="3580" w:type="dxa"/>
            <w:vAlign w:val="bottom"/>
            <w:tcBorders>
              <w:bottom w:val="single" w:sz="8" w:color="9A9A9A"/>
            </w:tcBorders>
          </w:tcPr>
          <w:p>
            <w:pPr>
              <w:spacing w:after="0"/>
              <w:rPr>
                <w:sz w:val="12"/>
                <w:szCs w:val="12"/>
                <w:color w:val="auto"/>
              </w:rPr>
            </w:pPr>
          </w:p>
        </w:tc>
        <w:tc>
          <w:tcPr>
            <w:tcW w:w="41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99" w:lineRule="exact"/>
        <w:rPr>
          <w:sz w:val="20"/>
          <w:szCs w:val="20"/>
          <w:color w:val="auto"/>
        </w:rPr>
      </w:pPr>
    </w:p>
    <w:p>
      <w:pPr>
        <w:jc w:val="center"/>
        <w:ind w:right="40"/>
        <w:spacing w:after="0" w:line="27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certfy that:</w:t>
      </w:r>
    </w:p>
    <w:p>
      <w:pPr>
        <w:spacing w:after="0" w:line="256"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 have reviewed this Form 10-Q of Martn Marieta Materials, Inc.;</w:t>
      </w:r>
    </w:p>
    <w:p>
      <w:pPr>
        <w:spacing w:after="0" w:line="256"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18" w:lineRule="exact"/>
        <w:rPr>
          <w:rFonts w:ascii="Arial" w:cs="Arial" w:eastAsia="Arial" w:hAnsi="Arial"/>
          <w:sz w:val="20"/>
          <w:szCs w:val="20"/>
          <w:color w:val="auto"/>
        </w:rPr>
      </w:pPr>
    </w:p>
    <w:p>
      <w:pPr>
        <w:jc w:val="both"/>
        <w:ind w:left="1880" w:hanging="375"/>
        <w:spacing w:after="0" w:line="264" w:lineRule="auto"/>
        <w:tabs>
          <w:tab w:leader="none" w:pos="18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2" w:name="page43"/>
    <w:bookmarkEnd w:id="42"/>
    <w:p>
      <w:pPr>
        <w:spacing w:after="0" w:line="106" w:lineRule="exact"/>
        <w:rPr>
          <w:sz w:val="20"/>
          <w:szCs w:val="20"/>
          <w:color w:val="auto"/>
        </w:rPr>
      </w:pPr>
    </w:p>
    <w:p>
      <w:pPr>
        <w:jc w:val="both"/>
        <w:ind w:left="1120" w:hanging="383"/>
        <w:spacing w:after="0" w:line="264" w:lineRule="auto"/>
        <w:tabs>
          <w:tab w:leader="none" w:pos="11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86" w:lineRule="exact"/>
        <w:rPr>
          <w:rFonts w:ascii="Arial" w:cs="Arial" w:eastAsia="Arial" w:hAnsi="Arial"/>
          <w:sz w:val="20"/>
          <w:szCs w:val="20"/>
          <w:color w:val="auto"/>
        </w:rPr>
      </w:pPr>
    </w:p>
    <w:p>
      <w:pPr>
        <w:jc w:val="both"/>
        <w:ind w:left="1860" w:hanging="375"/>
        <w:spacing w:after="0" w:line="264" w:lineRule="auto"/>
        <w:tabs>
          <w:tab w:leader="none" w:pos="18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3" w:lineRule="exact"/>
        <w:rPr>
          <w:rFonts w:ascii="Arial" w:cs="Arial" w:eastAsia="Arial" w:hAnsi="Arial"/>
          <w:sz w:val="20"/>
          <w:szCs w:val="20"/>
          <w:color w:val="auto"/>
        </w:rPr>
      </w:pPr>
    </w:p>
    <w:p>
      <w:pPr>
        <w:ind w:left="1860" w:right="20" w:hanging="375"/>
        <w:spacing w:after="0" w:line="274" w:lineRule="auto"/>
        <w:tabs>
          <w:tab w:leader="none" w:pos="18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620" w:val="left"/>
          <w:tab w:leader="none" w:pos="7180" w:val="left"/>
        </w:tabs>
        <w:rPr>
          <w:sz w:val="20"/>
          <w:szCs w:val="20"/>
          <w:color w:val="auto"/>
        </w:rPr>
      </w:pPr>
      <w:r>
        <w:rPr>
          <w:rFonts w:ascii="Arial" w:cs="Arial" w:eastAsia="Arial" w:hAnsi="Arial"/>
          <w:sz w:val="20"/>
          <w:szCs w:val="20"/>
          <w:color w:val="auto"/>
        </w:rPr>
        <w:t>Date: November 1,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 Howard Nye</w:t>
      </w:r>
    </w:p>
    <w:p>
      <w:pPr>
        <w:spacing w:after="0" w:line="54"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-138430</wp:posOffset>
            </wp:positionV>
            <wp:extent cx="25628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Chairman, President and</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388620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99" w:lineRule="exact"/>
        <w:rPr>
          <w:sz w:val="20"/>
          <w:szCs w:val="20"/>
          <w:color w:val="auto"/>
        </w:rPr>
      </w:pPr>
    </w:p>
    <w:p>
      <w:pPr>
        <w:jc w:val="center"/>
        <w:ind w:right="40"/>
        <w:spacing w:after="0" w:line="27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certfy that:</w:t>
      </w:r>
    </w:p>
    <w:p>
      <w:pPr>
        <w:spacing w:after="0" w:line="256" w:lineRule="exact"/>
        <w:rPr>
          <w:sz w:val="20"/>
          <w:szCs w:val="20"/>
          <w:color w:val="auto"/>
        </w:rPr>
      </w:pPr>
    </w:p>
    <w:p>
      <w:pPr>
        <w:ind w:left="1140" w:hanging="383"/>
        <w:spacing w:after="0"/>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 have reviewed this Form 10-Q of Martn Marieta Materials, Inc.;</w:t>
      </w:r>
    </w:p>
    <w:p>
      <w:pPr>
        <w:spacing w:after="0" w:line="256"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18" w:lineRule="exact"/>
        <w:rPr>
          <w:rFonts w:ascii="Arial" w:cs="Arial" w:eastAsia="Arial" w:hAnsi="Arial"/>
          <w:sz w:val="20"/>
          <w:szCs w:val="20"/>
          <w:color w:val="auto"/>
        </w:rPr>
      </w:pPr>
    </w:p>
    <w:p>
      <w:pPr>
        <w:jc w:val="both"/>
        <w:ind w:left="1880" w:hanging="375"/>
        <w:spacing w:after="0" w:line="264"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4" w:name="page45"/>
    <w:bookmarkEnd w:id="44"/>
    <w:p>
      <w:pPr>
        <w:spacing w:after="0" w:line="120" w:lineRule="exact"/>
        <w:rPr>
          <w:sz w:val="20"/>
          <w:szCs w:val="20"/>
          <w:color w:val="auto"/>
        </w:rPr>
      </w:pPr>
    </w:p>
    <w:p>
      <w:pPr>
        <w:jc w:val="both"/>
        <w:ind w:left="1120" w:hanging="383"/>
        <w:spacing w:after="0" w:line="264" w:lineRule="auto"/>
        <w:tabs>
          <w:tab w:leader="none" w:pos="1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3" w:lineRule="exact"/>
        <w:rPr>
          <w:rFonts w:ascii="Arial" w:cs="Arial" w:eastAsia="Arial" w:hAnsi="Arial"/>
          <w:sz w:val="20"/>
          <w:szCs w:val="20"/>
          <w:color w:val="auto"/>
        </w:rPr>
      </w:pPr>
    </w:p>
    <w:p>
      <w:pPr>
        <w:jc w:val="both"/>
        <w:ind w:left="1860" w:hanging="375"/>
        <w:spacing w:after="0" w:line="264" w:lineRule="auto"/>
        <w:tabs>
          <w:tab w:leader="none" w:pos="18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3" w:lineRule="exact"/>
        <w:rPr>
          <w:rFonts w:ascii="Arial" w:cs="Arial" w:eastAsia="Arial" w:hAnsi="Arial"/>
          <w:sz w:val="20"/>
          <w:szCs w:val="20"/>
          <w:color w:val="auto"/>
        </w:rPr>
      </w:pPr>
    </w:p>
    <w:p>
      <w:pPr>
        <w:ind w:left="1860" w:right="20" w:hanging="375"/>
        <w:spacing w:after="0" w:line="274" w:lineRule="auto"/>
        <w:tabs>
          <w:tab w:leader="none" w:pos="18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60" w:lineRule="exact"/>
        <w:rPr>
          <w:sz w:val="20"/>
          <w:szCs w:val="20"/>
          <w:color w:val="auto"/>
        </w:rPr>
      </w:pPr>
    </w:p>
    <w:p>
      <w:pPr>
        <w:spacing w:after="0"/>
        <w:tabs>
          <w:tab w:leader="none" w:pos="6620" w:val="left"/>
          <w:tab w:leader="none" w:pos="7180" w:val="left"/>
        </w:tabs>
        <w:rPr>
          <w:sz w:val="20"/>
          <w:szCs w:val="20"/>
          <w:color w:val="auto"/>
        </w:rPr>
      </w:pPr>
      <w:r>
        <w:rPr>
          <w:rFonts w:ascii="Arial" w:cs="Arial" w:eastAsia="Arial" w:hAnsi="Arial"/>
          <w:sz w:val="20"/>
          <w:szCs w:val="20"/>
          <w:color w:val="auto"/>
        </w:rPr>
        <w:t>Date: November 1,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A. J. Nickolas</w:t>
      </w:r>
    </w:p>
    <w:p>
      <w:pPr>
        <w:spacing w:after="0" w:line="54"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-138430</wp:posOffset>
            </wp:positionV>
            <wp:extent cx="25628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Executve Vice President and</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388620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32.01</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Writen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Secton 906 of the Sarbanes-Oxley Act of 2002</w:t>
      </w:r>
    </w:p>
    <w:p>
      <w:pPr>
        <w:spacing w:after="0" w:line="24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In connecton with the Quarterly Report on Form 10-Q for the period ended September 30, 2023 (the “Report”) of Martn Marieta Materials, Inc. (the “Registrant”), as fled with the Securites and Exchange Commission on the date hereof, I, C. Howard Nye, the Chief Executve Ofcer of the Registrant, certfy, to the best of my knowledge, that:</w:t>
      </w:r>
    </w:p>
    <w:p>
      <w:pPr>
        <w:spacing w:after="0" w:line="213" w:lineRule="exact"/>
        <w:rPr>
          <w:sz w:val="20"/>
          <w:szCs w:val="20"/>
          <w:color w:val="auto"/>
        </w:rPr>
      </w:pPr>
    </w:p>
    <w:p>
      <w:pPr>
        <w:ind w:left="1500" w:hanging="743"/>
        <w:spacing w:after="0" w:line="274" w:lineRule="auto"/>
        <w:tabs>
          <w:tab w:leader="none" w:pos="1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Secton 13(a) or 15(d) of the Securites Exchange Act of 1934, as amended; and</w:t>
      </w:r>
    </w:p>
    <w:p>
      <w:pPr>
        <w:spacing w:after="0" w:line="203" w:lineRule="exact"/>
        <w:rPr>
          <w:rFonts w:ascii="Arial" w:cs="Arial" w:eastAsia="Arial" w:hAnsi="Arial"/>
          <w:sz w:val="20"/>
          <w:szCs w:val="20"/>
          <w:color w:val="auto"/>
        </w:rPr>
      </w:pPr>
    </w:p>
    <w:p>
      <w:pPr>
        <w:ind w:left="1500" w:hanging="743"/>
        <w:spacing w:after="0" w:line="274" w:lineRule="auto"/>
        <w:tabs>
          <w:tab w:leader="none" w:pos="1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60"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/s/ C. Howard Nye</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-138430</wp:posOffset>
            </wp:positionV>
            <wp:extent cx="28460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Chairman, President and</w:t>
      </w:r>
    </w:p>
    <w:p>
      <w:pPr>
        <w:spacing w:after="0" w:line="40"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Chief Executve Ofcer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1, 2023</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32.02</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Writen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Secton 906 of the Sarbanes-Oxley Act of 2002</w:t>
      </w:r>
    </w:p>
    <w:p>
      <w:pPr>
        <w:spacing w:after="0" w:line="24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In connecton with the Quarterly Report on Form 10-Q for the period ended September 30, 2023 (the “Report”) of Martn Marieta Materials, Inc. (the “Registrant”), as fled with the Securites and Exchange Commission on the date hereof, I, James A. J. Nickolas, the Chief Financial Ofcer of the Registrant, certfy, to the best of my knowledge, that:</w:t>
      </w:r>
    </w:p>
    <w:p>
      <w:pPr>
        <w:spacing w:after="0" w:line="213" w:lineRule="exact"/>
        <w:rPr>
          <w:sz w:val="20"/>
          <w:szCs w:val="20"/>
          <w:color w:val="auto"/>
        </w:rPr>
      </w:pPr>
    </w:p>
    <w:p>
      <w:pPr>
        <w:ind w:left="1500" w:hanging="743"/>
        <w:spacing w:after="0" w:line="274" w:lineRule="auto"/>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Secton 13(a) or 15(d) of the Securites Exchange Act of 1934, as amended; and</w:t>
      </w:r>
    </w:p>
    <w:p>
      <w:pPr>
        <w:spacing w:after="0" w:line="203" w:lineRule="exact"/>
        <w:rPr>
          <w:rFonts w:ascii="Arial" w:cs="Arial" w:eastAsia="Arial" w:hAnsi="Arial"/>
          <w:sz w:val="20"/>
          <w:szCs w:val="20"/>
          <w:color w:val="auto"/>
        </w:rPr>
      </w:pPr>
    </w:p>
    <w:p>
      <w:pPr>
        <w:ind w:left="1500" w:hanging="743"/>
        <w:spacing w:after="0" w:line="274" w:lineRule="auto"/>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60"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/s/ James A. J. Nickolas</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-138430</wp:posOffset>
            </wp:positionV>
            <wp:extent cx="28460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Executve Vice President and</w:t>
      </w:r>
    </w:p>
    <w:p>
      <w:pPr>
        <w:spacing w:after="0" w:line="40"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Chief Financial Ofcer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1, 2023</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Appendix 1</w:t>
      </w:r>
    </w:p>
    <w:p>
      <w:pPr>
        <w:spacing w:after="0" w:line="20" w:lineRule="exact"/>
        <w:rPr>
          <w:sz w:val="20"/>
          <w:szCs w:val="20"/>
          <w:color w:val="auto"/>
        </w:rPr>
      </w:pPr>
    </w:p>
    <w:p>
      <w:pPr>
        <w:ind w:left="10360"/>
        <w:spacing w:after="0"/>
        <w:rPr>
          <w:sz w:val="20"/>
          <w:szCs w:val="20"/>
          <w:color w:val="auto"/>
        </w:rPr>
      </w:pPr>
      <w:r>
        <w:rPr>
          <w:rFonts w:ascii="Arial" w:cs="Arial" w:eastAsia="Arial" w:hAnsi="Arial"/>
          <w:sz w:val="16"/>
          <w:szCs w:val="16"/>
          <w:b w:val="1"/>
          <w:bCs w:val="1"/>
          <w:color w:val="auto"/>
        </w:rPr>
        <w:t>EXHIBIT 95</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5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presents the following items regarding certain mining safety and health maters for the three months ended September 30, 2023:</w:t>
      </w:r>
    </w:p>
    <w:p>
      <w:pPr>
        <w:spacing w:after="0" w:line="217" w:lineRule="exact"/>
        <w:rPr>
          <w:sz w:val="20"/>
          <w:szCs w:val="20"/>
          <w:color w:val="auto"/>
        </w:rPr>
      </w:pPr>
    </w:p>
    <w:p>
      <w:pPr>
        <w:jc w:val="both"/>
        <w:ind w:left="380" w:hanging="372"/>
        <w:spacing w:after="0" w:line="257" w:lineRule="auto"/>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196" w:lineRule="exact"/>
        <w:rPr>
          <w:rFonts w:ascii="Arial" w:cs="Arial" w:eastAsia="Arial" w:hAnsi="Arial"/>
          <w:sz w:val="20"/>
          <w:szCs w:val="20"/>
          <w:b w:val="1"/>
          <w:bCs w:val="1"/>
          <w:color w:val="auto"/>
        </w:rPr>
      </w:pPr>
    </w:p>
    <w:p>
      <w:pPr>
        <w:jc w:val="both"/>
        <w:ind w:left="380" w:hanging="372"/>
        <w:spacing w:after="0" w:line="260" w:lineRule="auto"/>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31" w:lineRule="exact"/>
        <w:rPr>
          <w:rFonts w:ascii="Arial" w:cs="Arial" w:eastAsia="Arial" w:hAnsi="Arial"/>
          <w:sz w:val="20"/>
          <w:szCs w:val="20"/>
          <w:b w:val="1"/>
          <w:bCs w:val="1"/>
          <w:color w:val="auto"/>
        </w:rPr>
      </w:pPr>
    </w:p>
    <w:p>
      <w:pPr>
        <w:jc w:val="both"/>
        <w:ind w:left="380" w:hanging="372"/>
        <w:spacing w:after="0" w:line="260" w:lineRule="auto"/>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8" w:name="page49"/>
    <w:bookmarkEnd w:id="48"/>
    <w:p>
      <w:pPr>
        <w:ind w:left="10340"/>
        <w:spacing w:after="0"/>
        <w:rPr>
          <w:sz w:val="20"/>
          <w:szCs w:val="20"/>
          <w:color w:val="auto"/>
        </w:rPr>
      </w:pPr>
      <w:r>
        <w:rPr>
          <w:rFonts w:ascii="Arial" w:cs="Arial" w:eastAsia="Arial" w:hAnsi="Arial"/>
          <w:sz w:val="16"/>
          <w:szCs w:val="16"/>
          <w:color w:val="auto"/>
        </w:rPr>
        <w:t>Appendix 1</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or health hazard, but the conditons do not cause imminent danger, and the MSHA inspector fnds that the violaton is caused by an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unwarranted failure of the operator to comply with the health and safety standards.</w:t>
      </w:r>
    </w:p>
    <w:p>
      <w:pPr>
        <w:spacing w:after="0" w:line="262" w:lineRule="exact"/>
        <w:rPr>
          <w:sz w:val="20"/>
          <w:szCs w:val="20"/>
          <w:color w:val="auto"/>
        </w:rPr>
      </w:pPr>
    </w:p>
    <w:p>
      <w:pPr>
        <w:jc w:val="both"/>
        <w:ind w:left="380" w:hanging="372"/>
        <w:spacing w:after="0" w:line="258" w:lineRule="auto"/>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35" w:lineRule="exact"/>
        <w:rPr>
          <w:rFonts w:ascii="Arial" w:cs="Arial" w:eastAsia="Arial" w:hAnsi="Arial"/>
          <w:sz w:val="20"/>
          <w:szCs w:val="20"/>
          <w:b w:val="1"/>
          <w:bCs w:val="1"/>
          <w:color w:val="auto"/>
        </w:rPr>
      </w:pPr>
    </w:p>
    <w:p>
      <w:pPr>
        <w:jc w:val="both"/>
        <w:ind w:left="380" w:hanging="372"/>
        <w:spacing w:after="0" w:line="278" w:lineRule="auto"/>
        <w:tabs>
          <w:tab w:leader="none" w:pos="380" w:val="left"/>
        </w:tabs>
        <w:numPr>
          <w:ilvl w:val="0"/>
          <w:numId w:val="20"/>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16" w:lineRule="exact"/>
        <w:rPr>
          <w:rFonts w:ascii="Arial" w:cs="Arial" w:eastAsia="Arial" w:hAnsi="Arial"/>
          <w:sz w:val="19"/>
          <w:szCs w:val="19"/>
          <w:b w:val="1"/>
          <w:bCs w:val="1"/>
          <w:color w:val="auto"/>
        </w:rPr>
      </w:pPr>
    </w:p>
    <w:p>
      <w:pPr>
        <w:jc w:val="both"/>
        <w:ind w:left="380" w:hanging="372"/>
        <w:spacing w:after="0" w:line="278" w:lineRule="auto"/>
        <w:tabs>
          <w:tab w:leader="none" w:pos="380" w:val="left"/>
        </w:tabs>
        <w:numPr>
          <w:ilvl w:val="0"/>
          <w:numId w:val="20"/>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16" w:lineRule="exact"/>
        <w:rPr>
          <w:rFonts w:ascii="Arial" w:cs="Arial" w:eastAsia="Arial" w:hAnsi="Arial"/>
          <w:sz w:val="19"/>
          <w:szCs w:val="19"/>
          <w:b w:val="1"/>
          <w:bCs w:val="1"/>
          <w:color w:val="auto"/>
        </w:rPr>
      </w:pPr>
    </w:p>
    <w:p>
      <w:pPr>
        <w:jc w:val="both"/>
        <w:ind w:left="380" w:hanging="372"/>
        <w:spacing w:after="0" w:line="306" w:lineRule="auto"/>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193" w:lineRule="exact"/>
        <w:rPr>
          <w:rFonts w:ascii="Arial" w:cs="Arial" w:eastAsia="Arial" w:hAnsi="Arial"/>
          <w:sz w:val="18"/>
          <w:szCs w:val="18"/>
          <w:b w:val="1"/>
          <w:bCs w:val="1"/>
          <w:color w:val="auto"/>
        </w:rPr>
      </w:pPr>
    </w:p>
    <w:p>
      <w:pPr>
        <w:jc w:val="both"/>
        <w:ind w:left="380" w:hanging="372"/>
        <w:spacing w:after="0" w:line="278" w:lineRule="auto"/>
        <w:tabs>
          <w:tab w:leader="none" w:pos="380" w:val="left"/>
        </w:tabs>
        <w:numPr>
          <w:ilvl w:val="0"/>
          <w:numId w:val="20"/>
        </w:numPr>
        <w:rPr>
          <w:rFonts w:ascii="Arial" w:cs="Arial" w:eastAsia="Arial" w:hAnsi="Arial"/>
          <w:sz w:val="19"/>
          <w:szCs w:val="19"/>
          <w:b w:val="1"/>
          <w:bCs w:val="1"/>
          <w:color w:val="auto"/>
        </w:rPr>
      </w:pPr>
      <w:r>
        <w:rPr>
          <w:rFonts w:ascii="Arial" w:cs="Arial" w:eastAsia="Arial" w:hAnsi="Arial"/>
          <w:sz w:val="19"/>
          <w:szCs w:val="19"/>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16" w:lineRule="exact"/>
        <w:rPr>
          <w:rFonts w:ascii="Arial" w:cs="Arial" w:eastAsia="Arial" w:hAnsi="Arial"/>
          <w:sz w:val="19"/>
          <w:szCs w:val="19"/>
          <w:b w:val="1"/>
          <w:bCs w:val="1"/>
          <w:color w:val="auto"/>
        </w:rPr>
      </w:pPr>
    </w:p>
    <w:p>
      <w:pPr>
        <w:ind w:left="380" w:hanging="372"/>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Legal actons before the Federal Mine Safety and Health Review Commissions pending as of the last day of period.</w:t>
      </w:r>
    </w:p>
    <w:p>
      <w:pPr>
        <w:spacing w:after="0" w:line="269" w:lineRule="exact"/>
        <w:rPr>
          <w:rFonts w:ascii="Arial" w:cs="Arial" w:eastAsia="Arial" w:hAnsi="Arial"/>
          <w:sz w:val="20"/>
          <w:szCs w:val="20"/>
          <w:b w:val="1"/>
          <w:bCs w:val="1"/>
          <w:color w:val="auto"/>
        </w:rPr>
      </w:pPr>
    </w:p>
    <w:p>
      <w:pPr>
        <w:ind w:left="380" w:hanging="372"/>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Legal actons before the Federal Mine Safety and Health Review Commissions initated during period.</w:t>
      </w:r>
    </w:p>
    <w:p>
      <w:pPr>
        <w:spacing w:after="0" w:line="269" w:lineRule="exact"/>
        <w:rPr>
          <w:rFonts w:ascii="Arial" w:cs="Arial" w:eastAsia="Arial" w:hAnsi="Arial"/>
          <w:sz w:val="20"/>
          <w:szCs w:val="20"/>
          <w:b w:val="1"/>
          <w:bCs w:val="1"/>
          <w:color w:val="auto"/>
        </w:rPr>
      </w:pPr>
    </w:p>
    <w:p>
      <w:pPr>
        <w:ind w:left="380" w:hanging="372"/>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Legal actons before the Federal Mine Safety and Health Review Commissions resolved during period.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9" w:name="page50"/>
    <w:bookmarkEnd w:id="49"/>
    <w:p>
      <w:pPr>
        <w:ind w:left="10340"/>
        <w:spacing w:after="0"/>
        <w:rPr>
          <w:sz w:val="20"/>
          <w:szCs w:val="20"/>
          <w:color w:val="auto"/>
        </w:rPr>
      </w:pPr>
      <w:r>
        <w:rPr>
          <w:rFonts w:ascii="Arial" w:cs="Arial" w:eastAsia="Arial" w:hAnsi="Arial"/>
          <w:sz w:val="16"/>
          <w:szCs w:val="16"/>
          <w:color w:val="auto"/>
        </w:rPr>
        <w:t>Appendix 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penaltes they have received from MSHA, or complaints of discriminaton by miners under Secton 105 of the Mine Act. Appendix 1 shows,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for each of the Company’s quarries and mines identfed, as of September 30, 2023, the number of legal actons pending before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Commission, along with the number of legal actons initated before the Commission during the quarter as well as resolved during the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quarter. In additon, Appendix 1 includes a footnote to the column for legal actons before the Commission pending as of the last day of the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period, which footnote breaks down that total number of legal actons pending by categories according to the type of proceeding in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accordance with various categories established by the Procedural Rules of the Commission.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0" w:name="page51"/>
    <w:bookmarkEnd w:id="50"/>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gridSpan w:val="2"/>
          </w:tcPr>
          <w:p>
            <w:pPr>
              <w:ind w:left="440"/>
              <w:spacing w:after="0"/>
              <w:rPr>
                <w:sz w:val="20"/>
                <w:szCs w:val="20"/>
                <w:color w:val="auto"/>
              </w:rPr>
            </w:pPr>
            <w:r>
              <w:rPr>
                <w:rFonts w:ascii="Arial" w:cs="Arial" w:eastAsia="Arial" w:hAnsi="Arial"/>
                <w:sz w:val="20"/>
                <w:szCs w:val="20"/>
                <w:color w:val="auto"/>
                <w:w w:val="87"/>
              </w:rPr>
              <w:t>Appendix 1</w:t>
            </w:r>
          </w:p>
        </w:tc>
      </w:tr>
      <w:tr>
        <w:trPr>
          <w:trHeight w:val="249"/>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ind w:left="100"/>
              <w:spacing w:after="0"/>
              <w:rPr>
                <w:sz w:val="20"/>
                <w:szCs w:val="20"/>
                <w:color w:val="auto"/>
              </w:rPr>
            </w:pPr>
            <w:r>
              <w:rPr>
                <w:rFonts w:ascii="Arial" w:cs="Arial" w:eastAsia="Arial" w:hAnsi="Arial"/>
                <w:sz w:val="20"/>
                <w:szCs w:val="20"/>
                <w:b w:val="1"/>
                <w:bCs w:val="1"/>
                <w:color w:val="auto"/>
                <w:w w:val="96"/>
              </w:rPr>
              <w:t>Total</w:t>
            </w:r>
          </w:p>
        </w:tc>
        <w:tc>
          <w:tcPr>
            <w:tcW w:w="780" w:type="dxa"/>
            <w:vAlign w:val="bottom"/>
          </w:tcPr>
          <w:p>
            <w:pPr>
              <w:ind w:left="20"/>
              <w:spacing w:after="0"/>
              <w:rPr>
                <w:sz w:val="20"/>
                <w:szCs w:val="20"/>
                <w:color w:val="auto"/>
              </w:rPr>
            </w:pPr>
            <w:r>
              <w:rPr>
                <w:rFonts w:ascii="Arial" w:cs="Arial" w:eastAsia="Arial" w:hAnsi="Arial"/>
                <w:sz w:val="20"/>
                <w:szCs w:val="20"/>
                <w:b w:val="1"/>
                <w:bCs w:val="1"/>
                <w:color w:val="auto"/>
                <w:w w:val="84"/>
              </w:rPr>
              <w:t>Received</w:t>
            </w: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Arial" w:cs="Arial" w:eastAsia="Arial" w:hAnsi="Arial"/>
                <w:sz w:val="20"/>
                <w:szCs w:val="20"/>
                <w:b w:val="1"/>
                <w:bCs w:val="1"/>
                <w:color w:val="auto"/>
                <w:w w:val="83"/>
              </w:rPr>
              <w:t>Total</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9"/>
              </w:rPr>
              <w:t>Num</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7"/>
              </w:rPr>
              <w:t>Notce</w:t>
            </w:r>
          </w:p>
        </w:tc>
        <w:tc>
          <w:tcPr>
            <w:tcW w:w="800" w:type="dxa"/>
            <w:vAlign w:val="bottom"/>
          </w:tcPr>
          <w:p>
            <w:pPr>
              <w:ind w:left="20"/>
              <w:spacing w:after="0"/>
              <w:rPr>
                <w:sz w:val="20"/>
                <w:szCs w:val="20"/>
                <w:color w:val="auto"/>
              </w:rPr>
            </w:pPr>
            <w:r>
              <w:rPr>
                <w:rFonts w:ascii="Arial" w:cs="Arial" w:eastAsia="Arial" w:hAnsi="Arial"/>
                <w:sz w:val="20"/>
                <w:szCs w:val="20"/>
                <w:b w:val="1"/>
                <w:bCs w:val="1"/>
                <w:color w:val="auto"/>
                <w:w w:val="86"/>
              </w:rPr>
              <w:t>Received</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20"/>
                <w:szCs w:val="20"/>
                <w:b w:val="1"/>
                <w:bCs w:val="1"/>
                <w:color w:val="auto"/>
              </w:rPr>
              <w:t>Dollar</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6"/>
              </w:rPr>
              <w:t>ber of</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800" w:type="dxa"/>
            <w:vAlign w:val="bottom"/>
          </w:tcPr>
          <w:p>
            <w:pPr>
              <w:ind w:left="20"/>
              <w:spacing w:after="0"/>
              <w:rPr>
                <w:sz w:val="20"/>
                <w:szCs w:val="20"/>
                <w:color w:val="auto"/>
              </w:rPr>
            </w:pPr>
            <w:r>
              <w:rPr>
                <w:rFonts w:ascii="Arial" w:cs="Arial" w:eastAsia="Arial" w:hAnsi="Arial"/>
                <w:sz w:val="20"/>
                <w:szCs w:val="20"/>
                <w:b w:val="1"/>
                <w:bCs w:val="1"/>
                <w:color w:val="auto"/>
                <w:w w:val="94"/>
              </w:rPr>
              <w:t>Notce of</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0"/>
              </w:rPr>
              <w:t>Legal</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0"/>
              </w:rPr>
              <w:t>Legal</w:t>
            </w:r>
          </w:p>
        </w:tc>
        <w:tc>
          <w:tcPr>
            <w:tcW w:w="70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20"/>
                <w:szCs w:val="20"/>
                <w:b w:val="1"/>
                <w:bCs w:val="1"/>
                <w:color w:val="auto"/>
              </w:rPr>
              <w:t>Value</w:t>
            </w:r>
          </w:p>
        </w:tc>
        <w:tc>
          <w:tcPr>
            <w:tcW w:w="1360" w:type="dxa"/>
            <w:vAlign w:val="bottom"/>
            <w:gridSpan w:val="2"/>
          </w:tcPr>
          <w:p>
            <w:pPr>
              <w:ind w:left="80"/>
              <w:spacing w:after="0"/>
              <w:rPr>
                <w:sz w:val="20"/>
                <w:szCs w:val="20"/>
                <w:color w:val="auto"/>
              </w:rPr>
            </w:pPr>
            <w:r>
              <w:rPr>
                <w:rFonts w:ascii="Arial" w:cs="Arial" w:eastAsia="Arial" w:hAnsi="Arial"/>
                <w:sz w:val="20"/>
                <w:szCs w:val="20"/>
                <w:b w:val="1"/>
                <w:bCs w:val="1"/>
                <w:color w:val="auto"/>
              </w:rPr>
              <w:t>Minin Patern</w:t>
            </w:r>
          </w:p>
        </w:tc>
        <w:tc>
          <w:tcPr>
            <w:tcW w:w="800" w:type="dxa"/>
            <w:vAlign w:val="bottom"/>
          </w:tcPr>
          <w:p>
            <w:pPr>
              <w:ind w:left="20"/>
              <w:spacing w:after="0"/>
              <w:rPr>
                <w:sz w:val="20"/>
                <w:szCs w:val="20"/>
                <w:color w:val="auto"/>
              </w:rPr>
            </w:pPr>
            <w:r>
              <w:rPr>
                <w:rFonts w:ascii="Arial" w:cs="Arial" w:eastAsia="Arial" w:hAnsi="Arial"/>
                <w:sz w:val="20"/>
                <w:szCs w:val="20"/>
                <w:b w:val="1"/>
                <w:bCs w:val="1"/>
                <w:color w:val="auto"/>
                <w:w w:val="96"/>
              </w:rPr>
              <w:t>Potental</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8"/>
              </w:rPr>
              <w:t>Actons</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95"/>
              </w:rPr>
              <w:t>Acton</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0"/>
              </w:rPr>
              <w:t>Legal</w:t>
            </w: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Secton</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center"/>
              <w:ind w:right="141"/>
              <w:spacing w:after="0"/>
              <w:rPr>
                <w:sz w:val="20"/>
                <w:szCs w:val="20"/>
                <w:color w:val="auto"/>
              </w:rPr>
            </w:pPr>
            <w:r>
              <w:rPr>
                <w:rFonts w:ascii="Arial" w:cs="Arial" w:eastAsia="Arial" w:hAnsi="Arial"/>
                <w:sz w:val="20"/>
                <w:szCs w:val="20"/>
                <w:b w:val="1"/>
                <w:bCs w:val="1"/>
                <w:color w:val="auto"/>
                <w:w w:val="95"/>
              </w:rPr>
              <w:t>of</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72"/>
              </w:rPr>
              <w:t>g</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8"/>
              </w:rPr>
              <w:t>to have</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3"/>
              </w:rPr>
              <w:t>Pending</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71"/>
              </w:rPr>
              <w:t>s</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8"/>
              </w:rPr>
              <w:t>Actons</w:t>
            </w: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8"/>
              </w:rPr>
              <w:t>104(d)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Secton</w:t>
            </w:r>
          </w:p>
        </w:tc>
        <w:tc>
          <w:tcPr>
            <w:tcW w:w="70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20"/>
                <w:szCs w:val="20"/>
                <w:b w:val="1"/>
                <w:bCs w:val="1"/>
                <w:color w:val="auto"/>
                <w:w w:val="98"/>
              </w:rPr>
              <w:t>MSHA</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5"/>
              </w:rPr>
              <w:t>Relat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Violato</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6"/>
              </w:rPr>
              <w:t>Patern</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1340" w:type="dxa"/>
            <w:vAlign w:val="bottom"/>
            <w:gridSpan w:val="2"/>
          </w:tcPr>
          <w:p>
            <w:pPr>
              <w:ind w:left="60"/>
              <w:spacing w:after="0"/>
              <w:rPr>
                <w:sz w:val="20"/>
                <w:szCs w:val="20"/>
                <w:color w:val="auto"/>
              </w:rPr>
            </w:pPr>
            <w:r>
              <w:rPr>
                <w:rFonts w:ascii="Arial" w:cs="Arial" w:eastAsia="Arial" w:hAnsi="Arial"/>
                <w:sz w:val="20"/>
                <w:szCs w:val="20"/>
                <w:b w:val="1"/>
                <w:bCs w:val="1"/>
                <w:color w:val="auto"/>
                <w:w w:val="87"/>
              </w:rPr>
              <w:t>Insttut Resolve</w:t>
            </w: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00" w:type="dxa"/>
            <w:vAlign w:val="bottom"/>
            <w:gridSpan w:val="5"/>
          </w:tcPr>
          <w:p>
            <w:pPr>
              <w:jc w:val="center"/>
              <w:spacing w:after="0"/>
              <w:rPr>
                <w:sz w:val="20"/>
                <w:szCs w:val="20"/>
                <w:color w:val="auto"/>
              </w:rPr>
            </w:pPr>
            <w:r>
              <w:rPr>
                <w:rFonts w:ascii="Arial" w:cs="Arial" w:eastAsia="Arial" w:hAnsi="Arial"/>
                <w:sz w:val="20"/>
                <w:szCs w:val="20"/>
                <w:b w:val="1"/>
                <w:bCs w:val="1"/>
                <w:color w:val="auto"/>
                <w:w w:val="97"/>
              </w:rPr>
              <w:t>Secton Secton Citaton 110(b) Secton</w:t>
            </w:r>
          </w:p>
        </w:tc>
        <w:tc>
          <w:tcPr>
            <w:tcW w:w="640" w:type="dxa"/>
            <w:vAlign w:val="bottom"/>
            <w:gridSpan w:val="2"/>
          </w:tcPr>
          <w:p>
            <w:pPr>
              <w:ind w:left="40"/>
              <w:spacing w:after="0"/>
              <w:rPr>
                <w:sz w:val="20"/>
                <w:szCs w:val="20"/>
                <w:color w:val="auto"/>
              </w:rPr>
            </w:pPr>
            <w:r>
              <w:rPr>
                <w:rFonts w:ascii="Arial" w:cs="Arial" w:eastAsia="Arial" w:hAnsi="Arial"/>
                <w:sz w:val="20"/>
                <w:szCs w:val="20"/>
                <w:b w:val="1"/>
                <w:bCs w:val="1"/>
                <w:color w:val="auto"/>
                <w:w w:val="82"/>
              </w:rPr>
              <w:t>Assess</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5"/>
              </w:rPr>
              <w:t>ed</w:t>
            </w:r>
          </w:p>
        </w:tc>
        <w:tc>
          <w:tcPr>
            <w:tcW w:w="780" w:type="dxa"/>
            <w:vAlign w:val="bottom"/>
          </w:tcPr>
          <w:p>
            <w:pPr>
              <w:ind w:left="40"/>
              <w:spacing w:after="0"/>
              <w:rPr>
                <w:sz w:val="20"/>
                <w:szCs w:val="20"/>
                <w:color w:val="auto"/>
              </w:rPr>
            </w:pPr>
            <w:r>
              <w:rPr>
                <w:rFonts w:ascii="Arial" w:cs="Arial" w:eastAsia="Arial" w:hAnsi="Arial"/>
                <w:sz w:val="20"/>
                <w:szCs w:val="20"/>
                <w:b w:val="1"/>
                <w:bCs w:val="1"/>
                <w:color w:val="auto"/>
                <w:w w:val="95"/>
              </w:rPr>
              <w:t>n Under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1"/>
              </w:rPr>
              <w:t>Last Day</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5"/>
              </w:rPr>
              <w:t>ed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d</w:t>
            </w:r>
          </w:p>
        </w:tc>
      </w:tr>
      <w:tr>
        <w:trPr>
          <w:trHeight w:val="243"/>
        </w:trPr>
        <w:tc>
          <w:tcPr>
            <w:tcW w:w="2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2"/>
              </w:rPr>
              <w:t>104 S&amp;S</w:t>
            </w:r>
          </w:p>
        </w:tc>
        <w:tc>
          <w:tcPr>
            <w:tcW w:w="660" w:type="dxa"/>
            <w:vAlign w:val="bottom"/>
          </w:tcPr>
          <w:p>
            <w:pPr>
              <w:ind w:left="60"/>
              <w:spacing w:after="0"/>
              <w:rPr>
                <w:sz w:val="20"/>
                <w:szCs w:val="20"/>
                <w:color w:val="auto"/>
              </w:rPr>
            </w:pPr>
            <w:r>
              <w:rPr>
                <w:rFonts w:ascii="Arial" w:cs="Arial" w:eastAsia="Arial" w:hAnsi="Arial"/>
                <w:sz w:val="20"/>
                <w:szCs w:val="20"/>
                <w:b w:val="1"/>
                <w:bCs w:val="1"/>
                <w:color w:val="auto"/>
                <w:w w:val="98"/>
              </w:rPr>
              <w:t>104(b)</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4"/>
              </w:rPr>
              <w:t>s and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(2)</w:t>
            </w:r>
          </w:p>
        </w:tc>
        <w:tc>
          <w:tcPr>
            <w:tcW w:w="700" w:type="dxa"/>
            <w:vAlign w:val="bottom"/>
          </w:tcPr>
          <w:p>
            <w:pPr>
              <w:ind w:left="80"/>
              <w:spacing w:after="0"/>
              <w:rPr>
                <w:sz w:val="20"/>
                <w:szCs w:val="20"/>
                <w:color w:val="auto"/>
              </w:rPr>
            </w:pPr>
            <w:r>
              <w:rPr>
                <w:rFonts w:ascii="Arial" w:cs="Arial" w:eastAsia="Arial" w:hAnsi="Arial"/>
                <w:sz w:val="20"/>
                <w:szCs w:val="20"/>
                <w:b w:val="1"/>
                <w:bCs w:val="1"/>
                <w:color w:val="auto"/>
              </w:rPr>
              <w:t>107(a)</w:t>
            </w:r>
          </w:p>
        </w:tc>
        <w:tc>
          <w:tcPr>
            <w:tcW w:w="640" w:type="dxa"/>
            <w:vAlign w:val="bottom"/>
            <w:gridSpan w:val="2"/>
          </w:tcPr>
          <w:p>
            <w:pPr>
              <w:ind w:left="40"/>
              <w:spacing w:after="0"/>
              <w:rPr>
                <w:sz w:val="20"/>
                <w:szCs w:val="20"/>
                <w:color w:val="auto"/>
              </w:rPr>
            </w:pPr>
            <w:r>
              <w:rPr>
                <w:rFonts w:ascii="Arial" w:cs="Arial" w:eastAsia="Arial" w:hAnsi="Arial"/>
                <w:sz w:val="20"/>
                <w:szCs w:val="20"/>
                <w:b w:val="1"/>
                <w:bCs w:val="1"/>
                <w:color w:val="auto"/>
              </w:rPr>
              <w:t>ment/</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4"/>
              </w:rPr>
              <w:t>Fatali</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Secton</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Secton</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3"/>
              </w:rPr>
              <w:t>During</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6"/>
              </w:rPr>
              <w:t>During</w:t>
            </w:r>
          </w:p>
        </w:tc>
      </w:tr>
      <w:tr>
        <w:trPr>
          <w:trHeight w:val="243"/>
        </w:trPr>
        <w:tc>
          <w:tcPr>
            <w:tcW w:w="214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20"/>
                <w:szCs w:val="20"/>
                <w:b w:val="1"/>
                <w:bCs w:val="1"/>
                <w:color w:val="auto"/>
                <w:w w:val="98"/>
              </w:rPr>
              <w:t>MSHA</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2"/>
              </w:rPr>
              <w:t>Citaton</w:t>
            </w:r>
          </w:p>
        </w:tc>
        <w:tc>
          <w:tcPr>
            <w:tcW w:w="660" w:type="dxa"/>
            <w:vAlign w:val="bottom"/>
          </w:tcPr>
          <w:p>
            <w:pPr>
              <w:ind w:left="40"/>
              <w:spacing w:after="0"/>
              <w:rPr>
                <w:sz w:val="20"/>
                <w:szCs w:val="20"/>
                <w:color w:val="auto"/>
              </w:rPr>
            </w:pPr>
            <w:r>
              <w:rPr>
                <w:rFonts w:ascii="Arial" w:cs="Arial" w:eastAsia="Arial" w:hAnsi="Arial"/>
                <w:sz w:val="20"/>
                <w:szCs w:val="20"/>
                <w:b w:val="1"/>
                <w:bCs w:val="1"/>
                <w:color w:val="auto"/>
                <w:w w:val="91"/>
              </w:rPr>
              <w:t>Orders</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5"/>
              </w:rPr>
              <w:t>Orders</w:t>
            </w:r>
          </w:p>
        </w:tc>
        <w:tc>
          <w:tcPr>
            <w:tcW w:w="1400" w:type="dxa"/>
            <w:vAlign w:val="bottom"/>
            <w:gridSpan w:val="2"/>
          </w:tcPr>
          <w:p>
            <w:pPr>
              <w:ind w:left="40"/>
              <w:spacing w:after="0"/>
              <w:rPr>
                <w:sz w:val="20"/>
                <w:szCs w:val="20"/>
                <w:color w:val="auto"/>
              </w:rPr>
            </w:pPr>
            <w:r>
              <w:rPr>
                <w:rFonts w:ascii="Arial" w:cs="Arial" w:eastAsia="Arial" w:hAnsi="Arial"/>
                <w:sz w:val="20"/>
                <w:szCs w:val="20"/>
                <w:b w:val="1"/>
                <w:bCs w:val="1"/>
                <w:color w:val="auto"/>
                <w:w w:val="97"/>
              </w:rPr>
              <w:t>Violato Orders</w:t>
            </w:r>
          </w:p>
        </w:tc>
        <w:tc>
          <w:tcPr>
            <w:tcW w:w="640" w:type="dxa"/>
            <w:vAlign w:val="bottom"/>
            <w:gridSpan w:val="2"/>
          </w:tcPr>
          <w:p>
            <w:pPr>
              <w:jc w:val="center"/>
              <w:spacing w:after="0"/>
              <w:rPr>
                <w:sz w:val="20"/>
                <w:szCs w:val="20"/>
                <w:color w:val="auto"/>
              </w:rPr>
            </w:pPr>
            <w:r>
              <w:rPr>
                <w:rFonts w:ascii="Arial" w:cs="Arial" w:eastAsia="Arial" w:hAnsi="Arial"/>
                <w:sz w:val="20"/>
                <w:szCs w:val="20"/>
                <w:b w:val="1"/>
                <w:bCs w:val="1"/>
                <w:color w:val="auto"/>
                <w:w w:val="88"/>
              </w:rPr>
              <w:t>$Prop</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96"/>
              </w:rPr>
              <w:t>tes</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3"/>
              </w:rPr>
              <w:t>104(e)</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Period</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6"/>
              </w:rPr>
              <w:t>Period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3"/>
              </w:rPr>
              <w:t>Period</w:t>
            </w:r>
          </w:p>
        </w:tc>
      </w:tr>
      <w:tr>
        <w:trPr>
          <w:trHeight w:val="252"/>
        </w:trPr>
        <w:tc>
          <w:tcPr>
            <w:tcW w:w="2140" w:type="dxa"/>
            <w:vAlign w:val="bottom"/>
          </w:tcPr>
          <w:p>
            <w:pPr>
              <w:ind w:left="760"/>
              <w:spacing w:after="0"/>
              <w:rPr>
                <w:sz w:val="20"/>
                <w:szCs w:val="20"/>
                <w:color w:val="auto"/>
              </w:rPr>
            </w:pPr>
            <w:r>
              <w:rPr>
                <w:rFonts w:ascii="Arial" w:cs="Arial" w:eastAsia="Arial" w:hAnsi="Arial"/>
                <w:sz w:val="20"/>
                <w:szCs w:val="20"/>
                <w:b w:val="1"/>
                <w:bCs w:val="1"/>
                <w:color w:val="auto"/>
              </w:rPr>
              <w:t>Locaton</w:t>
            </w:r>
          </w:p>
        </w:tc>
        <w:tc>
          <w:tcPr>
            <w:tcW w:w="700" w:type="dxa"/>
            <w:vAlign w:val="bottom"/>
          </w:tcPr>
          <w:p>
            <w:pPr>
              <w:ind w:left="300"/>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7"/>
              </w:rPr>
              <w:t>s (#)</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2"/>
              </w:rPr>
              <w:t>ns (#)</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40" w:type="dxa"/>
            <w:vAlign w:val="bottom"/>
            <w:gridSpan w:val="2"/>
          </w:tcPr>
          <w:p>
            <w:pPr>
              <w:jc w:val="center"/>
              <w:spacing w:after="0"/>
              <w:rPr>
                <w:sz w:val="20"/>
                <w:szCs w:val="20"/>
                <w:color w:val="auto"/>
              </w:rPr>
            </w:pPr>
            <w:r>
              <w:rPr>
                <w:rFonts w:ascii="Arial" w:cs="Arial" w:eastAsia="Arial" w:hAnsi="Arial"/>
                <w:sz w:val="20"/>
                <w:szCs w:val="20"/>
                <w:b w:val="1"/>
                <w:bCs w:val="1"/>
                <w:color w:val="auto"/>
                <w:w w:val="81"/>
              </w:rPr>
              <w:t>osed</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1"/>
              </w:rPr>
              <w:t>(yes/no)</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1"/>
              </w:rPr>
              <w:t>(yes/no)</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310163</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Alexander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440737</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Amelia Quarry</w:t>
            </w:r>
          </w:p>
        </w:tc>
        <w:tc>
          <w:tcPr>
            <w:tcW w:w="700" w:type="dxa"/>
            <w:vAlign w:val="bottom"/>
          </w:tcPr>
          <w:p>
            <w:pPr>
              <w:ind w:left="60"/>
              <w:spacing w:after="0"/>
              <w:rPr>
                <w:sz w:val="20"/>
                <w:szCs w:val="20"/>
                <w:color w:val="auto"/>
              </w:rPr>
            </w:pPr>
            <w:r>
              <w:rPr>
                <w:rFonts w:ascii="Arial" w:cs="Arial" w:eastAsia="Arial" w:hAnsi="Arial"/>
                <w:sz w:val="20"/>
                <w:szCs w:val="20"/>
                <w:color w:val="auto"/>
              </w:rPr>
              <w:t>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310018</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American Stone</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440296</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w w:val="99"/>
              </w:rPr>
              <w:t>Anderson Creek Quarry</w:t>
            </w:r>
          </w:p>
        </w:tc>
        <w:tc>
          <w:tcPr>
            <w:tcW w:w="700" w:type="dxa"/>
            <w:vAlign w:val="bottom"/>
          </w:tcPr>
          <w:p>
            <w:pPr>
              <w:ind w:left="60"/>
              <w:spacing w:after="0"/>
              <w:rPr>
                <w:sz w:val="20"/>
                <w:szCs w:val="20"/>
                <w:color w:val="auto"/>
              </w:rPr>
            </w:pPr>
            <w:r>
              <w:rPr>
                <w:rFonts w:ascii="Arial" w:cs="Arial" w:eastAsia="Arial" w:hAnsi="Arial"/>
                <w:sz w:val="20"/>
                <w:szCs w:val="20"/>
                <w:color w:val="auto"/>
              </w:rPr>
              <w:t>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090108</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Appling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310005</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Arrowood Quarry</w:t>
            </w:r>
          </w:p>
        </w:tc>
        <w:tc>
          <w:tcPr>
            <w:tcW w:w="700" w:type="dxa"/>
            <w:vAlign w:val="bottom"/>
          </w:tcPr>
          <w:p>
            <w:pPr>
              <w:ind w:left="60"/>
              <w:spacing w:after="0"/>
              <w:rPr>
                <w:sz w:val="20"/>
                <w:szCs w:val="20"/>
                <w:color w:val="auto"/>
              </w:rPr>
            </w:pPr>
            <w:r>
              <w:rPr>
                <w:rFonts w:ascii="Arial" w:cs="Arial" w:eastAsia="Arial" w:hAnsi="Arial"/>
                <w:sz w:val="20"/>
                <w:szCs w:val="20"/>
                <w:color w:val="auto"/>
              </w:rPr>
              <w:t>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310006</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Asheboro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010000</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Auburn Al Quarry</w:t>
            </w:r>
          </w:p>
        </w:tc>
        <w:tc>
          <w:tcPr>
            <w:tcW w:w="700" w:type="dxa"/>
            <w:vAlign w:val="bottom"/>
          </w:tcPr>
          <w:p>
            <w:pPr>
              <w:ind w:left="60"/>
              <w:spacing w:after="0"/>
              <w:rPr>
                <w:sz w:val="20"/>
                <w:szCs w:val="20"/>
                <w:color w:val="auto"/>
              </w:rPr>
            </w:pPr>
            <w:r>
              <w:rPr>
                <w:rFonts w:ascii="Arial" w:cs="Arial" w:eastAsia="Arial" w:hAnsi="Arial"/>
                <w:sz w:val="20"/>
                <w:szCs w:val="20"/>
                <w:color w:val="auto"/>
              </w:rPr>
              <w:t>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2"/>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090043</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Auburn GA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090006</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Augusta GA Quarry</w:t>
            </w:r>
          </w:p>
        </w:tc>
        <w:tc>
          <w:tcPr>
            <w:tcW w:w="700" w:type="dxa"/>
            <w:vAlign w:val="bottom"/>
          </w:tcPr>
          <w:p>
            <w:pPr>
              <w:ind w:left="60"/>
              <w:spacing w:after="0"/>
              <w:rPr>
                <w:sz w:val="20"/>
                <w:szCs w:val="20"/>
                <w:color w:val="auto"/>
              </w:rPr>
            </w:pPr>
            <w:r>
              <w:rPr>
                <w:rFonts w:ascii="Arial" w:cs="Arial" w:eastAsia="Arial" w:hAnsi="Arial"/>
                <w:sz w:val="20"/>
                <w:szCs w:val="20"/>
                <w:color w:val="auto"/>
              </w:rPr>
              <w:t>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310007</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Bakers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090095</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Ball Ground Quarry</w:t>
            </w:r>
          </w:p>
        </w:tc>
        <w:tc>
          <w:tcPr>
            <w:tcW w:w="700" w:type="dxa"/>
            <w:vAlign w:val="bottom"/>
          </w:tcPr>
          <w:p>
            <w:pPr>
              <w:ind w:left="60"/>
              <w:spacing w:after="0"/>
              <w:rPr>
                <w:sz w:val="20"/>
                <w:szCs w:val="20"/>
                <w:color w:val="auto"/>
              </w:rPr>
            </w:pPr>
            <w:r>
              <w:rPr>
                <w:rFonts w:ascii="Arial" w:cs="Arial" w:eastAsia="Arial" w:hAnsi="Arial"/>
                <w:sz w:val="20"/>
                <w:szCs w:val="20"/>
                <w:color w:val="auto"/>
              </w:rPr>
              <w:t>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310006</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Belgrade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310197</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Benson Quarry</w:t>
            </w:r>
          </w:p>
        </w:tc>
        <w:tc>
          <w:tcPr>
            <w:tcW w:w="700" w:type="dxa"/>
            <w:vAlign w:val="bottom"/>
          </w:tcPr>
          <w:p>
            <w:pPr>
              <w:ind w:left="60"/>
              <w:spacing w:after="0"/>
              <w:rPr>
                <w:sz w:val="20"/>
                <w:szCs w:val="20"/>
                <w:color w:val="auto"/>
              </w:rPr>
            </w:pPr>
            <w:r>
              <w:rPr>
                <w:rFonts w:ascii="Arial" w:cs="Arial" w:eastAsia="Arial" w:hAnsi="Arial"/>
                <w:sz w:val="20"/>
                <w:szCs w:val="20"/>
                <w:color w:val="auto"/>
              </w:rPr>
              <w:t>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380007</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Berkeley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143</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310110</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Bessemer City Quarry</w:t>
            </w:r>
          </w:p>
        </w:tc>
        <w:tc>
          <w:tcPr>
            <w:tcW w:w="700" w:type="dxa"/>
            <w:vAlign w:val="bottom"/>
          </w:tcPr>
          <w:p>
            <w:pPr>
              <w:ind w:left="60"/>
              <w:spacing w:after="0"/>
              <w:rPr>
                <w:sz w:val="20"/>
                <w:szCs w:val="20"/>
                <w:color w:val="auto"/>
              </w:rPr>
            </w:pPr>
            <w:r>
              <w:rPr>
                <w:rFonts w:ascii="Arial" w:cs="Arial" w:eastAsia="Arial" w:hAnsi="Arial"/>
                <w:sz w:val="20"/>
                <w:szCs w:val="20"/>
                <w:color w:val="auto"/>
              </w:rPr>
              <w:t>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310196</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Bonds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180002</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Boonesboro Quarry</w:t>
            </w:r>
          </w:p>
        </w:tc>
        <w:tc>
          <w:tcPr>
            <w:tcW w:w="700" w:type="dxa"/>
            <w:vAlign w:val="bottom"/>
          </w:tcPr>
          <w:p>
            <w:pPr>
              <w:ind w:left="60"/>
              <w:spacing w:after="0"/>
              <w:rPr>
                <w:sz w:val="20"/>
                <w:szCs w:val="20"/>
                <w:color w:val="auto"/>
              </w:rPr>
            </w:pPr>
            <w:r>
              <w:rPr>
                <w:rFonts w:ascii="Arial" w:cs="Arial" w:eastAsia="Arial" w:hAnsi="Arial"/>
                <w:sz w:val="20"/>
                <w:szCs w:val="20"/>
                <w:color w:val="auto"/>
              </w:rPr>
              <w:t>4</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310004</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Burlington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310186</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Caldwell Quarry</w:t>
            </w:r>
          </w:p>
        </w:tc>
        <w:tc>
          <w:tcPr>
            <w:tcW w:w="700" w:type="dxa"/>
            <w:vAlign w:val="bottom"/>
          </w:tcPr>
          <w:p>
            <w:pPr>
              <w:ind w:left="60"/>
              <w:spacing w:after="0"/>
              <w:rPr>
                <w:sz w:val="20"/>
                <w:szCs w:val="20"/>
                <w:color w:val="auto"/>
              </w:rPr>
            </w:pPr>
            <w:r>
              <w:rPr>
                <w:rFonts w:ascii="Arial" w:cs="Arial" w:eastAsia="Arial" w:hAnsi="Arial"/>
                <w:sz w:val="20"/>
                <w:szCs w:val="20"/>
                <w:color w:val="auto"/>
              </w:rPr>
              <w:t>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2"/>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400339</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Calhoun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380071</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Calhoun Sand</w:t>
            </w:r>
          </w:p>
        </w:tc>
        <w:tc>
          <w:tcPr>
            <w:tcW w:w="700" w:type="dxa"/>
            <w:vAlign w:val="bottom"/>
          </w:tcPr>
          <w:p>
            <w:pPr>
              <w:ind w:left="60"/>
              <w:spacing w:after="0"/>
              <w:rPr>
                <w:sz w:val="20"/>
                <w:szCs w:val="20"/>
                <w:color w:val="auto"/>
              </w:rPr>
            </w:pPr>
            <w:r>
              <w:rPr>
                <w:rFonts w:ascii="Arial" w:cs="Arial" w:eastAsia="Arial" w:hAnsi="Arial"/>
                <w:sz w:val="20"/>
                <w:szCs w:val="20"/>
                <w:color w:val="auto"/>
              </w:rPr>
              <w:t>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310006</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Castle Hayne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380001</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Cayce</w:t>
            </w:r>
          </w:p>
        </w:tc>
        <w:tc>
          <w:tcPr>
            <w:tcW w:w="700" w:type="dxa"/>
            <w:vAlign w:val="bottom"/>
          </w:tcPr>
          <w:p>
            <w:pPr>
              <w:ind w:left="60"/>
              <w:spacing w:after="0"/>
              <w:rPr>
                <w:sz w:val="20"/>
                <w:szCs w:val="20"/>
                <w:color w:val="auto"/>
              </w:rPr>
            </w:pPr>
            <w:r>
              <w:rPr>
                <w:rFonts w:ascii="Arial" w:cs="Arial" w:eastAsia="Arial" w:hAnsi="Arial"/>
                <w:sz w:val="20"/>
                <w:szCs w:val="20"/>
                <w:color w:val="auto"/>
              </w:rPr>
              <w:t>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310005</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Central Rock Quarry</w:t>
            </w:r>
          </w:p>
        </w:tc>
        <w:tc>
          <w:tcPr>
            <w:tcW w:w="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140" w:type="dxa"/>
            <w:vAlign w:val="bottom"/>
          </w:tcPr>
          <w:p>
            <w:pPr>
              <w:spacing w:after="0"/>
              <w:rPr>
                <w:sz w:val="18"/>
                <w:szCs w:val="18"/>
                <w:color w:val="auto"/>
              </w:rPr>
            </w:pPr>
          </w:p>
        </w:tc>
        <w:tc>
          <w:tcPr>
            <w:tcW w:w="700" w:type="dxa"/>
            <w:vAlign w:val="bottom"/>
          </w:tcPr>
          <w:p>
            <w:pPr>
              <w:ind w:left="60"/>
              <w:spacing w:after="0" w:line="218" w:lineRule="exact"/>
              <w:rPr>
                <w:sz w:val="20"/>
                <w:szCs w:val="20"/>
                <w:color w:val="auto"/>
              </w:rPr>
            </w:pPr>
            <w:r>
              <w:rPr>
                <w:rFonts w:ascii="Arial" w:cs="Arial" w:eastAsia="Arial" w:hAnsi="Arial"/>
                <w:sz w:val="20"/>
                <w:szCs w:val="20"/>
                <w:color w:val="auto"/>
                <w:w w:val="92"/>
              </w:rPr>
              <w:t>310234</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w w:val="93"/>
              </w:rPr>
              <w:t>Charlote Portable Plant 1</w:t>
            </w:r>
          </w:p>
        </w:tc>
        <w:tc>
          <w:tcPr>
            <w:tcW w:w="700" w:type="dxa"/>
            <w:vAlign w:val="bottom"/>
          </w:tcPr>
          <w:p>
            <w:pPr>
              <w:ind w:left="60"/>
              <w:spacing w:after="0"/>
              <w:rPr>
                <w:sz w:val="20"/>
                <w:szCs w:val="20"/>
                <w:color w:val="auto"/>
              </w:rPr>
            </w:pPr>
            <w:r>
              <w:rPr>
                <w:rFonts w:ascii="Arial" w:cs="Arial" w:eastAsia="Arial" w:hAnsi="Arial"/>
                <w:sz w:val="20"/>
                <w:szCs w:val="20"/>
                <w:color w:val="auto"/>
              </w:rPr>
              <w:t>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ind w:left="20"/>
              <w:spacing w:after="0"/>
              <w:rPr>
                <w:sz w:val="20"/>
                <w:szCs w:val="20"/>
                <w:color w:val="auto"/>
              </w:rPr>
            </w:pPr>
            <w:r>
              <w:rPr>
                <w:rFonts w:ascii="Arial" w:cs="Arial" w:eastAsia="Arial" w:hAnsi="Arial"/>
                <w:sz w:val="20"/>
                <w:szCs w:val="20"/>
                <w:color w:val="auto"/>
              </w:rPr>
              <w:t>no</w:t>
            </w:r>
          </w:p>
        </w:tc>
        <w:tc>
          <w:tcPr>
            <w:tcW w:w="80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w w:val="92"/>
              </w:rPr>
              <w:t>310005</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52"/>
        </w:trPr>
        <w:tc>
          <w:tcPr>
            <w:tcW w:w="2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Charlote Quarry</w:t>
            </w:r>
          </w:p>
        </w:tc>
        <w:tc>
          <w:tcPr>
            <w:tcW w:w="700" w:type="dxa"/>
            <w:vAlign w:val="bottom"/>
            <w:shd w:val="clear" w:color="auto" w:fill="CFF0FC"/>
          </w:tcPr>
          <w:p>
            <w:pPr>
              <w:ind w:left="60"/>
              <w:spacing w:after="0"/>
              <w:rPr>
                <w:sz w:val="20"/>
                <w:szCs w:val="20"/>
                <w:color w:val="auto"/>
              </w:rPr>
            </w:pPr>
            <w:r>
              <w:rPr>
                <w:rFonts w:ascii="Arial" w:cs="Arial" w:eastAsia="Arial" w:hAnsi="Arial"/>
                <w:sz w:val="20"/>
                <w:szCs w:val="20"/>
                <w:color w:val="auto"/>
              </w:rPr>
              <w:t>7</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42"/>
        </w:trPr>
        <w:tc>
          <w:tcPr>
            <w:tcW w:w="21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r>
    </w:tbl>
    <w:p>
      <w:pPr>
        <w:sectPr>
          <w:pgSz w:w="11900" w:h="16891" w:orient="portrait"/>
          <w:cols w:equalWidth="0" w:num="1">
            <w:col w:w="11240"/>
          </w:cols>
          <w:pgMar w:left="320" w:top="101" w:right="3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20" w:type="dxa"/>
            <w:vAlign w:val="bottom"/>
          </w:tcPr>
          <w:p>
            <w:pPr>
              <w:ind w:left="20"/>
              <w:spacing w:after="0"/>
              <w:rPr>
                <w:sz w:val="20"/>
                <w:szCs w:val="20"/>
                <w:color w:val="auto"/>
              </w:rPr>
            </w:pPr>
            <w:r>
              <w:rPr>
                <w:rFonts w:ascii="Arial" w:cs="Arial" w:eastAsia="Arial" w:hAnsi="Arial"/>
                <w:sz w:val="20"/>
                <w:szCs w:val="20"/>
                <w:color w:val="auto"/>
              </w:rPr>
              <w:t>Chatanooga Quarry</w:t>
            </w:r>
          </w:p>
        </w:tc>
        <w:tc>
          <w:tcPr>
            <w:tcW w:w="1060" w:type="dxa"/>
            <w:vAlign w:val="bottom"/>
          </w:tcPr>
          <w:p>
            <w:pPr>
              <w:ind w:left="280"/>
              <w:spacing w:after="0"/>
              <w:rPr>
                <w:sz w:val="20"/>
                <w:szCs w:val="20"/>
                <w:color w:val="auto"/>
              </w:rPr>
            </w:pPr>
            <w:r>
              <w:rPr>
                <w:rFonts w:ascii="Arial" w:cs="Arial" w:eastAsia="Arial" w:hAnsi="Arial"/>
                <w:sz w:val="20"/>
                <w:szCs w:val="20"/>
                <w:color w:val="auto"/>
              </w:rPr>
              <w:t>400315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1000" w:type="dxa"/>
            <w:vAlign w:val="bottom"/>
          </w:tcPr>
          <w:p>
            <w:pPr>
              <w:ind w:left="180"/>
              <w:spacing w:after="0"/>
              <w:rPr>
                <w:sz w:val="20"/>
                <w:szCs w:val="20"/>
                <w:color w:val="auto"/>
              </w:rPr>
            </w:pPr>
            <w:r>
              <w:rPr>
                <w:rFonts w:ascii="Arial" w:cs="Arial" w:eastAsia="Arial" w:hAnsi="Arial"/>
                <w:sz w:val="20"/>
                <w:szCs w:val="20"/>
                <w:color w:val="auto"/>
              </w:rPr>
              <w:t>0   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50"/>
        </w:trPr>
        <w:tc>
          <w:tcPr>
            <w:tcW w:w="1920" w:type="dxa"/>
            <w:vAlign w:val="bottom"/>
          </w:tcPr>
          <w:p>
            <w:pPr>
              <w:spacing w:after="0"/>
              <w:rPr>
                <w:sz w:val="21"/>
                <w:szCs w:val="21"/>
                <w:color w:val="auto"/>
              </w:rPr>
            </w:pPr>
          </w:p>
        </w:tc>
        <w:tc>
          <w:tcPr>
            <w:tcW w:w="1060" w:type="dxa"/>
            <w:vAlign w:val="bottom"/>
          </w:tcPr>
          <w:p>
            <w:pPr>
              <w:ind w:left="280"/>
              <w:spacing w:after="0"/>
              <w:rPr>
                <w:sz w:val="20"/>
                <w:szCs w:val="20"/>
                <w:color w:val="auto"/>
              </w:rPr>
            </w:pPr>
            <w:r>
              <w:rPr>
                <w:rFonts w:ascii="Arial" w:cs="Arial" w:eastAsia="Arial" w:hAnsi="Arial"/>
                <w:sz w:val="20"/>
                <w:szCs w:val="20"/>
                <w:color w:val="auto"/>
              </w:rPr>
              <w:t>9</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646"/>
        </w:trPr>
        <w:tc>
          <w:tcPr>
            <w:tcW w:w="19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0"/>
        </w:trPr>
        <w:tc>
          <w:tcPr>
            <w:tcW w:w="2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1"/>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180001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Churchville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310200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Clarks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310223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Cumberland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090046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Cumming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310197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Denver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440004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Doswell Quarry VA</w:t>
            </w:r>
          </w:p>
        </w:tc>
        <w:tc>
          <w:tcPr>
            <w:tcW w:w="900" w:type="dxa"/>
            <w:vAlign w:val="bottom"/>
          </w:tcPr>
          <w:p>
            <w:pPr>
              <w:ind w:left="12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090002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Douglasville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310202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East Alamance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380073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Edgefeld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380066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Edmund Sand</w:t>
            </w:r>
          </w:p>
        </w:tc>
        <w:tc>
          <w:tcPr>
            <w:tcW w:w="900" w:type="dxa"/>
            <w:vAlign w:val="bottom"/>
          </w:tcPr>
          <w:p>
            <w:pPr>
              <w:ind w:left="12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682</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310006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Fountain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310213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Franklin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180001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Frederick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3</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310205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Fuquay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310007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Garner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380052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Georgetown II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310233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5"/>
              </w:rPr>
              <w:t>Greensboro Portable Plt</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310004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Hickory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090095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Homer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310005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Jamestown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980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090110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Jeferson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090102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Juncton City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310007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Kannapolis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180074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Kent Sand &amp; Gravel</w:t>
            </w:r>
          </w:p>
        </w:tc>
        <w:tc>
          <w:tcPr>
            <w:tcW w:w="900" w:type="dxa"/>
            <w:vAlign w:val="bottom"/>
          </w:tcPr>
          <w:p>
            <w:pPr>
              <w:ind w:left="12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310004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9"/>
              </w:rPr>
              <w:t>Kings Mountain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310110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Lemon Springs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090002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Lithonia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3</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380072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Loamy Sand Gravel</w:t>
            </w:r>
          </w:p>
        </w:tc>
        <w:tc>
          <w:tcPr>
            <w:tcW w:w="900" w:type="dxa"/>
            <w:vAlign w:val="bottom"/>
          </w:tcPr>
          <w:p>
            <w:pPr>
              <w:ind w:left="12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310212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Maiden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310200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Mallard Creek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310208</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Mathews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Maylene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010063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01" w:right="339" w:bottom="0" w:gutter="0" w:footer="0" w:header="0"/>
        </w:sectPr>
      </w:pPr>
    </w:p>
    <w:bookmarkStart w:id="53" w:name="page54"/>
    <w:bookmarkEnd w:id="53"/>
    <w:p>
      <w:pPr>
        <w:ind w:left="2200"/>
        <w:spacing w:after="0"/>
        <w:rPr>
          <w:sz w:val="20"/>
          <w:szCs w:val="20"/>
          <w:color w:val="auto"/>
        </w:rPr>
      </w:pPr>
      <w:r>
        <w:rPr>
          <w:rFonts w:ascii="Arial" w:cs="Arial" w:eastAsia="Arial" w:hAnsi="Arial"/>
          <w:sz w:val="20"/>
          <w:szCs w:val="20"/>
          <w:color w:val="auto"/>
        </w:rPr>
        <w:t>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shd w:val="clear" w:color="auto" w:fill="CFF0FC"/>
          </w:tcPr>
          <w:p>
            <w:pPr>
              <w:spacing w:after="0"/>
              <w:rPr>
                <w:sz w:val="19"/>
                <w:szCs w:val="19"/>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180003</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Medford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214</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440376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Midlothian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00B861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4"/>
              </w:rPr>
              <w:t>Misc Greensboro District</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090112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Morgan County</w:t>
            </w:r>
          </w:p>
        </w:tc>
        <w:tc>
          <w:tcPr>
            <w:tcW w:w="880" w:type="dxa"/>
            <w:vAlign w:val="bottom"/>
          </w:tcPr>
          <w:p>
            <w:pPr>
              <w:ind w:left="10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090089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Newton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601"/>
        </w:trPr>
        <w:tc>
          <w:tcPr>
            <w:tcW w:w="2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54" w:name="page55"/>
    <w:bookmarkEnd w:id="5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249"/>
        </w:trPr>
        <w:tc>
          <w:tcPr>
            <w:tcW w:w="21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Arial" w:cs="Arial" w:eastAsia="Arial" w:hAnsi="Arial"/>
                <w:sz w:val="20"/>
                <w:szCs w:val="20"/>
                <w:color w:val="auto"/>
              </w:rPr>
              <w:t>380014</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w w:val="97"/>
              </w:rPr>
              <w:t>1,17</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North Columbia</w:t>
            </w:r>
          </w:p>
        </w:tc>
        <w:tc>
          <w:tcPr>
            <w:tcW w:w="860" w:type="dxa"/>
            <w:vAlign w:val="bottom"/>
          </w:tcPr>
          <w:p>
            <w:pPr>
              <w:ind w:left="8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5</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180041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North East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010307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O'Neal Plant  Co 19</w:t>
            </w:r>
          </w:p>
        </w:tc>
        <w:tc>
          <w:tcPr>
            <w:tcW w:w="860" w:type="dxa"/>
            <w:vAlign w:val="bottom"/>
          </w:tcPr>
          <w:p>
            <w:pPr>
              <w:ind w:left="8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380070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Old Charleston Sand</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310212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Onslow Quarry</w:t>
            </w:r>
          </w:p>
        </w:tc>
        <w:tc>
          <w:tcPr>
            <w:tcW w:w="860" w:type="dxa"/>
            <w:vAlign w:val="bottom"/>
          </w:tcPr>
          <w:p>
            <w:pPr>
              <w:ind w:left="8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090110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Paulding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080108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Perry Quarry</w:t>
            </w:r>
          </w:p>
        </w:tc>
        <w:tc>
          <w:tcPr>
            <w:tcW w:w="860" w:type="dxa"/>
            <w:vAlign w:val="bottom"/>
          </w:tcPr>
          <w:p>
            <w:pPr>
              <w:ind w:left="8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180002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Pinesburg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310005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Pomona Quarry</w:t>
            </w:r>
          </w:p>
        </w:tc>
        <w:tc>
          <w:tcPr>
            <w:tcW w:w="860" w:type="dxa"/>
            <w:vAlign w:val="bottom"/>
          </w:tcPr>
          <w:p>
            <w:pPr>
              <w:ind w:left="8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310194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8"/>
              </w:rPr>
              <w:t>Raleigh Durham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440007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Red Hill Quarry</w:t>
            </w:r>
          </w:p>
        </w:tc>
        <w:tc>
          <w:tcPr>
            <w:tcW w:w="860" w:type="dxa"/>
            <w:vAlign w:val="bottom"/>
          </w:tcPr>
          <w:p>
            <w:pPr>
              <w:ind w:left="8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090006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Red Oak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310006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Reidsville Quarry</w:t>
            </w:r>
          </w:p>
        </w:tc>
        <w:tc>
          <w:tcPr>
            <w:tcW w:w="860" w:type="dxa"/>
            <w:vAlign w:val="bottom"/>
          </w:tcPr>
          <w:p>
            <w:pPr>
              <w:ind w:left="8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380002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Rock Hill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906</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310195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Rocky Point Quarry</w:t>
            </w:r>
          </w:p>
        </w:tc>
        <w:tc>
          <w:tcPr>
            <w:tcW w:w="860" w:type="dxa"/>
            <w:vAlign w:val="bottom"/>
          </w:tcPr>
          <w:p>
            <w:pPr>
              <w:ind w:left="8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090007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Ruby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232</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310203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Salem Stone</w:t>
            </w:r>
          </w:p>
        </w:tc>
        <w:tc>
          <w:tcPr>
            <w:tcW w:w="860" w:type="dxa"/>
            <w:vAlign w:val="bottom"/>
          </w:tcPr>
          <w:p>
            <w:pPr>
              <w:ind w:left="8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090114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Six Mile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090119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w w:val="91"/>
              </w:rPr>
              <w:t>St. Marys Sand Company</w:t>
            </w:r>
          </w:p>
        </w:tc>
        <w:tc>
          <w:tcPr>
            <w:tcW w:w="860" w:type="dxa"/>
            <w:vAlign w:val="bottom"/>
          </w:tcPr>
          <w:p>
            <w:pPr>
              <w:ind w:left="8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310005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Statesville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180000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Texas Quarry</w:t>
            </w:r>
          </w:p>
        </w:tc>
        <w:tc>
          <w:tcPr>
            <w:tcW w:w="860" w:type="dxa"/>
            <w:vAlign w:val="bottom"/>
          </w:tcPr>
          <w:p>
            <w:pPr>
              <w:ind w:left="8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441</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310147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Thomasville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090030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Tyrone Quarry</w:t>
            </w:r>
          </w:p>
        </w:tc>
        <w:tc>
          <w:tcPr>
            <w:tcW w:w="860" w:type="dxa"/>
            <w:vAlign w:val="bottom"/>
          </w:tcPr>
          <w:p>
            <w:pPr>
              <w:ind w:left="8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010302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Vance Quarry  Co 19</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360016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Warfordsburg Quarry</w:t>
            </w:r>
          </w:p>
        </w:tc>
        <w:tc>
          <w:tcPr>
            <w:tcW w:w="860" w:type="dxa"/>
            <w:vAlign w:val="bottom"/>
          </w:tcPr>
          <w:p>
            <w:pPr>
              <w:ind w:left="8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090058</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Warrenton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310130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Wilmington Sand</w:t>
            </w:r>
          </w:p>
        </w:tc>
        <w:tc>
          <w:tcPr>
            <w:tcW w:w="860" w:type="dxa"/>
            <w:vAlign w:val="bottom"/>
          </w:tcPr>
          <w:p>
            <w:pPr>
              <w:ind w:left="8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310223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Wilson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310006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Woodleaf Quarry</w:t>
            </w:r>
          </w:p>
        </w:tc>
        <w:tc>
          <w:tcPr>
            <w:tcW w:w="860" w:type="dxa"/>
            <w:vAlign w:val="bottom"/>
          </w:tcPr>
          <w:p>
            <w:pPr>
              <w:ind w:left="8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(45) North Indianapolis</w:t>
            </w: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120000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61"/>
              <w:spacing w:after="0" w:line="218" w:lineRule="exact"/>
              <w:rPr>
                <w:sz w:val="20"/>
                <w:szCs w:val="20"/>
                <w:color w:val="auto"/>
              </w:rPr>
            </w:pPr>
            <w:r>
              <w:rPr>
                <w:rFonts w:ascii="Arial" w:cs="Arial" w:eastAsia="Arial" w:hAnsi="Arial"/>
                <w:sz w:val="20"/>
                <w:szCs w:val="20"/>
                <w:b w:val="1"/>
                <w:bCs w:val="1"/>
                <w:color w:val="auto"/>
                <w:w w:val="97"/>
              </w:rPr>
              <w:t>8,96</w:t>
            </w: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SURFACE</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9</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6</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130203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w w:val="98"/>
              </w:rPr>
              <w:t>Alden Portable Plant #2</w:t>
            </w:r>
          </w:p>
        </w:tc>
        <w:tc>
          <w:tcPr>
            <w:tcW w:w="860" w:type="dxa"/>
            <w:vAlign w:val="bottom"/>
          </w:tcPr>
          <w:p>
            <w:pPr>
              <w:ind w:left="8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2"/>
        </w:trPr>
        <w:tc>
          <w:tcPr>
            <w:tcW w:w="2120" w:type="dxa"/>
            <w:vAlign w:val="bottom"/>
            <w:shd w:val="clear" w:color="auto" w:fill="CFF0FC"/>
          </w:tcPr>
          <w:p>
            <w:pPr>
              <w:ind w:left="20"/>
              <w:spacing w:after="0"/>
              <w:rPr>
                <w:sz w:val="20"/>
                <w:szCs w:val="20"/>
                <w:color w:val="auto"/>
              </w:rPr>
            </w:pPr>
            <w:r>
              <w:rPr>
                <w:rFonts w:ascii="Arial" w:cs="Arial" w:eastAsia="Arial" w:hAnsi="Arial"/>
                <w:sz w:val="20"/>
                <w:szCs w:val="20"/>
                <w:color w:val="auto"/>
              </w:rPr>
              <w:t>Alden Portable Sand</w:t>
            </w:r>
          </w:p>
        </w:tc>
        <w:tc>
          <w:tcPr>
            <w:tcW w:w="860" w:type="dxa"/>
            <w:vAlign w:val="bottom"/>
            <w:shd w:val="clear" w:color="auto" w:fill="CFF0FC"/>
          </w:tcPr>
          <w:p>
            <w:pPr>
              <w:ind w:left="80"/>
              <w:spacing w:after="0"/>
              <w:rPr>
                <w:sz w:val="20"/>
                <w:szCs w:val="20"/>
                <w:color w:val="auto"/>
              </w:rPr>
            </w:pPr>
            <w:r>
              <w:rPr>
                <w:rFonts w:ascii="Arial" w:cs="Arial" w:eastAsia="Arial" w:hAnsi="Arial"/>
                <w:sz w:val="20"/>
                <w:szCs w:val="20"/>
                <w:color w:val="auto"/>
              </w:rPr>
              <w:t>130203</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62"/>
        </w:trPr>
        <w:tc>
          <w:tcPr>
            <w:tcW w:w="2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bl>
    <w:p>
      <w:pPr>
        <w:sectPr>
          <w:pgSz w:w="11900" w:h="16900" w:orient="portrait"/>
          <w:cols w:equalWidth="0" w:num="1">
            <w:col w:w="11240"/>
          </w:cols>
          <w:pgMar w:left="320" w:top="101" w:right="339" w:bottom="0" w:gutter="0" w:footer="0" w:header="0"/>
        </w:sectPr>
      </w:pPr>
    </w:p>
    <w:bookmarkStart w:id="55" w:name="page56"/>
    <w:bookmarkEnd w:id="55"/>
    <w:p>
      <w:pPr>
        <w:ind w:left="220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60" w:type="dxa"/>
            <w:vAlign w:val="bottom"/>
          </w:tcPr>
          <w:p>
            <w:pPr>
              <w:spacing w:after="0"/>
              <w:rPr>
                <w:sz w:val="21"/>
                <w:szCs w:val="21"/>
                <w:color w:val="auto"/>
              </w:rPr>
            </w:pPr>
          </w:p>
        </w:tc>
        <w:tc>
          <w:tcPr>
            <w:tcW w:w="1020" w:type="dxa"/>
            <w:vAlign w:val="bottom"/>
          </w:tcPr>
          <w:p>
            <w:pPr>
              <w:ind w:left="240"/>
              <w:spacing w:after="0"/>
              <w:rPr>
                <w:sz w:val="20"/>
                <w:szCs w:val="20"/>
                <w:color w:val="auto"/>
              </w:rPr>
            </w:pPr>
            <w:r>
              <w:rPr>
                <w:rFonts w:ascii="Arial" w:cs="Arial" w:eastAsia="Arial" w:hAnsi="Arial"/>
                <w:sz w:val="20"/>
                <w:szCs w:val="20"/>
                <w:color w:val="auto"/>
              </w:rPr>
              <w:t>130022</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1960" w:type="dxa"/>
            <w:vAlign w:val="bottom"/>
          </w:tcPr>
          <w:p>
            <w:pPr>
              <w:ind w:left="20"/>
              <w:spacing w:after="0"/>
              <w:rPr>
                <w:sz w:val="20"/>
                <w:szCs w:val="20"/>
                <w:color w:val="auto"/>
              </w:rPr>
            </w:pPr>
            <w:r>
              <w:rPr>
                <w:rFonts w:ascii="Arial" w:cs="Arial" w:eastAsia="Arial" w:hAnsi="Arial"/>
                <w:sz w:val="20"/>
                <w:szCs w:val="20"/>
                <w:color w:val="auto"/>
              </w:rPr>
              <w:t>Alden Quarry</w:t>
            </w:r>
          </w:p>
        </w:tc>
        <w:tc>
          <w:tcPr>
            <w:tcW w:w="1020" w:type="dxa"/>
            <w:vAlign w:val="bottom"/>
          </w:tcPr>
          <w:p>
            <w:pPr>
              <w:ind w:left="24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960" w:type="dxa"/>
            <w:vAlign w:val="bottom"/>
            <w:shd w:val="clear" w:color="auto" w:fill="CFF0FC"/>
          </w:tcPr>
          <w:p>
            <w:pPr>
              <w:spacing w:after="0"/>
              <w:rPr>
                <w:sz w:val="18"/>
                <w:szCs w:val="18"/>
                <w:color w:val="auto"/>
              </w:rPr>
            </w:pPr>
          </w:p>
        </w:tc>
        <w:tc>
          <w:tcPr>
            <w:tcW w:w="1020" w:type="dxa"/>
            <w:vAlign w:val="bottom"/>
            <w:shd w:val="clear" w:color="auto" w:fill="CFF0FC"/>
          </w:tcPr>
          <w:p>
            <w:pPr>
              <w:ind w:left="240"/>
              <w:spacing w:after="0" w:line="218" w:lineRule="exact"/>
              <w:rPr>
                <w:sz w:val="20"/>
                <w:szCs w:val="20"/>
                <w:color w:val="auto"/>
              </w:rPr>
            </w:pPr>
            <w:r>
              <w:rPr>
                <w:rFonts w:ascii="Arial" w:cs="Arial" w:eastAsia="Arial" w:hAnsi="Arial"/>
                <w:sz w:val="20"/>
                <w:szCs w:val="20"/>
                <w:color w:val="auto"/>
              </w:rPr>
              <w:t>130001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Ames Mine</w:t>
            </w:r>
          </w:p>
        </w:tc>
        <w:tc>
          <w:tcPr>
            <w:tcW w:w="1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960" w:type="dxa"/>
            <w:vAlign w:val="bottom"/>
          </w:tcPr>
          <w:p>
            <w:pPr>
              <w:spacing w:after="0"/>
              <w:rPr>
                <w:sz w:val="18"/>
                <w:szCs w:val="18"/>
                <w:color w:val="auto"/>
              </w:rPr>
            </w:pPr>
          </w:p>
        </w:tc>
        <w:tc>
          <w:tcPr>
            <w:tcW w:w="1020" w:type="dxa"/>
            <w:vAlign w:val="bottom"/>
          </w:tcPr>
          <w:p>
            <w:pPr>
              <w:ind w:left="240"/>
              <w:spacing w:after="0" w:line="218" w:lineRule="exact"/>
              <w:rPr>
                <w:sz w:val="20"/>
                <w:szCs w:val="20"/>
                <w:color w:val="auto"/>
              </w:rPr>
            </w:pPr>
            <w:r>
              <w:rPr>
                <w:rFonts w:ascii="Arial" w:cs="Arial" w:eastAsia="Arial" w:hAnsi="Arial"/>
                <w:sz w:val="20"/>
                <w:szCs w:val="20"/>
                <w:color w:val="auto"/>
              </w:rPr>
              <w:t>330167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960" w:type="dxa"/>
            <w:vAlign w:val="bottom"/>
          </w:tcPr>
          <w:p>
            <w:pPr>
              <w:ind w:left="20"/>
              <w:spacing w:after="0"/>
              <w:rPr>
                <w:sz w:val="20"/>
                <w:szCs w:val="20"/>
                <w:color w:val="auto"/>
              </w:rPr>
            </w:pPr>
            <w:r>
              <w:rPr>
                <w:rFonts w:ascii="Arial" w:cs="Arial" w:eastAsia="Arial" w:hAnsi="Arial"/>
                <w:sz w:val="20"/>
                <w:szCs w:val="20"/>
                <w:color w:val="auto"/>
              </w:rPr>
              <w:t>Apple Grove S G</w:t>
            </w:r>
          </w:p>
        </w:tc>
        <w:tc>
          <w:tcPr>
            <w:tcW w:w="1020" w:type="dxa"/>
            <w:vAlign w:val="bottom"/>
          </w:tcPr>
          <w:p>
            <w:pPr>
              <w:ind w:left="2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960" w:type="dxa"/>
            <w:vAlign w:val="bottom"/>
            <w:shd w:val="clear" w:color="auto" w:fill="CFF0FC"/>
          </w:tcPr>
          <w:p>
            <w:pPr>
              <w:spacing w:after="0"/>
              <w:rPr>
                <w:sz w:val="18"/>
                <w:szCs w:val="18"/>
                <w:color w:val="auto"/>
              </w:rPr>
            </w:pPr>
          </w:p>
        </w:tc>
        <w:tc>
          <w:tcPr>
            <w:tcW w:w="1020" w:type="dxa"/>
            <w:vAlign w:val="bottom"/>
            <w:shd w:val="clear" w:color="auto" w:fill="CFF0FC"/>
          </w:tcPr>
          <w:p>
            <w:pPr>
              <w:ind w:left="240"/>
              <w:spacing w:after="0" w:line="218" w:lineRule="exact"/>
              <w:rPr>
                <w:sz w:val="20"/>
                <w:szCs w:val="20"/>
                <w:color w:val="auto"/>
              </w:rPr>
            </w:pPr>
            <w:r>
              <w:rPr>
                <w:rFonts w:ascii="Arial" w:cs="Arial" w:eastAsia="Arial" w:hAnsi="Arial"/>
                <w:sz w:val="20"/>
                <w:szCs w:val="20"/>
                <w:color w:val="auto"/>
              </w:rPr>
              <w:t>120191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Belmont Sand</w:t>
            </w:r>
          </w:p>
        </w:tc>
        <w:tc>
          <w:tcPr>
            <w:tcW w:w="1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960" w:type="dxa"/>
            <w:vAlign w:val="bottom"/>
          </w:tcPr>
          <w:p>
            <w:pPr>
              <w:ind w:left="20"/>
              <w:spacing w:after="0" w:line="218" w:lineRule="exact"/>
              <w:rPr>
                <w:sz w:val="20"/>
                <w:szCs w:val="20"/>
                <w:color w:val="auto"/>
              </w:rPr>
            </w:pPr>
            <w:r>
              <w:rPr>
                <w:rFonts w:ascii="Arial" w:cs="Arial" w:eastAsia="Arial" w:hAnsi="Arial"/>
                <w:sz w:val="20"/>
                <w:szCs w:val="20"/>
                <w:color w:val="auto"/>
              </w:rPr>
              <w:t>Bowling Green North</w:t>
            </w:r>
          </w:p>
        </w:tc>
        <w:tc>
          <w:tcPr>
            <w:tcW w:w="1020" w:type="dxa"/>
            <w:vAlign w:val="bottom"/>
          </w:tcPr>
          <w:p>
            <w:pPr>
              <w:ind w:left="240"/>
              <w:spacing w:after="0" w:line="218" w:lineRule="exact"/>
              <w:rPr>
                <w:sz w:val="20"/>
                <w:szCs w:val="20"/>
                <w:color w:val="auto"/>
              </w:rPr>
            </w:pPr>
            <w:r>
              <w:rPr>
                <w:rFonts w:ascii="Arial" w:cs="Arial" w:eastAsia="Arial" w:hAnsi="Arial"/>
                <w:sz w:val="20"/>
                <w:szCs w:val="20"/>
                <w:color w:val="auto"/>
              </w:rPr>
              <w:t>150006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960" w:type="dxa"/>
            <w:vAlign w:val="bottom"/>
          </w:tcPr>
          <w:p>
            <w:pPr>
              <w:ind w:left="20"/>
              <w:spacing w:after="0"/>
              <w:rPr>
                <w:sz w:val="20"/>
                <w:szCs w:val="20"/>
                <w:color w:val="auto"/>
              </w:rPr>
            </w:pPr>
            <w:r>
              <w:rPr>
                <w:rFonts w:ascii="Arial" w:cs="Arial" w:eastAsia="Arial" w:hAnsi="Arial"/>
                <w:sz w:val="20"/>
                <w:szCs w:val="20"/>
                <w:color w:val="auto"/>
              </w:rPr>
              <w:t>Quarry</w:t>
            </w:r>
          </w:p>
        </w:tc>
        <w:tc>
          <w:tcPr>
            <w:tcW w:w="1020" w:type="dxa"/>
            <w:vAlign w:val="bottom"/>
          </w:tcPr>
          <w:p>
            <w:pPr>
              <w:ind w:left="24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644"/>
        </w:trPr>
        <w:tc>
          <w:tcPr>
            <w:tcW w:w="19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0"/>
        </w:trPr>
        <w:tc>
          <w:tcPr>
            <w:tcW w:w="2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1"/>
        </w:trPr>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1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Bowling Green South</w:t>
            </w: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150002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460886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Burning Springs Mine</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120212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Carmel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130012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Cedar Rapids Quarry</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330407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Cedarville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120174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Cloverdale Quarry</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6</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Cumberland Quarry</w:t>
            </w: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150003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(Kentucky)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130015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Des Moines Portable</w:t>
            </w:r>
          </w:p>
        </w:tc>
        <w:tc>
          <w:tcPr>
            <w:tcW w:w="840" w:type="dxa"/>
            <w:vAlign w:val="bottom"/>
          </w:tcPr>
          <w:p>
            <w:pPr>
              <w:ind w:left="6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w w:val="98"/>
              </w:rPr>
              <w:t>Des Moines Portable #2</w:t>
            </w: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130093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Primary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ind w:left="20"/>
              <w:spacing w:after="0" w:line="218" w:lineRule="exact"/>
              <w:rPr>
                <w:sz w:val="20"/>
                <w:szCs w:val="20"/>
                <w:color w:val="auto"/>
              </w:rPr>
            </w:pPr>
            <w:r>
              <w:rPr>
                <w:rFonts w:ascii="Arial" w:cs="Arial" w:eastAsia="Arial" w:hAnsi="Arial"/>
                <w:sz w:val="20"/>
                <w:szCs w:val="20"/>
                <w:color w:val="auto"/>
                <w:w w:val="88"/>
              </w:rPr>
              <w:t>DES MOINES PORTABLE</w:t>
            </w: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130250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SAND</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250104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Dubois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130122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Durham Mine</w:t>
            </w:r>
          </w:p>
        </w:tc>
        <w:tc>
          <w:tcPr>
            <w:tcW w:w="840" w:type="dxa"/>
            <w:vAlign w:val="bottom"/>
          </w:tcPr>
          <w:p>
            <w:pPr>
              <w:ind w:left="6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330427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 Town Sand 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130212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Earlham Quarry</w:t>
            </w:r>
          </w:p>
        </w:tc>
        <w:tc>
          <w:tcPr>
            <w:tcW w:w="840" w:type="dxa"/>
            <w:vAlign w:val="bottom"/>
          </w:tcPr>
          <w:p>
            <w:pPr>
              <w:ind w:left="6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210121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Elk River Wash Plant</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330139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Fairfeld Sand &amp; Gravel</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130012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Ferguson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250130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Fort Calhoun Mine UG</w:t>
            </w:r>
          </w:p>
        </w:tc>
        <w:tc>
          <w:tcPr>
            <w:tcW w:w="840" w:type="dxa"/>
            <w:vAlign w:val="bottom"/>
          </w:tcPr>
          <w:p>
            <w:pPr>
              <w:ind w:left="6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130003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Fort Dodge Mine</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230014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w w:val="94"/>
              </w:rPr>
              <w:t>Greenwood Quarry  New</w:t>
            </w:r>
          </w:p>
        </w:tc>
        <w:tc>
          <w:tcPr>
            <w:tcW w:w="840" w:type="dxa"/>
            <w:vAlign w:val="bottom"/>
          </w:tcPr>
          <w:p>
            <w:pPr>
              <w:ind w:left="6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518</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150007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Harlan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150009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Hartord Quarry</w:t>
            </w:r>
          </w:p>
        </w:tc>
        <w:tc>
          <w:tcPr>
            <w:tcW w:w="840" w:type="dxa"/>
            <w:vAlign w:val="bottom"/>
          </w:tcPr>
          <w:p>
            <w:pPr>
              <w:ind w:left="6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130212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Iowa Grading Plant 854</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130231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Iowa Grading 2</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w w:val="97"/>
              </w:rPr>
              <w:t>Johnson County Sand &amp;</w:t>
            </w: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120250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120176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Kentucky Ave Mine</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120210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Kokomo Mine UG</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143</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120220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Kokomo Sand</w:t>
            </w:r>
          </w:p>
        </w:tc>
        <w:tc>
          <w:tcPr>
            <w:tcW w:w="840" w:type="dxa"/>
            <w:vAlign w:val="bottom"/>
          </w:tcPr>
          <w:p>
            <w:pPr>
              <w:ind w:left="6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120014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5"/>
              </w:rPr>
              <w:t>Kokomo Stone (Surface)</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4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130220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Linn County Sand</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4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130011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Malcom Mine</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52"/>
        </w:trPr>
        <w:tc>
          <w:tcPr>
            <w:tcW w:w="2140" w:type="dxa"/>
            <w:vAlign w:val="bottom"/>
          </w:tcPr>
          <w:p>
            <w:pPr>
              <w:ind w:left="20"/>
              <w:spacing w:after="0"/>
              <w:rPr>
                <w:sz w:val="20"/>
                <w:szCs w:val="20"/>
                <w:color w:val="auto"/>
              </w:rPr>
            </w:pPr>
            <w:r>
              <w:rPr>
                <w:rFonts w:ascii="Arial" w:cs="Arial" w:eastAsia="Arial" w:hAnsi="Arial"/>
                <w:sz w:val="20"/>
                <w:szCs w:val="20"/>
                <w:color w:val="auto"/>
              </w:rPr>
              <w:t>Midwest Division OH</w:t>
            </w:r>
          </w:p>
        </w:tc>
        <w:tc>
          <w:tcPr>
            <w:tcW w:w="840" w:type="dxa"/>
            <w:vAlign w:val="bottom"/>
          </w:tcPr>
          <w:p>
            <w:pPr>
              <w:ind w:left="60"/>
              <w:spacing w:after="0"/>
              <w:rPr>
                <w:sz w:val="20"/>
                <w:szCs w:val="20"/>
                <w:color w:val="auto"/>
              </w:rPr>
            </w:pPr>
            <w:r>
              <w:rPr>
                <w:rFonts w:ascii="Arial" w:cs="Arial" w:eastAsia="Arial" w:hAnsi="Arial"/>
                <w:sz w:val="20"/>
                <w:szCs w:val="20"/>
                <w:color w:val="auto"/>
              </w:rPr>
              <w:t>00A235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01" w:right="339" w:bottom="0" w:gutter="0" w:footer="0" w:header="0"/>
        </w:sectPr>
      </w:pPr>
    </w:p>
    <w:bookmarkStart w:id="57" w:name="page58"/>
    <w:bookmarkEnd w:id="57"/>
    <w:p>
      <w:pPr>
        <w:ind w:left="2200"/>
        <w:spacing w:after="0"/>
        <w:rPr>
          <w:sz w:val="20"/>
          <w:szCs w:val="20"/>
          <w:color w:val="auto"/>
        </w:rPr>
      </w:pPr>
      <w:r>
        <w:rPr>
          <w:rFonts w:ascii="Arial" w:cs="Arial" w:eastAsia="Arial" w:hAnsi="Arial"/>
          <w:sz w:val="20"/>
          <w:szCs w:val="20"/>
          <w:color w:val="auto"/>
        </w:rPr>
        <w:t>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shd w:val="clear" w:color="auto" w:fill="CFF0FC"/>
          </w:tcPr>
          <w:p>
            <w:pPr>
              <w:spacing w:after="0"/>
              <w:rPr>
                <w:sz w:val="19"/>
                <w:szCs w:val="19"/>
                <w:color w:val="auto"/>
              </w:rPr>
            </w:pPr>
          </w:p>
        </w:tc>
        <w:tc>
          <w:tcPr>
            <w:tcW w:w="1220" w:type="dxa"/>
            <w:vAlign w:val="bottom"/>
            <w:shd w:val="clear" w:color="auto" w:fill="CFF0FC"/>
          </w:tcPr>
          <w:p>
            <w:pPr>
              <w:ind w:left="440"/>
              <w:spacing w:after="0"/>
              <w:rPr>
                <w:sz w:val="20"/>
                <w:szCs w:val="20"/>
                <w:color w:val="auto"/>
              </w:rPr>
            </w:pPr>
            <w:r>
              <w:rPr>
                <w:rFonts w:ascii="Arial" w:cs="Arial" w:eastAsia="Arial" w:hAnsi="Arial"/>
                <w:sz w:val="20"/>
                <w:szCs w:val="20"/>
                <w:color w:val="auto"/>
              </w:rPr>
              <w:t>210111</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75"/>
        </w:trPr>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1</w:t>
            </w:r>
          </w:p>
        </w:tc>
        <w:tc>
          <w:tcPr>
            <w:tcW w:w="122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760" w:type="dxa"/>
            <w:vAlign w:val="bottom"/>
          </w:tcPr>
          <w:p>
            <w:pPr>
              <w:spacing w:after="0"/>
              <w:rPr>
                <w:sz w:val="18"/>
                <w:szCs w:val="18"/>
                <w:color w:val="auto"/>
              </w:rPr>
            </w:pPr>
          </w:p>
        </w:tc>
        <w:tc>
          <w:tcPr>
            <w:tcW w:w="1220" w:type="dxa"/>
            <w:vAlign w:val="bottom"/>
          </w:tcPr>
          <w:p>
            <w:pPr>
              <w:ind w:left="440"/>
              <w:spacing w:after="0" w:line="218" w:lineRule="exact"/>
              <w:rPr>
                <w:sz w:val="20"/>
                <w:szCs w:val="20"/>
                <w:color w:val="auto"/>
              </w:rPr>
            </w:pPr>
            <w:r>
              <w:rPr>
                <w:rFonts w:ascii="Arial" w:cs="Arial" w:eastAsia="Arial" w:hAnsi="Arial"/>
                <w:sz w:val="20"/>
                <w:szCs w:val="20"/>
                <w:color w:val="auto"/>
              </w:rPr>
              <w:t>210159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760" w:type="dxa"/>
            <w:vAlign w:val="bottom"/>
          </w:tcPr>
          <w:p>
            <w:pPr>
              <w:ind w:left="20"/>
              <w:spacing w:after="0"/>
              <w:rPr>
                <w:sz w:val="20"/>
                <w:szCs w:val="20"/>
                <w:color w:val="auto"/>
              </w:rPr>
            </w:pPr>
            <w:r>
              <w:rPr>
                <w:rFonts w:ascii="Arial" w:cs="Arial" w:eastAsia="Arial" w:hAnsi="Arial"/>
                <w:sz w:val="20"/>
                <w:szCs w:val="20"/>
                <w:color w:val="auto"/>
              </w:rPr>
              <w:t>MN Portable # 2</w:t>
            </w:r>
          </w:p>
        </w:tc>
        <w:tc>
          <w:tcPr>
            <w:tcW w:w="1220" w:type="dxa"/>
            <w:vAlign w:val="bottom"/>
          </w:tcPr>
          <w:p>
            <w:pPr>
              <w:ind w:left="44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760" w:type="dxa"/>
            <w:vAlign w:val="bottom"/>
            <w:shd w:val="clear" w:color="auto" w:fill="CFF0FC"/>
          </w:tcPr>
          <w:p>
            <w:pPr>
              <w:spacing w:after="0"/>
              <w:rPr>
                <w:sz w:val="18"/>
                <w:szCs w:val="18"/>
                <w:color w:val="auto"/>
              </w:rPr>
            </w:pPr>
          </w:p>
        </w:tc>
        <w:tc>
          <w:tcPr>
            <w:tcW w:w="1220" w:type="dxa"/>
            <w:vAlign w:val="bottom"/>
            <w:shd w:val="clear" w:color="auto" w:fill="CFF0FC"/>
          </w:tcPr>
          <w:p>
            <w:pPr>
              <w:ind w:left="440"/>
              <w:spacing w:after="0" w:line="218" w:lineRule="exact"/>
              <w:rPr>
                <w:sz w:val="20"/>
                <w:szCs w:val="20"/>
                <w:color w:val="auto"/>
              </w:rPr>
            </w:pPr>
            <w:r>
              <w:rPr>
                <w:rFonts w:ascii="Arial" w:cs="Arial" w:eastAsia="Arial" w:hAnsi="Arial"/>
                <w:sz w:val="20"/>
                <w:szCs w:val="20"/>
                <w:color w:val="auto"/>
              </w:rPr>
              <w:t>210314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3</w:t>
            </w:r>
          </w:p>
        </w:tc>
        <w:tc>
          <w:tcPr>
            <w:tcW w:w="122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760" w:type="dxa"/>
            <w:vAlign w:val="bottom"/>
          </w:tcPr>
          <w:p>
            <w:pPr>
              <w:spacing w:after="0"/>
              <w:rPr>
                <w:sz w:val="18"/>
                <w:szCs w:val="18"/>
                <w:color w:val="auto"/>
              </w:rPr>
            </w:pPr>
          </w:p>
        </w:tc>
        <w:tc>
          <w:tcPr>
            <w:tcW w:w="1220" w:type="dxa"/>
            <w:vAlign w:val="bottom"/>
          </w:tcPr>
          <w:p>
            <w:pPr>
              <w:ind w:left="440"/>
              <w:spacing w:after="0" w:line="218" w:lineRule="exact"/>
              <w:rPr>
                <w:sz w:val="20"/>
                <w:szCs w:val="20"/>
                <w:color w:val="auto"/>
              </w:rPr>
            </w:pPr>
            <w:r>
              <w:rPr>
                <w:rFonts w:ascii="Arial" w:cs="Arial" w:eastAsia="Arial" w:hAnsi="Arial"/>
                <w:sz w:val="20"/>
                <w:szCs w:val="20"/>
                <w:color w:val="auto"/>
              </w:rPr>
              <w:t>210328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760" w:type="dxa"/>
            <w:vAlign w:val="bottom"/>
          </w:tcPr>
          <w:p>
            <w:pPr>
              <w:ind w:left="20"/>
              <w:spacing w:after="0"/>
              <w:rPr>
                <w:sz w:val="20"/>
                <w:szCs w:val="20"/>
                <w:color w:val="auto"/>
              </w:rPr>
            </w:pPr>
            <w:r>
              <w:rPr>
                <w:rFonts w:ascii="Arial" w:cs="Arial" w:eastAsia="Arial" w:hAnsi="Arial"/>
                <w:sz w:val="20"/>
                <w:szCs w:val="20"/>
                <w:color w:val="auto"/>
              </w:rPr>
              <w:t>MN Portable # 4</w:t>
            </w:r>
          </w:p>
        </w:tc>
        <w:tc>
          <w:tcPr>
            <w:tcW w:w="1220" w:type="dxa"/>
            <w:vAlign w:val="bottom"/>
          </w:tcPr>
          <w:p>
            <w:pPr>
              <w:ind w:left="440"/>
              <w:spacing w:after="0"/>
              <w:rPr>
                <w:sz w:val="20"/>
                <w:szCs w:val="20"/>
                <w:color w:val="auto"/>
              </w:rPr>
            </w:pPr>
            <w:r>
              <w:rPr>
                <w:rFonts w:ascii="Arial" w:cs="Arial" w:eastAsia="Arial" w:hAnsi="Arial"/>
                <w:sz w:val="20"/>
                <w:szCs w:val="20"/>
                <w:color w:val="auto"/>
              </w:rPr>
              <w:t>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760" w:type="dxa"/>
            <w:vAlign w:val="bottom"/>
            <w:shd w:val="clear" w:color="auto" w:fill="CFF0FC"/>
          </w:tcPr>
          <w:p>
            <w:pPr>
              <w:spacing w:after="0"/>
              <w:rPr>
                <w:sz w:val="18"/>
                <w:szCs w:val="18"/>
                <w:color w:val="auto"/>
              </w:rPr>
            </w:pPr>
          </w:p>
        </w:tc>
        <w:tc>
          <w:tcPr>
            <w:tcW w:w="1220" w:type="dxa"/>
            <w:vAlign w:val="bottom"/>
            <w:shd w:val="clear" w:color="auto" w:fill="CFF0FC"/>
          </w:tcPr>
          <w:p>
            <w:pPr>
              <w:ind w:left="440"/>
              <w:spacing w:after="0" w:line="218" w:lineRule="exact"/>
              <w:rPr>
                <w:sz w:val="20"/>
                <w:szCs w:val="20"/>
                <w:color w:val="auto"/>
              </w:rPr>
            </w:pPr>
            <w:r>
              <w:rPr>
                <w:rFonts w:ascii="Arial" w:cs="Arial" w:eastAsia="Arial" w:hAnsi="Arial"/>
                <w:sz w:val="20"/>
                <w:szCs w:val="20"/>
                <w:color w:val="auto"/>
              </w:rPr>
              <w:t>210111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5</w:t>
            </w:r>
          </w:p>
        </w:tc>
        <w:tc>
          <w:tcPr>
            <w:tcW w:w="122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601"/>
        </w:trPr>
        <w:tc>
          <w:tcPr>
            <w:tcW w:w="17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58" w:name="page59"/>
    <w:bookmarkEnd w:id="5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249"/>
        </w:trPr>
        <w:tc>
          <w:tcPr>
            <w:tcW w:w="21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20"/>
                <w:szCs w:val="20"/>
                <w:color w:val="auto"/>
              </w:rPr>
              <w:t>210312</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MN Portable # 6</w:t>
            </w:r>
          </w:p>
        </w:tc>
        <w:tc>
          <w:tcPr>
            <w:tcW w:w="820" w:type="dxa"/>
            <w:vAlign w:val="bottom"/>
          </w:tcPr>
          <w:p>
            <w:pPr>
              <w:ind w:left="4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210335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7</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210184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MN Portable # 8</w:t>
            </w:r>
          </w:p>
        </w:tc>
        <w:tc>
          <w:tcPr>
            <w:tcW w:w="820" w:type="dxa"/>
            <w:vAlign w:val="bottom"/>
          </w:tcPr>
          <w:p>
            <w:pPr>
              <w:ind w:left="4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210369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Reclamaton</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130218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Moore Quarry</w:t>
            </w:r>
          </w:p>
        </w:tc>
        <w:tc>
          <w:tcPr>
            <w:tcW w:w="820" w:type="dxa"/>
            <w:vAlign w:val="bottom"/>
          </w:tcPr>
          <w:p>
            <w:pPr>
              <w:ind w:left="4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130177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New Harvey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130250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New Marshall Sand</w:t>
            </w:r>
          </w:p>
        </w:tc>
        <w:tc>
          <w:tcPr>
            <w:tcW w:w="820" w:type="dxa"/>
            <w:vAlign w:val="bottom"/>
          </w:tcPr>
          <w:p>
            <w:pPr>
              <w:ind w:left="40"/>
              <w:spacing w:after="0"/>
              <w:rPr>
                <w:sz w:val="20"/>
                <w:szCs w:val="20"/>
                <w:color w:val="auto"/>
              </w:rPr>
            </w:pPr>
            <w:r>
              <w:rPr>
                <w:rFonts w:ascii="Arial" w:cs="Arial" w:eastAsia="Arial" w:hAnsi="Arial"/>
                <w:sz w:val="20"/>
                <w:szCs w:val="20"/>
                <w:color w:val="auto"/>
              </w:rPr>
              <w:t>4A</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120199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Noblesville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120217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Noblesville Stone</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1</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120199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61"/>
              <w:spacing w:after="0" w:line="218" w:lineRule="exact"/>
              <w:rPr>
                <w:sz w:val="20"/>
                <w:szCs w:val="20"/>
                <w:color w:val="auto"/>
              </w:rPr>
            </w:pPr>
            <w:r>
              <w:rPr>
                <w:rFonts w:ascii="Arial" w:cs="Arial" w:eastAsia="Arial" w:hAnsi="Arial"/>
                <w:sz w:val="20"/>
                <w:szCs w:val="20"/>
                <w:b w:val="1"/>
                <w:bCs w:val="1"/>
                <w:color w:val="auto"/>
                <w:w w:val="97"/>
              </w:rPr>
              <w:t>1,72</w:t>
            </w: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3"/>
              </w:rPr>
              <w:t>North Indianapolis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3</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250127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North Valley Sand</w:t>
            </w:r>
          </w:p>
        </w:tc>
        <w:tc>
          <w:tcPr>
            <w:tcW w:w="820" w:type="dxa"/>
            <w:vAlign w:val="bottom"/>
          </w:tcPr>
          <w:p>
            <w:pPr>
              <w:ind w:left="4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140159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Otawa Quarry New</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130219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Pedersen Quarry</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151689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Petersburg Ky Gravel</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330000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Phillipsburg Quarry</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Portland Quarry (Alden</w:t>
            </w: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130212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Portable Wash)</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120224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Putnam Quarry</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130231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Raccoon River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143</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230230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Randolph Mine</w:t>
            </w:r>
          </w:p>
        </w:tc>
        <w:tc>
          <w:tcPr>
            <w:tcW w:w="820" w:type="dxa"/>
            <w:vAlign w:val="bottom"/>
          </w:tcPr>
          <w:p>
            <w:pPr>
              <w:ind w:left="4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130081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Reasnor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130229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Saylorville Sand</w:t>
            </w:r>
          </w:p>
        </w:tc>
        <w:tc>
          <w:tcPr>
            <w:tcW w:w="820" w:type="dxa"/>
            <w:vAlign w:val="bottom"/>
          </w:tcPr>
          <w:p>
            <w:pPr>
              <w:ind w:left="4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330401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Shamrock SG</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330453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w w:val="89"/>
              </w:rPr>
              <w:t>Spring Valley Cook Rd SG</w:t>
            </w:r>
          </w:p>
        </w:tc>
        <w:tc>
          <w:tcPr>
            <w:tcW w:w="820" w:type="dxa"/>
            <w:vAlign w:val="bottom"/>
          </w:tcPr>
          <w:p>
            <w:pPr>
              <w:ind w:left="4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210008</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St Cloud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230223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Stamper Mine</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130006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Sully Mine</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429</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140155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Sunfower Qy  Co 61</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330167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Troy Gravel</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250131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Walterloo Sand</w:t>
            </w:r>
          </w:p>
        </w:tc>
        <w:tc>
          <w:tcPr>
            <w:tcW w:w="820" w:type="dxa"/>
            <w:vAlign w:val="bottom"/>
          </w:tcPr>
          <w:p>
            <w:pPr>
              <w:ind w:left="4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120203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Waverly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250099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Weeping Water Mine</w:t>
            </w:r>
          </w:p>
        </w:tc>
        <w:tc>
          <w:tcPr>
            <w:tcW w:w="820" w:type="dxa"/>
            <w:vAlign w:val="bottom"/>
          </w:tcPr>
          <w:p>
            <w:pPr>
              <w:ind w:left="4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2"/>
        </w:trPr>
        <w:tc>
          <w:tcPr>
            <w:tcW w:w="2160" w:type="dxa"/>
            <w:vAlign w:val="bottom"/>
            <w:shd w:val="clear" w:color="auto" w:fill="CFF0FC"/>
          </w:tcPr>
          <w:p>
            <w:pPr>
              <w:ind w:left="20"/>
              <w:spacing w:after="0"/>
              <w:rPr>
                <w:sz w:val="20"/>
                <w:szCs w:val="20"/>
                <w:color w:val="auto"/>
              </w:rPr>
            </w:pPr>
            <w:r>
              <w:rPr>
                <w:rFonts w:ascii="Arial" w:cs="Arial" w:eastAsia="Arial" w:hAnsi="Arial"/>
                <w:sz w:val="20"/>
                <w:szCs w:val="20"/>
                <w:color w:val="auto"/>
              </w:rPr>
              <w:t>West Center Sand</w:t>
            </w:r>
          </w:p>
        </w:tc>
        <w:tc>
          <w:tcPr>
            <w:tcW w:w="820" w:type="dxa"/>
            <w:vAlign w:val="bottom"/>
            <w:shd w:val="clear" w:color="auto" w:fill="CFF0FC"/>
          </w:tcPr>
          <w:p>
            <w:pPr>
              <w:ind w:left="40"/>
              <w:spacing w:after="0"/>
              <w:rPr>
                <w:sz w:val="20"/>
                <w:szCs w:val="20"/>
                <w:color w:val="auto"/>
              </w:rPr>
            </w:pPr>
            <w:r>
              <w:rPr>
                <w:rFonts w:ascii="Arial" w:cs="Arial" w:eastAsia="Arial" w:hAnsi="Arial"/>
                <w:sz w:val="20"/>
                <w:szCs w:val="20"/>
                <w:color w:val="auto"/>
              </w:rPr>
              <w:t>250123</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62"/>
        </w:trPr>
        <w:tc>
          <w:tcPr>
            <w:tcW w:w="2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bl>
    <w:p>
      <w:pPr>
        <w:sectPr>
          <w:pgSz w:w="11900" w:h="16900" w:orient="portrait"/>
          <w:cols w:equalWidth="0" w:num="1">
            <w:col w:w="11240"/>
          </w:cols>
          <w:pgMar w:left="320" w:top="101" w:right="339" w:bottom="0" w:gutter="0" w:footer="0" w:header="0"/>
        </w:sectPr>
      </w:pPr>
    </w:p>
    <w:bookmarkStart w:id="59" w:name="page60"/>
    <w:bookmarkEnd w:id="59"/>
    <w:p>
      <w:pPr>
        <w:ind w:left="22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46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1"/>
                <w:szCs w:val="21"/>
                <w:color w:val="auto"/>
              </w:rPr>
            </w:pPr>
          </w:p>
        </w:tc>
        <w:tc>
          <w:tcPr>
            <w:tcW w:w="900" w:type="dxa"/>
            <w:vAlign w:val="bottom"/>
          </w:tcPr>
          <w:p>
            <w:pPr>
              <w:ind w:left="120"/>
              <w:spacing w:after="0"/>
              <w:rPr>
                <w:sz w:val="20"/>
                <w:szCs w:val="20"/>
                <w:color w:val="auto"/>
              </w:rPr>
            </w:pPr>
            <w:r>
              <w:rPr>
                <w:rFonts w:ascii="Arial" w:cs="Arial" w:eastAsia="Arial" w:hAnsi="Arial"/>
                <w:sz w:val="20"/>
                <w:szCs w:val="20"/>
                <w:color w:val="auto"/>
              </w:rPr>
              <w:t>330139</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Xenia Gravel</w:t>
            </w:r>
          </w:p>
        </w:tc>
        <w:tc>
          <w:tcPr>
            <w:tcW w:w="900" w:type="dxa"/>
            <w:vAlign w:val="bottom"/>
          </w:tcPr>
          <w:p>
            <w:pPr>
              <w:ind w:left="12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210003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6"/>
              </w:rPr>
              <w:t>Yellow Medicine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3</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020252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w w:val="92"/>
              </w:rPr>
              <w:t>Clarkdale Sand &amp; Gravel</w:t>
            </w:r>
          </w:p>
        </w:tc>
        <w:tc>
          <w:tcPr>
            <w:tcW w:w="900" w:type="dxa"/>
            <w:vAlign w:val="bottom"/>
          </w:tcPr>
          <w:p>
            <w:pPr>
              <w:ind w:left="12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040015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Clayton</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601"/>
        </w:trPr>
        <w:tc>
          <w:tcPr>
            <w:tcW w:w="2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60" w:name="page61"/>
    <w:bookmarkEnd w:id="6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249"/>
        </w:trPr>
        <w:tc>
          <w:tcPr>
            <w:tcW w:w="21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20"/>
                <w:szCs w:val="20"/>
                <w:color w:val="auto"/>
              </w:rPr>
              <w:t>020317</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Coolidge Plant 65</w:t>
            </w:r>
          </w:p>
        </w:tc>
        <w:tc>
          <w:tcPr>
            <w:tcW w:w="820" w:type="dxa"/>
            <w:vAlign w:val="bottom"/>
          </w:tcPr>
          <w:p>
            <w:pPr>
              <w:ind w:left="4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040475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Eagle Valley Plant</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480001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Granite Canyon Quarry</w:t>
            </w:r>
          </w:p>
        </w:tc>
        <w:tc>
          <w:tcPr>
            <w:tcW w:w="820" w:type="dxa"/>
            <w:vAlign w:val="bottom"/>
          </w:tcPr>
          <w:p>
            <w:pPr>
              <w:ind w:left="4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050461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1"/>
              </w:rPr>
              <w:t>Greeley 35th Sand Gravel</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480000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Guernsey Quarry</w:t>
            </w:r>
          </w:p>
        </w:tc>
        <w:tc>
          <w:tcPr>
            <w:tcW w:w="820" w:type="dxa"/>
            <w:vAlign w:val="bottom"/>
          </w:tcPr>
          <w:p>
            <w:pPr>
              <w:ind w:left="4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020267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Hassayampa</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040176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Hughson AGG &amp; HMA</w:t>
            </w:r>
          </w:p>
        </w:tc>
        <w:tc>
          <w:tcPr>
            <w:tcW w:w="820" w:type="dxa"/>
            <w:vAlign w:val="bottom"/>
          </w:tcPr>
          <w:p>
            <w:pPr>
              <w:ind w:left="4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040183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Irwindale Plant</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040268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61"/>
              <w:spacing w:after="0" w:line="218" w:lineRule="exact"/>
              <w:rPr>
                <w:sz w:val="20"/>
                <w:szCs w:val="20"/>
                <w:color w:val="auto"/>
              </w:rPr>
            </w:pPr>
            <w:r>
              <w:rPr>
                <w:rFonts w:ascii="Arial" w:cs="Arial" w:eastAsia="Arial" w:hAnsi="Arial"/>
                <w:sz w:val="20"/>
                <w:szCs w:val="20"/>
                <w:b w:val="1"/>
                <w:bCs w:val="1"/>
                <w:color w:val="auto"/>
                <w:w w:val="97"/>
              </w:rPr>
              <w:t>3,61</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w w:val="99"/>
              </w:rPr>
              <w:t>Lakeside Vigilante Plant</w:t>
            </w:r>
          </w:p>
        </w:tc>
        <w:tc>
          <w:tcPr>
            <w:tcW w:w="820" w:type="dxa"/>
            <w:vAlign w:val="bottom"/>
          </w:tcPr>
          <w:p>
            <w:pPr>
              <w:ind w:left="4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2</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040284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Merced AGG &amp; HMA</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420217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Milford Quarry  Utah</w:t>
            </w:r>
          </w:p>
        </w:tc>
        <w:tc>
          <w:tcPr>
            <w:tcW w:w="820" w:type="dxa"/>
            <w:vAlign w:val="bottom"/>
          </w:tcPr>
          <w:p>
            <w:pPr>
              <w:ind w:left="40"/>
              <w:spacing w:after="0"/>
              <w:rPr>
                <w:sz w:val="20"/>
                <w:szCs w:val="20"/>
                <w:color w:val="auto"/>
              </w:rPr>
            </w:pPr>
            <w:r>
              <w:rPr>
                <w:rFonts w:ascii="Arial" w:cs="Arial" w:eastAsia="Arial" w:hAnsi="Arial"/>
                <w:sz w:val="20"/>
                <w:szCs w:val="20"/>
                <w:color w:val="auto"/>
              </w:rPr>
              <w:t>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357</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040291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Miramar Recycle Plant</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ind w:left="20"/>
              <w:spacing w:after="0" w:line="218" w:lineRule="exact"/>
              <w:rPr>
                <w:sz w:val="20"/>
                <w:szCs w:val="20"/>
                <w:color w:val="auto"/>
              </w:rPr>
            </w:pPr>
            <w:r>
              <w:rPr>
                <w:rFonts w:ascii="Arial" w:cs="Arial" w:eastAsia="Arial" w:hAnsi="Arial"/>
                <w:sz w:val="20"/>
                <w:szCs w:val="20"/>
                <w:color w:val="auto"/>
              </w:rPr>
              <w:t>Northern Portable</w:t>
            </w: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050453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Crushing #10</w:t>
            </w:r>
          </w:p>
        </w:tc>
        <w:tc>
          <w:tcPr>
            <w:tcW w:w="820" w:type="dxa"/>
            <w:vAlign w:val="bottom"/>
          </w:tcPr>
          <w:p>
            <w:pPr>
              <w:ind w:left="4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Northern Portable Plant</w:t>
            </w: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050473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17</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480156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w w:val="93"/>
              </w:rPr>
              <w:t>Northern Portable Plant 4</w:t>
            </w:r>
          </w:p>
        </w:tc>
        <w:tc>
          <w:tcPr>
            <w:tcW w:w="820" w:type="dxa"/>
            <w:vAlign w:val="bottom"/>
          </w:tcPr>
          <w:p>
            <w:pPr>
              <w:ind w:left="4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450084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Pacifc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050463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Parkdale Quarry</w:t>
            </w:r>
          </w:p>
        </w:tc>
        <w:tc>
          <w:tcPr>
            <w:tcW w:w="820" w:type="dxa"/>
            <w:vAlign w:val="bottom"/>
          </w:tcPr>
          <w:p>
            <w:pPr>
              <w:ind w:left="40"/>
              <w:spacing w:after="0"/>
              <w:rPr>
                <w:sz w:val="20"/>
                <w:szCs w:val="20"/>
                <w:color w:val="auto"/>
              </w:rPr>
            </w:pPr>
            <w:r>
              <w:rPr>
                <w:rFonts w:ascii="Arial" w:cs="Arial" w:eastAsia="Arial" w:hAnsi="Arial"/>
                <w:sz w:val="20"/>
                <w:szCs w:val="20"/>
                <w:color w:val="auto"/>
              </w:rPr>
              <w:t>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050321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Parsons Sand Gravel</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050450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w w:val="92"/>
              </w:rPr>
              <w:t>Penrose Sand and Gravel</w:t>
            </w:r>
          </w:p>
        </w:tc>
        <w:tc>
          <w:tcPr>
            <w:tcW w:w="820" w:type="dxa"/>
            <w:vAlign w:val="bottom"/>
          </w:tcPr>
          <w:p>
            <w:pPr>
              <w:ind w:left="4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040526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20"/>
                <w:szCs w:val="20"/>
                <w:color w:val="auto"/>
              </w:rPr>
              <w:t>Pier 92 Marine Aggregates 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050441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Plate Sand and Gravel</w:t>
            </w:r>
          </w:p>
        </w:tc>
        <w:tc>
          <w:tcPr>
            <w:tcW w:w="820" w:type="dxa"/>
            <w:vAlign w:val="bottom"/>
          </w:tcPr>
          <w:p>
            <w:pPr>
              <w:ind w:left="40"/>
              <w:spacing w:after="0"/>
              <w:rPr>
                <w:sz w:val="20"/>
                <w:szCs w:val="20"/>
                <w:color w:val="auto"/>
              </w:rPr>
            </w:pPr>
            <w:r>
              <w:rPr>
                <w:rFonts w:ascii="Arial" w:cs="Arial" w:eastAsia="Arial" w:hAnsi="Arial"/>
                <w:sz w:val="20"/>
                <w:szCs w:val="20"/>
                <w:color w:val="auto"/>
              </w:rPr>
              <w:t>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050435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Portable Plant 1</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050398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Portable Plant 11</w:t>
            </w:r>
          </w:p>
        </w:tc>
        <w:tc>
          <w:tcPr>
            <w:tcW w:w="820" w:type="dxa"/>
            <w:vAlign w:val="bottom"/>
          </w:tcPr>
          <w:p>
            <w:pPr>
              <w:ind w:left="4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050452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Portable Plant 21</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050413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Red Canyon Quarry</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050418</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Rich Sand &amp; Gravel</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020264</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River Ranch AGG</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050484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Riverbend Sand Gravel</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040053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San Andreas AGG</w:t>
            </w:r>
          </w:p>
        </w:tc>
        <w:tc>
          <w:tcPr>
            <w:tcW w:w="820" w:type="dxa"/>
            <w:vAlign w:val="bottom"/>
          </w:tcPr>
          <w:p>
            <w:pPr>
              <w:ind w:left="4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143</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040579</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Sanger AGG</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60" w:type="dxa"/>
            <w:vAlign w:val="bottom"/>
          </w:tcPr>
          <w:p>
            <w:pPr>
              <w:ind w:left="20"/>
              <w:spacing w:after="0" w:line="218" w:lineRule="exact"/>
              <w:rPr>
                <w:sz w:val="20"/>
                <w:szCs w:val="20"/>
                <w:color w:val="auto"/>
              </w:rPr>
            </w:pPr>
            <w:r>
              <w:rPr>
                <w:rFonts w:ascii="Arial" w:cs="Arial" w:eastAsia="Arial" w:hAnsi="Arial"/>
                <w:sz w:val="20"/>
                <w:szCs w:val="20"/>
                <w:color w:val="auto"/>
              </w:rPr>
              <w:t>Santa Margarita</w:t>
            </w: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040161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60" w:type="dxa"/>
            <w:vAlign w:val="bottom"/>
          </w:tcPr>
          <w:p>
            <w:pPr>
              <w:ind w:left="20"/>
              <w:spacing w:after="0"/>
              <w:rPr>
                <w:sz w:val="20"/>
                <w:szCs w:val="20"/>
                <w:color w:val="auto"/>
              </w:rPr>
            </w:pPr>
            <w:r>
              <w:rPr>
                <w:rFonts w:ascii="Arial" w:cs="Arial" w:eastAsia="Arial" w:hAnsi="Arial"/>
                <w:sz w:val="20"/>
                <w:szCs w:val="20"/>
                <w:color w:val="auto"/>
              </w:rPr>
              <w:t>Aggregates</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2"/>
        </w:trPr>
        <w:tc>
          <w:tcPr>
            <w:tcW w:w="216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Santee Plant</w:t>
            </w:r>
          </w:p>
        </w:tc>
        <w:tc>
          <w:tcPr>
            <w:tcW w:w="820" w:type="dxa"/>
            <w:vAlign w:val="bottom"/>
            <w:shd w:val="clear" w:color="auto" w:fill="CFF0FC"/>
          </w:tcPr>
          <w:p>
            <w:pPr>
              <w:ind w:left="40"/>
              <w:spacing w:after="0"/>
              <w:rPr>
                <w:sz w:val="20"/>
                <w:szCs w:val="20"/>
                <w:color w:val="auto"/>
              </w:rPr>
            </w:pPr>
            <w:r>
              <w:rPr>
                <w:rFonts w:ascii="Arial" w:cs="Arial" w:eastAsia="Arial" w:hAnsi="Arial"/>
                <w:sz w:val="20"/>
                <w:szCs w:val="20"/>
                <w:color w:val="auto"/>
              </w:rPr>
              <w:t>040556</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62"/>
        </w:trPr>
        <w:tc>
          <w:tcPr>
            <w:tcW w:w="2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bl>
    <w:p>
      <w:pPr>
        <w:sectPr>
          <w:pgSz w:w="11900" w:h="16900" w:orient="portrait"/>
          <w:cols w:equalWidth="0" w:num="1">
            <w:col w:w="11240"/>
          </w:cols>
          <w:pgMar w:left="320" w:top="101" w:right="339" w:bottom="0" w:gutter="0" w:footer="0" w:header="0"/>
        </w:sectPr>
      </w:pPr>
    </w:p>
    <w:bookmarkStart w:id="61" w:name="page62"/>
    <w:bookmarkEnd w:id="61"/>
    <w:p>
      <w:pPr>
        <w:ind w:left="22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80" w:type="dxa"/>
            <w:vAlign w:val="bottom"/>
          </w:tcPr>
          <w:p>
            <w:pPr>
              <w:spacing w:after="0"/>
              <w:rPr>
                <w:sz w:val="21"/>
                <w:szCs w:val="21"/>
                <w:color w:val="auto"/>
              </w:rPr>
            </w:pPr>
          </w:p>
        </w:tc>
        <w:tc>
          <w:tcPr>
            <w:tcW w:w="1100" w:type="dxa"/>
            <w:vAlign w:val="bottom"/>
          </w:tcPr>
          <w:p>
            <w:pPr>
              <w:ind w:left="320"/>
              <w:spacing w:after="0"/>
              <w:rPr>
                <w:sz w:val="20"/>
                <w:szCs w:val="20"/>
                <w:color w:val="auto"/>
              </w:rPr>
            </w:pPr>
            <w:r>
              <w:rPr>
                <w:rFonts w:ascii="Arial" w:cs="Arial" w:eastAsia="Arial" w:hAnsi="Arial"/>
                <w:sz w:val="20"/>
                <w:szCs w:val="20"/>
                <w:color w:val="auto"/>
              </w:rPr>
              <w:t>040195</w:t>
            </w: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1880" w:type="dxa"/>
            <w:vAlign w:val="bottom"/>
          </w:tcPr>
          <w:p>
            <w:pPr>
              <w:ind w:left="20"/>
              <w:spacing w:after="0"/>
              <w:rPr>
                <w:sz w:val="20"/>
                <w:szCs w:val="20"/>
                <w:color w:val="auto"/>
              </w:rPr>
            </w:pPr>
            <w:r>
              <w:rPr>
                <w:rFonts w:ascii="Arial" w:cs="Arial" w:eastAsia="Arial" w:hAnsi="Arial"/>
                <w:sz w:val="20"/>
                <w:szCs w:val="20"/>
                <w:color w:val="auto"/>
              </w:rPr>
              <w:t>Sisquoc Aggregates</w:t>
            </w:r>
          </w:p>
        </w:tc>
        <w:tc>
          <w:tcPr>
            <w:tcW w:w="1100" w:type="dxa"/>
            <w:vAlign w:val="bottom"/>
          </w:tcPr>
          <w:p>
            <w:pPr>
              <w:ind w:left="32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880" w:type="dxa"/>
            <w:vAlign w:val="bottom"/>
            <w:shd w:val="clear" w:color="auto" w:fill="CFF0FC"/>
          </w:tcPr>
          <w:p>
            <w:pPr>
              <w:spacing w:after="0"/>
              <w:rPr>
                <w:sz w:val="18"/>
                <w:szCs w:val="18"/>
                <w:color w:val="auto"/>
              </w:rPr>
            </w:pPr>
          </w:p>
        </w:tc>
        <w:tc>
          <w:tcPr>
            <w:tcW w:w="1100" w:type="dxa"/>
            <w:vAlign w:val="bottom"/>
            <w:shd w:val="clear" w:color="auto" w:fill="CFF0FC"/>
          </w:tcPr>
          <w:p>
            <w:pPr>
              <w:ind w:left="320"/>
              <w:spacing w:after="0" w:line="218" w:lineRule="exact"/>
              <w:rPr>
                <w:sz w:val="20"/>
                <w:szCs w:val="20"/>
                <w:color w:val="auto"/>
              </w:rPr>
            </w:pPr>
            <w:r>
              <w:rPr>
                <w:rFonts w:ascii="Arial" w:cs="Arial" w:eastAsia="Arial" w:hAnsi="Arial"/>
                <w:sz w:val="20"/>
                <w:szCs w:val="20"/>
                <w:color w:val="auto"/>
              </w:rPr>
              <w:t>050086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Spec Agg Quarry</w:t>
            </w:r>
          </w:p>
        </w:tc>
        <w:tc>
          <w:tcPr>
            <w:tcW w:w="110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880" w:type="dxa"/>
            <w:vAlign w:val="bottom"/>
          </w:tcPr>
          <w:p>
            <w:pPr>
              <w:spacing w:after="0"/>
              <w:rPr>
                <w:sz w:val="18"/>
                <w:szCs w:val="18"/>
                <w:color w:val="auto"/>
              </w:rPr>
            </w:pPr>
          </w:p>
        </w:tc>
        <w:tc>
          <w:tcPr>
            <w:tcW w:w="1100" w:type="dxa"/>
            <w:vAlign w:val="bottom"/>
          </w:tcPr>
          <w:p>
            <w:pPr>
              <w:ind w:left="320"/>
              <w:spacing w:after="0" w:line="218" w:lineRule="exact"/>
              <w:rPr>
                <w:sz w:val="20"/>
                <w:szCs w:val="20"/>
                <w:color w:val="auto"/>
              </w:rPr>
            </w:pPr>
            <w:r>
              <w:rPr>
                <w:rFonts w:ascii="Arial" w:cs="Arial" w:eastAsia="Arial" w:hAnsi="Arial"/>
                <w:sz w:val="20"/>
                <w:szCs w:val="20"/>
                <w:color w:val="auto"/>
              </w:rPr>
              <w:t>040185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880" w:type="dxa"/>
            <w:vAlign w:val="bottom"/>
          </w:tcPr>
          <w:p>
            <w:pPr>
              <w:ind w:left="20"/>
              <w:spacing w:after="0"/>
              <w:rPr>
                <w:sz w:val="20"/>
                <w:szCs w:val="20"/>
                <w:color w:val="auto"/>
              </w:rPr>
            </w:pPr>
            <w:r>
              <w:rPr>
                <w:rFonts w:ascii="Arial" w:cs="Arial" w:eastAsia="Arial" w:hAnsi="Arial"/>
                <w:sz w:val="20"/>
                <w:szCs w:val="20"/>
                <w:color w:val="auto"/>
              </w:rPr>
              <w:t>Sunol Plant</w:t>
            </w:r>
          </w:p>
        </w:tc>
        <w:tc>
          <w:tcPr>
            <w:tcW w:w="1100" w:type="dxa"/>
            <w:vAlign w:val="bottom"/>
          </w:tcPr>
          <w:p>
            <w:pPr>
              <w:ind w:left="32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880" w:type="dxa"/>
            <w:vAlign w:val="bottom"/>
            <w:shd w:val="clear" w:color="auto" w:fill="CFF0FC"/>
          </w:tcPr>
          <w:p>
            <w:pPr>
              <w:spacing w:after="0"/>
              <w:rPr>
                <w:sz w:val="18"/>
                <w:szCs w:val="18"/>
                <w:color w:val="auto"/>
              </w:rPr>
            </w:pPr>
          </w:p>
        </w:tc>
        <w:tc>
          <w:tcPr>
            <w:tcW w:w="1100" w:type="dxa"/>
            <w:vAlign w:val="bottom"/>
            <w:shd w:val="clear" w:color="auto" w:fill="CFF0FC"/>
          </w:tcPr>
          <w:p>
            <w:pPr>
              <w:ind w:left="320"/>
              <w:spacing w:after="0" w:line="218" w:lineRule="exact"/>
              <w:rPr>
                <w:sz w:val="20"/>
                <w:szCs w:val="20"/>
                <w:color w:val="auto"/>
              </w:rPr>
            </w:pPr>
            <w:r>
              <w:rPr>
                <w:rFonts w:ascii="Arial" w:cs="Arial" w:eastAsia="Arial" w:hAnsi="Arial"/>
                <w:sz w:val="20"/>
                <w:szCs w:val="20"/>
                <w:color w:val="auto"/>
              </w:rPr>
              <w:t>050452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Taf Sand Gravel</w:t>
            </w:r>
          </w:p>
        </w:tc>
        <w:tc>
          <w:tcPr>
            <w:tcW w:w="110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20"/>
                <w:szCs w:val="20"/>
                <w:color w:val="auto"/>
              </w:rPr>
              <w:t>6</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980" w:type="dxa"/>
            <w:vAlign w:val="bottom"/>
            <w:gridSpan w:val="2"/>
          </w:tcPr>
          <w:p>
            <w:pPr>
              <w:ind w:left="20"/>
              <w:spacing w:after="0" w:line="218" w:lineRule="exact"/>
              <w:rPr>
                <w:sz w:val="20"/>
                <w:szCs w:val="20"/>
                <w:color w:val="auto"/>
              </w:rPr>
            </w:pPr>
            <w:r>
              <w:rPr>
                <w:rFonts w:ascii="Arial" w:cs="Arial" w:eastAsia="Arial" w:hAnsi="Arial"/>
                <w:sz w:val="20"/>
                <w:szCs w:val="20"/>
                <w:color w:val="auto"/>
                <w:w w:val="95"/>
              </w:rPr>
              <w:t>Tidewater Oakland Marine 040300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880" w:type="dxa"/>
            <w:vAlign w:val="bottom"/>
          </w:tcPr>
          <w:p>
            <w:pPr>
              <w:ind w:left="20"/>
              <w:spacing w:after="0"/>
              <w:rPr>
                <w:sz w:val="20"/>
                <w:szCs w:val="20"/>
                <w:color w:val="auto"/>
              </w:rPr>
            </w:pPr>
            <w:r>
              <w:rPr>
                <w:rFonts w:ascii="Arial" w:cs="Arial" w:eastAsia="Arial" w:hAnsi="Arial"/>
                <w:sz w:val="20"/>
                <w:szCs w:val="20"/>
                <w:color w:val="auto"/>
              </w:rPr>
              <w:t>Agg</w:t>
            </w:r>
          </w:p>
        </w:tc>
        <w:tc>
          <w:tcPr>
            <w:tcW w:w="1100" w:type="dxa"/>
            <w:vAlign w:val="bottom"/>
          </w:tcPr>
          <w:p>
            <w:pPr>
              <w:ind w:left="320"/>
              <w:spacing w:after="0"/>
              <w:rPr>
                <w:sz w:val="20"/>
                <w:szCs w:val="20"/>
                <w:color w:val="auto"/>
              </w:rPr>
            </w:pPr>
            <w:r>
              <w:rPr>
                <w:rFonts w:ascii="Arial" w:cs="Arial" w:eastAsia="Arial" w:hAnsi="Arial"/>
                <w:sz w:val="20"/>
                <w:szCs w:val="20"/>
                <w:color w:val="auto"/>
              </w:rPr>
              <w:t>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643"/>
        </w:trPr>
        <w:tc>
          <w:tcPr>
            <w:tcW w:w="18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1"/>
        </w:trPr>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020122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Yavapai AGG</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410538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51 Sand &amp; Gravel</w:t>
            </w:r>
          </w:p>
        </w:tc>
        <w:tc>
          <w:tcPr>
            <w:tcW w:w="880" w:type="dxa"/>
            <w:vAlign w:val="bottom"/>
          </w:tcPr>
          <w:p>
            <w:pPr>
              <w:ind w:left="10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410133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Beckmann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410328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Bedrock Sand Gravel</w:t>
            </w:r>
          </w:p>
        </w:tc>
        <w:tc>
          <w:tcPr>
            <w:tcW w:w="880" w:type="dxa"/>
            <w:vAlign w:val="bottom"/>
          </w:tcPr>
          <w:p>
            <w:pPr>
              <w:ind w:left="100"/>
              <w:spacing w:after="0"/>
              <w:rPr>
                <w:sz w:val="20"/>
                <w:szCs w:val="20"/>
                <w:color w:val="auto"/>
              </w:rPr>
            </w:pPr>
            <w:r>
              <w:rPr>
                <w:rFonts w:ascii="Arial" w:cs="Arial" w:eastAsia="Arial" w:hAnsi="Arial"/>
                <w:sz w:val="20"/>
                <w:szCs w:val="20"/>
                <w:color w:val="auto"/>
              </w:rPr>
              <w:t>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410401</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Bells Savoy SG</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030001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Black Rock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143</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410415</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Black Spur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410000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Bridgeport Stone</w:t>
            </w:r>
          </w:p>
        </w:tc>
        <w:tc>
          <w:tcPr>
            <w:tcW w:w="880" w:type="dxa"/>
            <w:vAlign w:val="bottom"/>
          </w:tcPr>
          <w:p>
            <w:pPr>
              <w:ind w:left="100"/>
              <w:spacing w:after="0"/>
              <w:rPr>
                <w:sz w:val="20"/>
                <w:szCs w:val="20"/>
                <w:color w:val="auto"/>
              </w:rPr>
            </w:pPr>
            <w:r>
              <w:rPr>
                <w:rFonts w:ascii="Arial" w:cs="Arial" w:eastAsia="Arial" w:hAnsi="Arial"/>
                <w:sz w:val="20"/>
                <w:szCs w:val="20"/>
                <w:color w:val="auto"/>
              </w:rPr>
              <w:t>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340046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Broken Bow SG</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340129</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Davis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410390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Garfeld SG</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143</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410288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Garwood Gravel</w:t>
            </w:r>
          </w:p>
        </w:tc>
        <w:tc>
          <w:tcPr>
            <w:tcW w:w="880" w:type="dxa"/>
            <w:vAlign w:val="bottom"/>
          </w:tcPr>
          <w:p>
            <w:pPr>
              <w:ind w:left="10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000C33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GMS</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030161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Haton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410313</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Helotes</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410382</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Highway 211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410470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Hondo</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340006</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Hugo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410282</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Hunter Cement</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429</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410523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Hunter Stone</w:t>
            </w:r>
          </w:p>
        </w:tc>
        <w:tc>
          <w:tcPr>
            <w:tcW w:w="880" w:type="dxa"/>
            <w:vAlign w:val="bottom"/>
          </w:tcPr>
          <w:p>
            <w:pPr>
              <w:ind w:left="10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340050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Idabel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7</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143</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030158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Jones Mill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410526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Liberty Ranch Sand</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8</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4</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410517</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Medina Rock Rail</w:t>
            </w:r>
          </w:p>
        </w:tc>
        <w:tc>
          <w:tcPr>
            <w:tcW w:w="880" w:type="dxa"/>
            <w:vAlign w:val="bottom"/>
          </w:tcPr>
          <w:p>
            <w:pPr>
              <w:ind w:left="10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410007</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Midlothian Cement</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1</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340185</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Mill Creek Limestone</w:t>
            </w:r>
          </w:p>
        </w:tc>
        <w:tc>
          <w:tcPr>
            <w:tcW w:w="880" w:type="dxa"/>
            <w:vAlign w:val="bottom"/>
          </w:tcPr>
          <w:p>
            <w:pPr>
              <w:ind w:left="100"/>
              <w:spacing w:after="0"/>
              <w:rPr>
                <w:sz w:val="20"/>
                <w:szCs w:val="20"/>
                <w:color w:val="auto"/>
              </w:rPr>
            </w:pPr>
            <w:r>
              <w:rPr>
                <w:rFonts w:ascii="Arial" w:cs="Arial" w:eastAsia="Arial" w:hAnsi="Arial"/>
                <w:sz w:val="20"/>
                <w:szCs w:val="20"/>
                <w:color w:val="auto"/>
              </w:rPr>
              <w:t>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2"/>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340128</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Mill Creek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5</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410438</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North Austn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661</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w w:val="96"/>
              </w:rPr>
              <w:t>North Bridgeport Quarry</w:t>
            </w: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410336</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(Chico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160141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Perryville Aggregates</w:t>
            </w:r>
          </w:p>
        </w:tc>
        <w:tc>
          <w:tcPr>
            <w:tcW w:w="880" w:type="dxa"/>
            <w:vAlign w:val="bottom"/>
          </w:tcPr>
          <w:p>
            <w:pPr>
              <w:ind w:left="100"/>
              <w:spacing w:after="0"/>
              <w:rPr>
                <w:sz w:val="20"/>
                <w:szCs w:val="20"/>
                <w:color w:val="auto"/>
              </w:rPr>
            </w:pPr>
            <w:r>
              <w:rPr>
                <w:rFonts w:ascii="Arial" w:cs="Arial" w:eastAsia="Arial" w:hAnsi="Arial"/>
                <w:sz w:val="20"/>
                <w:szCs w:val="20"/>
                <w:color w:val="auto"/>
              </w:rPr>
              <w:t>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410134</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Poteet Sand</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2</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Redding Cement</w:t>
            </w:r>
          </w:p>
        </w:tc>
        <w:tc>
          <w:tcPr>
            <w:tcW w:w="880" w:type="dxa"/>
            <w:vAlign w:val="bottom"/>
          </w:tcPr>
          <w:p>
            <w:pPr>
              <w:ind w:left="100"/>
              <w:spacing w:after="0"/>
              <w:rPr>
                <w:sz w:val="20"/>
                <w:szCs w:val="20"/>
                <w:color w:val="auto"/>
              </w:rPr>
            </w:pPr>
            <w:r>
              <w:rPr>
                <w:rFonts w:ascii="Arial" w:cs="Arial" w:eastAsia="Arial" w:hAnsi="Arial"/>
                <w:sz w:val="20"/>
                <w:szCs w:val="20"/>
                <w:color w:val="auto"/>
              </w:rPr>
              <w:t>040003</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01" w:right="339" w:bottom="0" w:gutter="0" w:footer="0" w:header="0"/>
        </w:sectPr>
      </w:pPr>
    </w:p>
    <w:bookmarkStart w:id="63" w:name="page64"/>
    <w:bookmarkEnd w:id="63"/>
    <w:p>
      <w:pPr>
        <w:ind w:left="2200"/>
        <w:spacing w:after="0"/>
        <w:rPr>
          <w:sz w:val="20"/>
          <w:szCs w:val="20"/>
          <w:color w:val="auto"/>
        </w:rPr>
      </w:pPr>
      <w:r>
        <w:rPr>
          <w:rFonts w:ascii="Arial" w:cs="Arial" w:eastAsia="Arial" w:hAnsi="Arial"/>
          <w:sz w:val="20"/>
          <w:szCs w:val="20"/>
          <w:color w:val="auto"/>
        </w:rPr>
        <w:t>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410359</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w w:val="97"/>
              </w:rPr>
              <w:t>1,29</w:t>
            </w: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75"/>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Rio Medina</w:t>
            </w:r>
          </w:p>
        </w:tc>
        <w:tc>
          <w:tcPr>
            <w:tcW w:w="1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4</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9</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900" w:type="dxa"/>
            <w:vAlign w:val="bottom"/>
          </w:tcPr>
          <w:p>
            <w:pPr>
              <w:spacing w:after="0"/>
              <w:rPr>
                <w:sz w:val="18"/>
                <w:szCs w:val="18"/>
                <w:color w:val="auto"/>
              </w:rPr>
            </w:pPr>
          </w:p>
        </w:tc>
        <w:tc>
          <w:tcPr>
            <w:tcW w:w="1080" w:type="dxa"/>
            <w:vAlign w:val="bottom"/>
          </w:tcPr>
          <w:p>
            <w:pPr>
              <w:ind w:left="300"/>
              <w:spacing w:after="0" w:line="218" w:lineRule="exact"/>
              <w:rPr>
                <w:sz w:val="20"/>
                <w:szCs w:val="20"/>
                <w:color w:val="auto"/>
              </w:rPr>
            </w:pPr>
            <w:r>
              <w:rPr>
                <w:rFonts w:ascii="Arial" w:cs="Arial" w:eastAsia="Arial" w:hAnsi="Arial"/>
                <w:sz w:val="20"/>
                <w:szCs w:val="20"/>
                <w:color w:val="auto"/>
              </w:rPr>
              <w:t>410133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900" w:type="dxa"/>
            <w:vAlign w:val="bottom"/>
          </w:tcPr>
          <w:p>
            <w:pPr>
              <w:ind w:left="20"/>
              <w:spacing w:after="0"/>
              <w:rPr>
                <w:sz w:val="20"/>
                <w:szCs w:val="20"/>
                <w:color w:val="auto"/>
              </w:rPr>
            </w:pPr>
            <w:r>
              <w:rPr>
                <w:rFonts w:ascii="Arial" w:cs="Arial" w:eastAsia="Arial" w:hAnsi="Arial"/>
                <w:sz w:val="20"/>
                <w:szCs w:val="20"/>
                <w:color w:val="auto"/>
              </w:rPr>
              <w:t>San Pedro Quarry</w:t>
            </w:r>
          </w:p>
        </w:tc>
        <w:tc>
          <w:tcPr>
            <w:tcW w:w="1080" w:type="dxa"/>
            <w:vAlign w:val="bottom"/>
          </w:tcPr>
          <w:p>
            <w:pPr>
              <w:ind w:left="300"/>
              <w:spacing w:after="0"/>
              <w:rPr>
                <w:sz w:val="20"/>
                <w:szCs w:val="20"/>
                <w:color w:val="auto"/>
              </w:rPr>
            </w:pPr>
            <w:r>
              <w:rPr>
                <w:rFonts w:ascii="Arial" w:cs="Arial" w:eastAsia="Arial" w:hAnsi="Arial"/>
                <w:sz w:val="20"/>
                <w:szCs w:val="20"/>
                <w:color w:val="auto"/>
              </w:rPr>
              <w:t>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1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8"/>
        </w:trPr>
        <w:tc>
          <w:tcPr>
            <w:tcW w:w="190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Sawyer East Quarry</w:t>
            </w:r>
          </w:p>
        </w:tc>
        <w:tc>
          <w:tcPr>
            <w:tcW w:w="1080" w:type="dxa"/>
            <w:vAlign w:val="bottom"/>
            <w:shd w:val="clear" w:color="auto" w:fill="CFF0FC"/>
          </w:tcPr>
          <w:p>
            <w:pPr>
              <w:ind w:left="300"/>
              <w:spacing w:after="0" w:line="218" w:lineRule="exact"/>
              <w:rPr>
                <w:sz w:val="20"/>
                <w:szCs w:val="20"/>
                <w:color w:val="auto"/>
              </w:rPr>
            </w:pPr>
            <w:r>
              <w:rPr>
                <w:rFonts w:ascii="Arial" w:cs="Arial" w:eastAsia="Arial" w:hAnsi="Arial"/>
                <w:sz w:val="20"/>
                <w:szCs w:val="20"/>
                <w:color w:val="auto"/>
              </w:rPr>
              <w:t>340180</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75"/>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Portable</w:t>
            </w:r>
          </w:p>
        </w:tc>
        <w:tc>
          <w:tcPr>
            <w:tcW w:w="1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9</w:t>
            </w:r>
          </w:p>
        </w:tc>
        <w:tc>
          <w:tcPr>
            <w:tcW w:w="5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1900" w:type="dxa"/>
            <w:vAlign w:val="bottom"/>
          </w:tcPr>
          <w:p>
            <w:pPr>
              <w:spacing w:after="0"/>
              <w:rPr>
                <w:sz w:val="18"/>
                <w:szCs w:val="18"/>
                <w:color w:val="auto"/>
              </w:rPr>
            </w:pPr>
          </w:p>
        </w:tc>
        <w:tc>
          <w:tcPr>
            <w:tcW w:w="1080" w:type="dxa"/>
            <w:vAlign w:val="bottom"/>
          </w:tcPr>
          <w:p>
            <w:pPr>
              <w:ind w:left="300"/>
              <w:spacing w:after="0" w:line="218" w:lineRule="exact"/>
              <w:rPr>
                <w:sz w:val="20"/>
                <w:szCs w:val="20"/>
                <w:color w:val="auto"/>
              </w:rPr>
            </w:pPr>
            <w:r>
              <w:rPr>
                <w:rFonts w:ascii="Arial" w:cs="Arial" w:eastAsia="Arial" w:hAnsi="Arial"/>
                <w:sz w:val="20"/>
                <w:szCs w:val="20"/>
                <w:color w:val="auto"/>
              </w:rPr>
              <w:t>340163</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2"/>
        </w:trPr>
        <w:tc>
          <w:tcPr>
            <w:tcW w:w="1900" w:type="dxa"/>
            <w:vAlign w:val="bottom"/>
          </w:tcPr>
          <w:p>
            <w:pPr>
              <w:ind w:left="20"/>
              <w:spacing w:after="0"/>
              <w:rPr>
                <w:sz w:val="20"/>
                <w:szCs w:val="20"/>
                <w:color w:val="auto"/>
              </w:rPr>
            </w:pPr>
            <w:r>
              <w:rPr>
                <w:rFonts w:ascii="Arial" w:cs="Arial" w:eastAsia="Arial" w:hAnsi="Arial"/>
                <w:sz w:val="20"/>
                <w:szCs w:val="20"/>
                <w:color w:val="auto"/>
              </w:rPr>
              <w:t>Sawyer Quarry</w:t>
            </w:r>
          </w:p>
        </w:tc>
        <w:tc>
          <w:tcPr>
            <w:tcW w:w="1080" w:type="dxa"/>
            <w:vAlign w:val="bottom"/>
          </w:tcPr>
          <w:p>
            <w:pPr>
              <w:ind w:left="300"/>
              <w:spacing w:after="0"/>
              <w:rPr>
                <w:sz w:val="20"/>
                <w:szCs w:val="20"/>
                <w:color w:val="auto"/>
              </w:rPr>
            </w:pPr>
            <w:r>
              <w:rPr>
                <w:rFonts w:ascii="Arial" w:cs="Arial" w:eastAsia="Arial" w:hAnsi="Arial"/>
                <w:sz w:val="20"/>
                <w:szCs w:val="20"/>
                <w:color w:val="auto"/>
              </w:rPr>
              <w:t>4</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644"/>
        </w:trPr>
        <w:tc>
          <w:tcPr>
            <w:tcW w:w="1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0"/>
        </w:trPr>
        <w:tc>
          <w:tcPr>
            <w:tcW w:w="2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1"/>
        </w:trPr>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120" w:type="dxa"/>
            <w:vAlign w:val="bottom"/>
            <w:shd w:val="clear" w:color="auto" w:fill="CFF0FC"/>
          </w:tcPr>
          <w:p>
            <w:pPr>
              <w:spacing w:after="0"/>
              <w:rPr>
                <w:sz w:val="18"/>
                <w:szCs w:val="18"/>
                <w:color w:val="auto"/>
              </w:rPr>
            </w:pPr>
          </w:p>
        </w:tc>
        <w:tc>
          <w:tcPr>
            <w:tcW w:w="84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410410</w:t>
            </w: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8"/>
              </w:rPr>
              <w:t>Smithson Valley Quarry</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182</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40" w:type="dxa"/>
            <w:vAlign w:val="bottom"/>
          </w:tcPr>
          <w:p>
            <w:pPr>
              <w:ind w:left="80"/>
              <w:spacing w:after="0" w:line="218" w:lineRule="exact"/>
              <w:rPr>
                <w:sz w:val="20"/>
                <w:szCs w:val="20"/>
                <w:color w:val="auto"/>
              </w:rPr>
            </w:pPr>
            <w:r>
              <w:rPr>
                <w:rFonts w:ascii="Arial" w:cs="Arial" w:eastAsia="Arial" w:hAnsi="Arial"/>
                <w:sz w:val="20"/>
                <w:szCs w:val="20"/>
                <w:color w:val="auto"/>
              </w:rPr>
              <w:t>340165</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Snyder Quarry</w:t>
            </w:r>
          </w:p>
        </w:tc>
        <w:tc>
          <w:tcPr>
            <w:tcW w:w="840" w:type="dxa"/>
            <w:vAlign w:val="bottom"/>
          </w:tcPr>
          <w:p>
            <w:pPr>
              <w:ind w:left="80"/>
              <w:spacing w:after="0"/>
              <w:rPr>
                <w:sz w:val="20"/>
                <w:szCs w:val="20"/>
                <w:color w:val="auto"/>
              </w:rPr>
            </w:pPr>
            <w:r>
              <w:rPr>
                <w:rFonts w:ascii="Arial" w:cs="Arial" w:eastAsia="Arial" w:hAnsi="Arial"/>
                <w:sz w:val="20"/>
                <w:szCs w:val="20"/>
                <w:color w:val="auto"/>
              </w:rPr>
              <w:t>1</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20" w:type="dxa"/>
            <w:vAlign w:val="bottom"/>
          </w:tcPr>
          <w:p>
            <w:pPr>
              <w:ind w:left="28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w w:val="89"/>
              </w:rPr>
              <w:t>South Texas Port #2 (Gulf</w:t>
            </w:r>
          </w:p>
        </w:tc>
        <w:tc>
          <w:tcPr>
            <w:tcW w:w="84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410420</w:t>
            </w: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Coast Portable #2 )</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40" w:type="dxa"/>
            <w:vAlign w:val="bottom"/>
          </w:tcPr>
          <w:p>
            <w:pPr>
              <w:ind w:left="80"/>
              <w:spacing w:after="0" w:line="218" w:lineRule="exact"/>
              <w:rPr>
                <w:sz w:val="20"/>
                <w:szCs w:val="20"/>
                <w:color w:val="auto"/>
              </w:rPr>
            </w:pPr>
            <w:r>
              <w:rPr>
                <w:rFonts w:ascii="Arial" w:cs="Arial" w:eastAsia="Arial" w:hAnsi="Arial"/>
                <w:sz w:val="20"/>
                <w:szCs w:val="20"/>
                <w:color w:val="auto"/>
              </w:rPr>
              <w:t>040019</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61"/>
              <w:spacing w:after="0" w:line="218" w:lineRule="exact"/>
              <w:rPr>
                <w:sz w:val="20"/>
                <w:szCs w:val="20"/>
                <w:color w:val="auto"/>
              </w:rPr>
            </w:pPr>
            <w:r>
              <w:rPr>
                <w:rFonts w:ascii="Arial" w:cs="Arial" w:eastAsia="Arial" w:hAnsi="Arial"/>
                <w:sz w:val="20"/>
                <w:szCs w:val="20"/>
                <w:b w:val="1"/>
                <w:bCs w:val="1"/>
                <w:color w:val="auto"/>
                <w:w w:val="97"/>
              </w:rPr>
              <w:t>3,64</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Tehachapi Cement</w:t>
            </w:r>
          </w:p>
        </w:tc>
        <w:tc>
          <w:tcPr>
            <w:tcW w:w="840" w:type="dxa"/>
            <w:vAlign w:val="bottom"/>
          </w:tcPr>
          <w:p>
            <w:pPr>
              <w:ind w:left="80"/>
              <w:spacing w:after="0"/>
              <w:rPr>
                <w:sz w:val="20"/>
                <w:szCs w:val="20"/>
                <w:color w:val="auto"/>
              </w:rPr>
            </w:pPr>
            <w:r>
              <w:rPr>
                <w:rFonts w:ascii="Arial" w:cs="Arial" w:eastAsia="Arial" w:hAnsi="Arial"/>
                <w:sz w:val="20"/>
                <w:szCs w:val="20"/>
                <w:color w:val="auto"/>
              </w:rPr>
              <w:t>6</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5</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3</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20" w:type="dxa"/>
            <w:vAlign w:val="bottom"/>
          </w:tcPr>
          <w:p>
            <w:pPr>
              <w:ind w:left="28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4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410285</w:t>
            </w: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Tin Top SG</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1</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40" w:type="dxa"/>
            <w:vAlign w:val="bottom"/>
          </w:tcPr>
          <w:p>
            <w:pPr>
              <w:ind w:left="80"/>
              <w:spacing w:after="0" w:line="218" w:lineRule="exact"/>
              <w:rPr>
                <w:sz w:val="20"/>
                <w:szCs w:val="20"/>
                <w:color w:val="auto"/>
              </w:rPr>
            </w:pPr>
            <w:r>
              <w:rPr>
                <w:rFonts w:ascii="Arial" w:cs="Arial" w:eastAsia="Arial" w:hAnsi="Arial"/>
                <w:sz w:val="20"/>
                <w:szCs w:val="20"/>
                <w:color w:val="auto"/>
              </w:rPr>
              <w:t>340204</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rPr>
              <w:t>Washita Quarry</w:t>
            </w:r>
          </w:p>
        </w:tc>
        <w:tc>
          <w:tcPr>
            <w:tcW w:w="840" w:type="dxa"/>
            <w:vAlign w:val="bottom"/>
          </w:tcPr>
          <w:p>
            <w:pPr>
              <w:ind w:left="80"/>
              <w:spacing w:after="0"/>
              <w:rPr>
                <w:sz w:val="20"/>
                <w:szCs w:val="20"/>
                <w:color w:val="auto"/>
              </w:rPr>
            </w:pPr>
            <w:r>
              <w:rPr>
                <w:rFonts w:ascii="Arial" w:cs="Arial" w:eastAsia="Arial" w:hAnsi="Arial"/>
                <w:sz w:val="20"/>
                <w:szCs w:val="20"/>
                <w:color w:val="auto"/>
              </w:rPr>
              <w:t>9</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20" w:type="dxa"/>
            <w:vAlign w:val="bottom"/>
          </w:tcPr>
          <w:p>
            <w:pPr>
              <w:ind w:left="28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4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410436</w:t>
            </w: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Webberville</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286</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40" w:type="dxa"/>
            <w:vAlign w:val="bottom"/>
          </w:tcPr>
          <w:p>
            <w:pPr>
              <w:ind w:left="80"/>
              <w:spacing w:after="0" w:line="218" w:lineRule="exact"/>
              <w:rPr>
                <w:sz w:val="20"/>
                <w:szCs w:val="20"/>
                <w:color w:val="auto"/>
              </w:rPr>
            </w:pPr>
            <w:r>
              <w:rPr>
                <w:rFonts w:ascii="Arial" w:cs="Arial" w:eastAsia="Arial" w:hAnsi="Arial"/>
                <w:sz w:val="20"/>
                <w:szCs w:val="20"/>
                <w:color w:val="auto"/>
              </w:rPr>
              <w:t>160107</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w w:val="99"/>
              </w:rPr>
              <w:t>Woodworth Aggregates</w:t>
            </w:r>
          </w:p>
        </w:tc>
        <w:tc>
          <w:tcPr>
            <w:tcW w:w="840" w:type="dxa"/>
            <w:vAlign w:val="bottom"/>
          </w:tcPr>
          <w:p>
            <w:pPr>
              <w:ind w:left="80"/>
              <w:spacing w:after="0"/>
              <w:rPr>
                <w:sz w:val="20"/>
                <w:szCs w:val="20"/>
                <w:color w:val="auto"/>
              </w:rPr>
            </w:pPr>
            <w:r>
              <w:rPr>
                <w:rFonts w:ascii="Arial" w:cs="Arial" w:eastAsia="Arial" w:hAnsi="Arial"/>
                <w:sz w:val="20"/>
                <w:szCs w:val="20"/>
                <w:color w:val="auto"/>
              </w:rPr>
              <w:t>0</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20" w:type="dxa"/>
            <w:vAlign w:val="bottom"/>
          </w:tcPr>
          <w:p>
            <w:pPr>
              <w:ind w:left="28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4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330015</w:t>
            </w: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Woodville - Stone</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2</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2</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40" w:type="dxa"/>
            <w:vAlign w:val="bottom"/>
          </w:tcPr>
          <w:p>
            <w:pPr>
              <w:ind w:left="80"/>
              <w:spacing w:after="0" w:line="218" w:lineRule="exact"/>
              <w:rPr>
                <w:sz w:val="20"/>
                <w:szCs w:val="20"/>
                <w:color w:val="auto"/>
              </w:rPr>
            </w:pPr>
            <w:r>
              <w:rPr>
                <w:rFonts w:ascii="Arial" w:cs="Arial" w:eastAsia="Arial" w:hAnsi="Arial"/>
                <w:sz w:val="20"/>
                <w:szCs w:val="20"/>
                <w:color w:val="auto"/>
              </w:rPr>
              <w:t>00B712</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color w:val="auto"/>
                <w:w w:val="96"/>
              </w:rPr>
              <w:t>Geology and Exploraton</w:t>
            </w:r>
          </w:p>
        </w:tc>
        <w:tc>
          <w:tcPr>
            <w:tcW w:w="840" w:type="dxa"/>
            <w:vAlign w:val="bottom"/>
          </w:tcPr>
          <w:p>
            <w:pPr>
              <w:ind w:left="80"/>
              <w:spacing w:after="0"/>
              <w:rPr>
                <w:sz w:val="20"/>
                <w:szCs w:val="20"/>
                <w:color w:val="auto"/>
              </w:rPr>
            </w:pPr>
            <w:r>
              <w:rPr>
                <w:rFonts w:ascii="Arial" w:cs="Arial" w:eastAsia="Arial" w:hAnsi="Arial"/>
                <w:sz w:val="20"/>
                <w:szCs w:val="20"/>
                <w:color w:val="auto"/>
              </w:rPr>
              <w:t>7</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Pr>
          <w:p>
            <w:pPr>
              <w:ind w:left="120"/>
              <w:spacing w:after="0"/>
              <w:rPr>
                <w:sz w:val="20"/>
                <w:szCs w:val="20"/>
                <w:color w:val="auto"/>
              </w:rPr>
            </w:pPr>
            <w:r>
              <w:rPr>
                <w:rFonts w:ascii="Arial" w:cs="Arial" w:eastAsia="Arial" w:hAnsi="Arial"/>
                <w:sz w:val="20"/>
                <w:szCs w:val="20"/>
                <w:color w:val="auto"/>
              </w:rPr>
              <w:t>no</w:t>
            </w:r>
          </w:p>
        </w:tc>
        <w:tc>
          <w:tcPr>
            <w:tcW w:w="920" w:type="dxa"/>
            <w:vAlign w:val="bottom"/>
          </w:tcPr>
          <w:p>
            <w:pPr>
              <w:ind w:left="28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43"/>
        </w:trPr>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20" w:type="dxa"/>
            <w:vAlign w:val="bottom"/>
            <w:shd w:val="clear" w:color="auto" w:fill="CFF0FC"/>
          </w:tcPr>
          <w:p>
            <w:pPr>
              <w:spacing w:after="0"/>
              <w:rPr>
                <w:sz w:val="18"/>
                <w:szCs w:val="18"/>
                <w:color w:val="auto"/>
              </w:rPr>
            </w:pPr>
          </w:p>
        </w:tc>
        <w:tc>
          <w:tcPr>
            <w:tcW w:w="84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00B933</w:t>
            </w: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Salisbury Shop</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0</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92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18"/>
        </w:trPr>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61"/>
              <w:spacing w:after="0" w:line="218" w:lineRule="exact"/>
              <w:rPr>
                <w:sz w:val="20"/>
                <w:szCs w:val="20"/>
                <w:color w:val="auto"/>
              </w:rPr>
            </w:pPr>
            <w:r>
              <w:rPr>
                <w:rFonts w:ascii="Arial" w:cs="Arial" w:eastAsia="Arial" w:hAnsi="Arial"/>
                <w:sz w:val="20"/>
                <w:szCs w:val="20"/>
                <w:b w:val="1"/>
                <w:bCs w:val="1"/>
                <w:color w:val="auto"/>
                <w:w w:val="97"/>
              </w:rPr>
              <w:t>29,7</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20" w:type="dxa"/>
            <w:vAlign w:val="bottom"/>
          </w:tcPr>
          <w:p>
            <w:pPr>
              <w:ind w:left="20"/>
              <w:spacing w:after="0"/>
              <w:rPr>
                <w:sz w:val="20"/>
                <w:szCs w:val="20"/>
                <w:color w:val="auto"/>
              </w:rPr>
            </w:pPr>
            <w:r>
              <w:rPr>
                <w:rFonts w:ascii="Arial" w:cs="Arial" w:eastAsia="Arial" w:hAnsi="Arial"/>
                <w:sz w:val="20"/>
                <w:szCs w:val="20"/>
                <w:b w:val="1"/>
                <w:bCs w:val="1"/>
                <w:color w:val="auto"/>
              </w:rPr>
              <w:t>TOTAL</w:t>
            </w:r>
          </w:p>
        </w:tc>
        <w:tc>
          <w:tcPr>
            <w:tcW w:w="840" w:type="dxa"/>
            <w:vAlign w:val="bottom"/>
          </w:tcPr>
          <w:p>
            <w:pPr>
              <w:spacing w:after="0"/>
              <w:rPr>
                <w:sz w:val="21"/>
                <w:szCs w:val="21"/>
                <w:color w:val="auto"/>
              </w:rPr>
            </w:pPr>
          </w:p>
        </w:tc>
        <w:tc>
          <w:tcPr>
            <w:tcW w:w="62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54</w:t>
            </w:r>
          </w:p>
        </w:tc>
        <w:tc>
          <w:tcPr>
            <w:tcW w:w="70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b w:val="1"/>
                <w:bCs w:val="1"/>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1</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38</w:t>
            </w:r>
          </w:p>
        </w:tc>
        <w:tc>
          <w:tcPr>
            <w:tcW w:w="380" w:type="dxa"/>
            <w:vAlign w:val="bottom"/>
          </w:tcPr>
          <w:p>
            <w:pPr>
              <w:jc w:val="right"/>
              <w:ind w:right="1"/>
              <w:spacing w:after="0"/>
              <w:rPr>
                <w:sz w:val="20"/>
                <w:szCs w:val="20"/>
                <w:color w:val="auto"/>
              </w:rPr>
            </w:pPr>
            <w:r>
              <w:rPr>
                <w:rFonts w:ascii="Arial" w:cs="Arial" w:eastAsia="Arial" w:hAnsi="Arial"/>
                <w:sz w:val="20"/>
                <w:szCs w:val="20"/>
                <w:b w:val="1"/>
                <w:bCs w:val="1"/>
                <w:color w:val="auto"/>
              </w:rPr>
              <w:t>0</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14</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4</w:t>
            </w:r>
          </w:p>
        </w:tc>
        <w:tc>
          <w:tcPr>
            <w:tcW w:w="920" w:type="dxa"/>
            <w:vAlign w:val="bottom"/>
          </w:tcPr>
          <w:p>
            <w:pPr>
              <w:jc w:val="right"/>
              <w:ind w:right="181"/>
              <w:spacing w:after="0"/>
              <w:rPr>
                <w:sz w:val="20"/>
                <w:szCs w:val="20"/>
                <w:color w:val="auto"/>
              </w:rPr>
            </w:pPr>
            <w:r>
              <w:rPr>
                <w:rFonts w:ascii="Arial" w:cs="Arial" w:eastAsia="Arial" w:hAnsi="Arial"/>
                <w:sz w:val="20"/>
                <w:szCs w:val="20"/>
                <w:b w:val="1"/>
                <w:bCs w:val="1"/>
                <w:color w:val="auto"/>
              </w:rPr>
              <w:t>1</w:t>
            </w:r>
          </w:p>
        </w:tc>
      </w:tr>
    </w:tbl>
    <w:p>
      <w:pPr>
        <w:spacing w:after="0" w:line="234" w:lineRule="exact"/>
        <w:rPr>
          <w:sz w:val="20"/>
          <w:szCs w:val="20"/>
          <w:color w:val="auto"/>
        </w:rPr>
      </w:pPr>
    </w:p>
    <w:p>
      <w:pPr>
        <w:jc w:val="both"/>
        <w:ind w:firstLine="8"/>
        <w:spacing w:after="0" w:line="275" w:lineRule="auto"/>
        <w:tabs>
          <w:tab w:leader="none" w:pos="166" w:val="left"/>
        </w:tabs>
        <w:numPr>
          <w:ilvl w:val="0"/>
          <w:numId w:val="21"/>
        </w:numPr>
        <w:rPr>
          <w:rFonts w:ascii="Arial" w:cs="Arial" w:eastAsia="Arial" w:hAnsi="Arial"/>
          <w:sz w:val="19"/>
          <w:szCs w:val="19"/>
          <w:color w:val="auto"/>
        </w:rPr>
      </w:pPr>
      <w:r>
        <w:rPr>
          <w:rFonts w:ascii="Arial" w:cs="Arial" w:eastAsia="Arial" w:hAnsi="Arial"/>
          <w:sz w:val="19"/>
          <w:szCs w:val="19"/>
          <w:color w:val="auto"/>
        </w:rPr>
        <w:t>Of the 14 legal actons pending on September 30, 2023, nine were contests of citatons or orders referenced in Subpart B of CFR Part 2700, which includes contests of citatons and orders issued under Secton 104 of the Mine Act and contests of imminent danger orders under Secton 107 of the Mine Act, three were contests of proposed penaltes referenced in Subpart C of 29 CFR Part 2700, which are administratve proceedings before the Commission challenging a civil penalty that MSHA has proposed for the violaton contained in a citaton or order, and two were contests of an order issued under Secton 103 (K) of the Mine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95"/>
    </w:lvl>
  </w:abstractNum>
  <w:abstractNum w:abstractNumId="11">
    <w:nsid w:val="4E6AFB66"/>
    <w:multiLevelType w:val="hybridMultilevel"/>
    <w:lvl w:ilvl="0">
      <w:lvlJc w:val="left"/>
      <w:lvlText w:val="%1"/>
      <w:numFmt w:val="decimal"/>
      <w:start w:val="104"/>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5"/>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5"/>
    </w:lvl>
    <w:lvl w:ilvl="1">
      <w:lvlJc w:val="left"/>
      <w:lvlText w:val="%2."/>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2023-11-01T14:19:46Z</dcterms:created>
  <dcterms:modified xsi:type="dcterms:W3CDTF">2023-11-01T14:19:46Z</dcterms:modified>
</cp:coreProperties>
</file>