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76"/>
        </w:trPr>
        <w:tc>
          <w:tcPr>
            <w:tcW w:w="2320" w:type="dxa"/>
            <w:vAlign w:val="bottom"/>
            <w:tcBorders>
              <w:top w:val="single" w:sz="8" w:color="auto"/>
            </w:tcBorders>
          </w:tcPr>
          <w:p>
            <w:pPr>
              <w:spacing w:after="0"/>
              <w:rPr>
                <w:sz w:val="20"/>
                <w:szCs w:val="20"/>
                <w:color w:val="auto"/>
              </w:rPr>
            </w:pPr>
            <w:r>
              <w:rPr>
                <w:rFonts w:ascii="Calibri" w:cs="Calibri" w:eastAsia="Calibri" w:hAnsi="Calibri"/>
                <w:sz w:val="4"/>
                <w:szCs w:val="4"/>
                <w:color w:val="auto"/>
              </w:rPr>
              <w:t>a</w:t>
            </w:r>
          </w:p>
        </w:tc>
        <w:tc>
          <w:tcPr>
            <w:tcW w:w="8920" w:type="dxa"/>
            <w:vAlign w:val="bottom"/>
            <w:tcBorders>
              <w:top w:val="single" w:sz="8" w:color="auto"/>
            </w:tcBorders>
          </w:tcPr>
          <w:p>
            <w:pPr>
              <w:ind w:left="2280"/>
              <w:spacing w:after="0"/>
              <w:rPr>
                <w:sz w:val="20"/>
                <w:szCs w:val="20"/>
                <w:color w:val="auto"/>
              </w:rPr>
            </w:pPr>
            <w:r>
              <w:rPr>
                <w:rFonts w:ascii="Calibri" w:cs="Calibri" w:eastAsia="Calibri" w:hAnsi="Calibri"/>
                <w:sz w:val="4"/>
                <w:szCs w:val="4"/>
                <w:color w:val="auto"/>
              </w:rPr>
              <w:t>c9</w:t>
            </w:r>
          </w:p>
        </w:tc>
      </w:tr>
    </w:tbl>
    <w:p>
      <w:pPr>
        <w:jc w:val="center"/>
        <w:spacing w:after="0" w:line="234" w:lineRule="auto"/>
        <w:rPr>
          <w:sz w:val="20"/>
          <w:szCs w:val="20"/>
          <w:color w:val="auto"/>
        </w:rPr>
      </w:pPr>
      <w:r>
        <w:rPr>
          <w:rFonts w:ascii="Calibri" w:cs="Calibri" w:eastAsia="Calibri" w:hAnsi="Calibri"/>
          <w:sz w:val="22"/>
          <w:szCs w:val="22"/>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64135</wp:posOffset>
            </wp:positionV>
            <wp:extent cx="1097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FORM 10-K</w:t>
      </w:r>
    </w:p>
    <w:p>
      <w:pPr>
        <w:spacing w:after="0"/>
        <w:rPr>
          <w:sz w:val="20"/>
          <w:szCs w:val="20"/>
          <w:color w:val="auto"/>
        </w:rPr>
      </w:pPr>
      <w:r>
        <w:rPr>
          <w:rFonts w:ascii="Calibri" w:cs="Calibri" w:eastAsia="Calibri" w:hAnsi="Calibri"/>
          <w:sz w:val="18"/>
          <w:szCs w:val="18"/>
          <w:b w:val="1"/>
          <w:bCs w:val="1"/>
          <w:color w:val="auto"/>
        </w:rPr>
        <w:t>(</w:t>
      </w:r>
      <w:r>
        <w:rPr>
          <w:rFonts w:ascii="Calibri" w:cs="Calibri" w:eastAsia="Calibri" w:hAnsi="Calibri"/>
          <w:sz w:val="16"/>
          <w:szCs w:val="16"/>
          <w:b w:val="1"/>
          <w:bCs w:val="1"/>
          <w:color w:val="auto"/>
        </w:rPr>
        <w:t>Mark One)</w:t>
      </w:r>
    </w:p>
    <w:p>
      <w:pPr>
        <w:spacing w:after="0" w:line="32" w:lineRule="exact"/>
        <w:rPr>
          <w:sz w:val="24"/>
          <w:szCs w:val="24"/>
          <w:color w:val="auto"/>
        </w:rPr>
      </w:pPr>
    </w:p>
    <w:p>
      <w:pPr>
        <w:ind w:right="4320" w:firstLine="8"/>
        <w:spacing w:after="0" w:line="243" w:lineRule="auto"/>
        <w:tabs>
          <w:tab w:leader="none" w:pos="312" w:val="left"/>
        </w:tabs>
        <w:numPr>
          <w:ilvl w:val="0"/>
          <w:numId w:val="1"/>
        </w:numPr>
        <w:rPr>
          <w:rFonts w:ascii="MS PGothic" w:cs="MS PGothic" w:eastAsia="MS PGothic" w:hAnsi="MS PGothic"/>
          <w:sz w:val="18"/>
          <w:szCs w:val="18"/>
          <w:color w:val="auto"/>
          <w:highlight w:val="black"/>
        </w:rPr>
      </w:pPr>
      <w:r>
        <w:rPr>
          <w:rFonts w:ascii="Calibri" w:cs="Calibri" w:eastAsia="Calibri" w:hAnsi="Calibri"/>
          <w:sz w:val="16"/>
          <w:szCs w:val="16"/>
          <w:b w:val="1"/>
          <w:bCs w:val="1"/>
          <w:color w:val="auto"/>
        </w:rPr>
        <w:t xml:space="preserve">ANNUAL REPORT PURSUANT TO SECTION 13 OR 15(d) OF THE SECURITIES EXCHANGE ACT OF 1934 </w:t>
      </w:r>
      <w:r>
        <w:rPr>
          <w:rFonts w:ascii="Calibri" w:cs="Calibri" w:eastAsia="Calibri" w:hAnsi="Calibri"/>
          <w:sz w:val="16"/>
          <w:szCs w:val="16"/>
          <w:color w:val="auto"/>
        </w:rPr>
        <w:t xml:space="preserve">For the fscal year ended </w:t>
      </w:r>
      <w:r>
        <w:rPr>
          <w:rFonts w:ascii="Calibri" w:cs="Calibri" w:eastAsia="Calibri" w:hAnsi="Calibri"/>
          <w:sz w:val="16"/>
          <w:szCs w:val="16"/>
          <w:b w:val="1"/>
          <w:bCs w:val="1"/>
          <w:color w:val="auto"/>
        </w:rPr>
        <w:t>December 31, 2024</w:t>
      </w:r>
    </w:p>
    <w:p>
      <w:pPr>
        <w:spacing w:after="0" w:line="5" w:lineRule="exact"/>
        <w:rPr>
          <w:sz w:val="24"/>
          <w:szCs w:val="24"/>
          <w:color w:val="auto"/>
        </w:rPr>
      </w:pPr>
    </w:p>
    <w:p>
      <w:pPr>
        <w:jc w:val="center"/>
        <w:spacing w:after="0"/>
        <w:rPr>
          <w:sz w:val="20"/>
          <w:szCs w:val="20"/>
          <w:color w:val="auto"/>
        </w:rPr>
      </w:pPr>
      <w:r>
        <w:rPr>
          <w:rFonts w:ascii="Calibri" w:cs="Calibri" w:eastAsia="Calibri" w:hAnsi="Calibri"/>
          <w:sz w:val="16"/>
          <w:szCs w:val="16"/>
          <w:color w:val="auto"/>
        </w:rPr>
        <w:t>OR</w:t>
      </w:r>
    </w:p>
    <w:p>
      <w:pPr>
        <w:ind w:left="320" w:hanging="312"/>
        <w:spacing w:after="0" w:line="198" w:lineRule="auto"/>
        <w:tabs>
          <w:tab w:leader="none" w:pos="320" w:val="left"/>
        </w:tabs>
        <w:numPr>
          <w:ilvl w:val="0"/>
          <w:numId w:val="2"/>
        </w:numPr>
        <w:rPr>
          <w:rFonts w:ascii="MS PGothic" w:cs="MS PGothic" w:eastAsia="MS PGothic" w:hAnsi="MS PGothic"/>
          <w:sz w:val="7"/>
          <w:szCs w:val="7"/>
          <w:color w:val="auto"/>
          <w:highlight w:val="black"/>
        </w:rPr>
      </w:pPr>
      <w:r>
        <w:rPr>
          <w:rFonts w:ascii="Calibri" w:cs="Calibri" w:eastAsia="Calibri" w:hAnsi="Calibri"/>
          <w:sz w:val="6"/>
          <w:szCs w:val="6"/>
          <w:b w:val="1"/>
          <w:bCs w:val="1"/>
          <w:color w:val="auto"/>
        </w:rPr>
        <w:t>TRANSITION REPORT PURSUANT TO SECTION 13 OR 15(d) OF THE SECURITIES EXCHANGE ACT OF 1934</w:t>
      </w:r>
    </w:p>
    <w:p>
      <w:pPr>
        <w:spacing w:after="0" w:line="214" w:lineRule="exact"/>
        <w:rPr>
          <w:sz w:val="24"/>
          <w:szCs w:val="24"/>
          <w:color w:val="auto"/>
        </w:rPr>
      </w:pPr>
    </w:p>
    <w:p>
      <w:pPr>
        <w:spacing w:after="0"/>
        <w:tabs>
          <w:tab w:leader="none" w:pos="2500" w:val="left"/>
        </w:tabs>
        <w:rPr>
          <w:sz w:val="20"/>
          <w:szCs w:val="20"/>
          <w:color w:val="auto"/>
        </w:rPr>
      </w:pPr>
      <w:r>
        <w:rPr>
          <w:rFonts w:ascii="Calibri" w:cs="Calibri" w:eastAsia="Calibri" w:hAnsi="Calibri"/>
          <w:sz w:val="16"/>
          <w:szCs w:val="16"/>
          <w:color w:val="auto"/>
        </w:rPr>
        <w:t>For the transiton period from</w:t>
      </w:r>
      <w:r>
        <w:rPr>
          <w:sz w:val="20"/>
          <w:szCs w:val="20"/>
          <w:color w:val="auto"/>
        </w:rPr>
        <w:tab/>
      </w:r>
      <w:r>
        <w:rPr>
          <w:rFonts w:ascii="Calibri" w:cs="Calibri" w:eastAsia="Calibri" w:hAnsi="Calibri"/>
          <w:sz w:val="16"/>
          <w:szCs w:val="16"/>
          <w:color w:val="auto"/>
        </w:rPr>
        <w:t>to</w:t>
      </w:r>
    </w:p>
    <w:p>
      <w:pPr>
        <w:sectPr>
          <w:pgSz w:w="11900" w:h="16838" w:orient="portrait"/>
          <w:cols w:equalWidth="0" w:num="1">
            <w:col w:w="11240"/>
          </w:cols>
          <w:pgMar w:left="320" w:top="1119" w:right="339" w:bottom="1440" w:gutter="0" w:footer="0" w:header="0"/>
        </w:sectPr>
      </w:pPr>
    </w:p>
    <w:p>
      <w:pPr>
        <w:spacing w:after="0" w:line="48" w:lineRule="exact"/>
        <w:rPr>
          <w:sz w:val="24"/>
          <w:szCs w:val="24"/>
          <w:color w:val="auto"/>
        </w:rPr>
      </w:pPr>
    </w:p>
    <w:p>
      <w:pPr>
        <w:ind w:left="4540"/>
        <w:spacing w:after="0"/>
        <w:rPr>
          <w:sz w:val="20"/>
          <w:szCs w:val="20"/>
          <w:color w:val="auto"/>
        </w:rPr>
      </w:pPr>
      <w:r>
        <w:rPr>
          <w:rFonts w:ascii="Calibri" w:cs="Calibri" w:eastAsia="Calibri" w:hAnsi="Calibri"/>
          <w:sz w:val="16"/>
          <w:szCs w:val="16"/>
          <w:color w:val="auto"/>
        </w:rPr>
        <w:t>Commission fle number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Calibri" w:cs="Calibri" w:eastAsia="Calibri" w:hAnsi="Calibri"/>
          <w:sz w:val="16"/>
          <w:szCs w:val="16"/>
          <w:b w:val="1"/>
          <w:bCs w:val="1"/>
          <w:color w:val="auto"/>
        </w:rPr>
        <w:t>1-12744</w:t>
      </w:r>
    </w:p>
    <w:p>
      <w:pPr>
        <w:spacing w:after="0" w:line="56" w:lineRule="exact"/>
        <w:rPr>
          <w:sz w:val="24"/>
          <w:szCs w:val="24"/>
          <w:color w:val="auto"/>
        </w:rPr>
      </w:pPr>
    </w:p>
    <w:p>
      <w:pPr>
        <w:sectPr>
          <w:pgSz w:w="11900" w:h="16838" w:orient="portrait"/>
          <w:cols w:equalWidth="0" w:num="2">
            <w:col w:w="6140" w:space="40"/>
            <w:col w:w="5060"/>
          </w:cols>
          <w:pgMar w:left="320" w:top="1119" w:right="339" w:bottom="1440" w:gutter="0" w:footer="0" w:header="0"/>
          <w:type w:val="continuous"/>
        </w:sectPr>
      </w:pPr>
    </w:p>
    <w:p>
      <w:pPr>
        <w:jc w:val="center"/>
        <w:spacing w:after="0"/>
        <w:rPr>
          <w:sz w:val="20"/>
          <w:szCs w:val="20"/>
          <w:color w:val="auto"/>
        </w:rPr>
      </w:pPr>
      <w:r>
        <w:rPr>
          <w:rFonts w:ascii="Calibri" w:cs="Calibri" w:eastAsia="Calibri" w:hAnsi="Calibri"/>
          <w:sz w:val="22"/>
          <w:szCs w:val="22"/>
          <w:b w:val="1"/>
          <w:bCs w:val="1"/>
          <w:color w:val="auto"/>
        </w:rPr>
        <w:t>MARTIN MARIETTA MATERIALS, INC.</w:t>
      </w:r>
    </w:p>
    <w:p>
      <w:pPr>
        <w:spacing w:after="0" w:line="12"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(Exact name of registrant as specifed in its charter)</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3"/>
          </w:tcPr>
          <w:p>
            <w:pPr>
              <w:jc w:val="center"/>
              <w:ind w:left="1328"/>
              <w:spacing w:after="0"/>
              <w:rPr>
                <w:sz w:val="20"/>
                <w:szCs w:val="20"/>
                <w:color w:val="auto"/>
              </w:rPr>
            </w:pPr>
            <w:r>
              <w:rPr>
                <w:rFonts w:ascii="Calibri" w:cs="Calibri" w:eastAsia="Calibri" w:hAnsi="Calibri"/>
                <w:sz w:val="14"/>
                <w:szCs w:val="14"/>
                <w:b w:val="1"/>
                <w:bCs w:val="1"/>
                <w:color w:val="auto"/>
              </w:rPr>
              <w:t>North Carolina</w:t>
            </w:r>
          </w:p>
        </w:tc>
        <w:tc>
          <w:tcPr>
            <w:tcW w:w="2900" w:type="dxa"/>
            <w:vAlign w:val="bottom"/>
          </w:tcPr>
          <w:p>
            <w:pPr>
              <w:spacing w:after="0"/>
              <w:rPr>
                <w:sz w:val="14"/>
                <w:szCs w:val="14"/>
                <w:color w:val="auto"/>
              </w:rPr>
            </w:pPr>
          </w:p>
        </w:tc>
        <w:tc>
          <w:tcPr>
            <w:tcW w:w="4100" w:type="dxa"/>
            <w:vAlign w:val="bottom"/>
            <w:gridSpan w:val="3"/>
          </w:tcPr>
          <w:p>
            <w:pPr>
              <w:jc w:val="right"/>
              <w:ind w:right="2328"/>
              <w:spacing w:after="0"/>
              <w:rPr>
                <w:sz w:val="20"/>
                <w:szCs w:val="20"/>
                <w:color w:val="auto"/>
              </w:rPr>
            </w:pPr>
            <w:r>
              <w:rPr>
                <w:rFonts w:ascii="Calibri" w:cs="Calibri" w:eastAsia="Calibri" w:hAnsi="Calibri"/>
                <w:sz w:val="14"/>
                <w:szCs w:val="14"/>
                <w:b w:val="1"/>
                <w:bCs w:val="1"/>
                <w:color w:val="auto"/>
              </w:rPr>
              <w:t>56-1848578</w:t>
            </w:r>
          </w:p>
        </w:tc>
      </w:tr>
      <w:tr>
        <w:trPr>
          <w:trHeight w:val="176"/>
        </w:trPr>
        <w:tc>
          <w:tcPr>
            <w:tcW w:w="7140" w:type="dxa"/>
            <w:vAlign w:val="bottom"/>
            <w:gridSpan w:val="4"/>
          </w:tcPr>
          <w:p>
            <w:pPr>
              <w:jc w:val="center"/>
              <w:ind w:right="1430"/>
              <w:spacing w:after="0"/>
              <w:rPr>
                <w:sz w:val="20"/>
                <w:szCs w:val="20"/>
                <w:color w:val="auto"/>
              </w:rPr>
            </w:pPr>
            <w:r>
              <w:rPr>
                <w:rFonts w:ascii="Calibri" w:cs="Calibri" w:eastAsia="Calibri" w:hAnsi="Calibri"/>
                <w:sz w:val="14"/>
                <w:szCs w:val="14"/>
                <w:b w:val="1"/>
                <w:bCs w:val="1"/>
                <w:color w:val="auto"/>
              </w:rPr>
              <w:t>(State or other jurisdicton of incorporaton or organizaton)</w:t>
            </w:r>
          </w:p>
        </w:tc>
        <w:tc>
          <w:tcPr>
            <w:tcW w:w="4100" w:type="dxa"/>
            <w:vAlign w:val="bottom"/>
            <w:gridSpan w:val="3"/>
          </w:tcPr>
          <w:p>
            <w:pPr>
              <w:jc w:val="center"/>
              <w:ind w:right="1328"/>
              <w:spacing w:after="0"/>
              <w:rPr>
                <w:sz w:val="20"/>
                <w:szCs w:val="20"/>
                <w:color w:val="auto"/>
              </w:rPr>
            </w:pPr>
            <w:r>
              <w:rPr>
                <w:rFonts w:ascii="Calibri" w:cs="Calibri" w:eastAsia="Calibri" w:hAnsi="Calibri"/>
                <w:sz w:val="14"/>
                <w:szCs w:val="14"/>
                <w:b w:val="1"/>
                <w:bCs w:val="1"/>
                <w:color w:val="auto"/>
              </w:rPr>
              <w:t>(I.R.S. Employer Identfcaton No.)</w:t>
            </w:r>
          </w:p>
        </w:tc>
      </w:tr>
      <w:tr>
        <w:trPr>
          <w:trHeight w:val="176"/>
        </w:trPr>
        <w:tc>
          <w:tcPr>
            <w:tcW w:w="4240" w:type="dxa"/>
            <w:vAlign w:val="bottom"/>
            <w:gridSpan w:val="3"/>
          </w:tcPr>
          <w:p>
            <w:pPr>
              <w:jc w:val="center"/>
              <w:ind w:left="1368"/>
              <w:spacing w:after="0"/>
              <w:rPr>
                <w:sz w:val="20"/>
                <w:szCs w:val="20"/>
                <w:color w:val="auto"/>
              </w:rPr>
            </w:pPr>
            <w:r>
              <w:rPr>
                <w:rFonts w:ascii="Calibri" w:cs="Calibri" w:eastAsia="Calibri" w:hAnsi="Calibri"/>
                <w:sz w:val="14"/>
                <w:szCs w:val="14"/>
                <w:b w:val="1"/>
                <w:bCs w:val="1"/>
                <w:color w:val="auto"/>
              </w:rPr>
              <w:t>4123 Parklake Avenue, Raleigh, North Carolina</w:t>
            </w:r>
          </w:p>
        </w:tc>
        <w:tc>
          <w:tcPr>
            <w:tcW w:w="2900" w:type="dxa"/>
            <w:vAlign w:val="bottom"/>
          </w:tcPr>
          <w:p>
            <w:pPr>
              <w:spacing w:after="0"/>
              <w:rPr>
                <w:sz w:val="15"/>
                <w:szCs w:val="15"/>
                <w:color w:val="auto"/>
              </w:rPr>
            </w:pPr>
          </w:p>
        </w:tc>
        <w:tc>
          <w:tcPr>
            <w:tcW w:w="4100" w:type="dxa"/>
            <w:vAlign w:val="bottom"/>
            <w:gridSpan w:val="3"/>
          </w:tcPr>
          <w:p>
            <w:pPr>
              <w:jc w:val="right"/>
              <w:ind w:right="2488"/>
              <w:spacing w:after="0"/>
              <w:rPr>
                <w:sz w:val="20"/>
                <w:szCs w:val="20"/>
                <w:color w:val="auto"/>
              </w:rPr>
            </w:pPr>
            <w:r>
              <w:rPr>
                <w:rFonts w:ascii="Calibri" w:cs="Calibri" w:eastAsia="Calibri" w:hAnsi="Calibri"/>
                <w:sz w:val="14"/>
                <w:szCs w:val="14"/>
                <w:b w:val="1"/>
                <w:bCs w:val="1"/>
                <w:color w:val="auto"/>
              </w:rPr>
              <w:t>27612</w:t>
            </w:r>
          </w:p>
        </w:tc>
      </w:tr>
      <w:tr>
        <w:trPr>
          <w:trHeight w:val="175"/>
        </w:trPr>
        <w:tc>
          <w:tcPr>
            <w:tcW w:w="4240" w:type="dxa"/>
            <w:vAlign w:val="bottom"/>
            <w:gridSpan w:val="3"/>
          </w:tcPr>
          <w:p>
            <w:pPr>
              <w:jc w:val="center"/>
              <w:ind w:left="1348"/>
              <w:spacing w:after="0"/>
              <w:rPr>
                <w:sz w:val="20"/>
                <w:szCs w:val="20"/>
                <w:color w:val="auto"/>
              </w:rPr>
            </w:pPr>
            <w:r>
              <w:rPr>
                <w:rFonts w:ascii="Calibri" w:cs="Calibri" w:eastAsia="Calibri" w:hAnsi="Calibri"/>
                <w:sz w:val="14"/>
                <w:szCs w:val="14"/>
                <w:b w:val="1"/>
                <w:bCs w:val="1"/>
                <w:color w:val="auto"/>
              </w:rPr>
              <w:t>(Address of principal executve ofces)</w:t>
            </w:r>
          </w:p>
        </w:tc>
        <w:tc>
          <w:tcPr>
            <w:tcW w:w="2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ind w:right="1828"/>
              <w:spacing w:after="0"/>
              <w:rPr>
                <w:sz w:val="20"/>
                <w:szCs w:val="20"/>
                <w:color w:val="auto"/>
              </w:rPr>
            </w:pPr>
            <w:r>
              <w:rPr>
                <w:rFonts w:ascii="Calibri" w:cs="Calibri" w:eastAsia="Calibri" w:hAnsi="Calibri"/>
                <w:sz w:val="14"/>
                <w:szCs w:val="14"/>
                <w:b w:val="1"/>
                <w:bCs w:val="1"/>
                <w:color w:val="auto"/>
              </w:rPr>
              <w:t>(Zip Code)</w:t>
            </w:r>
          </w:p>
        </w:tc>
      </w:tr>
      <w:tr>
        <w:trPr>
          <w:trHeight w:val="230"/>
        </w:trPr>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00" w:type="dxa"/>
            <w:vAlign w:val="bottom"/>
          </w:tcPr>
          <w:p>
            <w:pPr>
              <w:jc w:val="right"/>
              <w:ind w:right="990"/>
              <w:spacing w:after="0"/>
              <w:rPr>
                <w:sz w:val="20"/>
                <w:szCs w:val="20"/>
                <w:color w:val="auto"/>
              </w:rPr>
            </w:pPr>
            <w:r>
              <w:rPr>
                <w:rFonts w:ascii="Calibri" w:cs="Calibri" w:eastAsia="Calibri" w:hAnsi="Calibri"/>
                <w:sz w:val="14"/>
                <w:szCs w:val="14"/>
                <w:b w:val="1"/>
                <w:bCs w:val="1"/>
                <w:color w:val="auto"/>
              </w:rPr>
              <w:t>(919) 781-4550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158"/>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00" w:type="dxa"/>
            <w:vAlign w:val="bottom"/>
          </w:tcPr>
          <w:p>
            <w:pPr>
              <w:jc w:val="center"/>
              <w:ind w:right="50"/>
              <w:spacing w:after="0"/>
              <w:rPr>
                <w:sz w:val="20"/>
                <w:szCs w:val="20"/>
                <w:color w:val="auto"/>
              </w:rPr>
            </w:pPr>
            <w:r>
              <w:rPr>
                <w:rFonts w:ascii="Calibri" w:cs="Calibri" w:eastAsia="Calibri" w:hAnsi="Calibri"/>
                <w:sz w:val="13"/>
                <w:szCs w:val="13"/>
                <w:b w:val="1"/>
                <w:bCs w:val="1"/>
                <w:i w:val="1"/>
                <w:iCs w:val="1"/>
                <w:color w:val="auto"/>
                <w:w w:val="97"/>
              </w:rPr>
              <w:t>(Registrant’s telephone number, including area code)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tcPr>
          <w:p>
            <w:pPr>
              <w:spacing w:after="0"/>
              <w:rPr>
                <w:sz w:val="13"/>
                <w:szCs w:val="13"/>
                <w:color w:val="auto"/>
              </w:rPr>
            </w:pPr>
          </w:p>
        </w:tc>
      </w:tr>
      <w:tr>
        <w:trPr>
          <w:trHeight w:val="220"/>
        </w:trPr>
        <w:tc>
          <w:tcPr>
            <w:tcW w:w="4240" w:type="dxa"/>
            <w:vAlign w:val="bottom"/>
            <w:gridSpan w:val="3"/>
          </w:tcPr>
          <w:p>
            <w:pPr>
              <w:spacing w:after="0"/>
              <w:rPr>
                <w:sz w:val="20"/>
                <w:szCs w:val="20"/>
                <w:color w:val="auto"/>
              </w:rPr>
            </w:pPr>
            <w:r>
              <w:rPr>
                <w:rFonts w:ascii="Calibri" w:cs="Calibri" w:eastAsia="Calibri" w:hAnsi="Calibri"/>
                <w:sz w:val="14"/>
                <w:szCs w:val="14"/>
                <w:b w:val="1"/>
                <w:bCs w:val="1"/>
                <w:color w:val="auto"/>
              </w:rPr>
              <w:t>Securites registered pursuant to Secton 12(b) of the Act:</w:t>
            </w:r>
          </w:p>
        </w:tc>
        <w:tc>
          <w:tcPr>
            <w:tcW w:w="2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189"/>
        </w:trPr>
        <w:tc>
          <w:tcPr>
            <w:tcW w:w="4240" w:type="dxa"/>
            <w:vAlign w:val="bottom"/>
            <w:gridSpan w:val="3"/>
          </w:tcPr>
          <w:p>
            <w:pPr>
              <w:jc w:val="center"/>
              <w:ind w:right="520"/>
              <w:spacing w:after="0"/>
              <w:rPr>
                <w:sz w:val="20"/>
                <w:szCs w:val="20"/>
                <w:color w:val="auto"/>
              </w:rPr>
            </w:pPr>
            <w:r>
              <w:rPr>
                <w:rFonts w:ascii="Calibri" w:cs="Calibri" w:eastAsia="Calibri" w:hAnsi="Calibri"/>
                <w:sz w:val="14"/>
                <w:szCs w:val="14"/>
                <w:b w:val="1"/>
                <w:bCs w:val="1"/>
                <w:color w:val="auto"/>
              </w:rPr>
              <w:t>Title of each class</w:t>
            </w:r>
          </w:p>
        </w:tc>
        <w:tc>
          <w:tcPr>
            <w:tcW w:w="2900" w:type="dxa"/>
            <w:vAlign w:val="bottom"/>
          </w:tcPr>
          <w:p>
            <w:pPr>
              <w:jc w:val="center"/>
              <w:spacing w:after="0"/>
              <w:rPr>
                <w:sz w:val="20"/>
                <w:szCs w:val="20"/>
                <w:color w:val="auto"/>
              </w:rPr>
            </w:pPr>
            <w:r>
              <w:rPr>
                <w:rFonts w:ascii="Calibri" w:cs="Calibri" w:eastAsia="Calibri" w:hAnsi="Calibri"/>
                <w:sz w:val="14"/>
                <w:szCs w:val="14"/>
                <w:b w:val="1"/>
                <w:bCs w:val="1"/>
                <w:color w:val="auto"/>
              </w:rPr>
              <w:t>Trading Symbol(s)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r>
      <w:tr>
        <w:trPr>
          <w:trHeight w:val="170"/>
        </w:trPr>
        <w:tc>
          <w:tcPr>
            <w:tcW w:w="3720" w:type="dxa"/>
            <w:vAlign w:val="bottom"/>
            <w:tcBorders>
              <w:top w:val="single" w:sz="8" w:color="auto"/>
            </w:tcBorders>
          </w:tcPr>
          <w:p>
            <w:pPr>
              <w:jc w:val="center"/>
              <w:spacing w:after="0"/>
              <w:rPr>
                <w:sz w:val="20"/>
                <w:szCs w:val="20"/>
                <w:color w:val="auto"/>
              </w:rPr>
            </w:pPr>
            <w:r>
              <w:rPr>
                <w:rFonts w:ascii="Calibri" w:cs="Calibri" w:eastAsia="Calibri" w:hAnsi="Calibri"/>
                <w:sz w:val="14"/>
                <w:szCs w:val="14"/>
                <w:b w:val="1"/>
                <w:bCs w:val="1"/>
                <w:color w:val="auto"/>
              </w:rPr>
              <w:t>Common Stock (par value $.01 per share)</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900" w:type="dxa"/>
            <w:vAlign w:val="bottom"/>
            <w:tcBorders>
              <w:top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8"/>
              </w:rPr>
              <w:t>MLM</w:t>
            </w: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Calibri" w:cs="Calibri" w:eastAsia="Calibri" w:hAnsi="Calibri"/>
                <w:sz w:val="14"/>
                <w:szCs w:val="14"/>
                <w:b w:val="1"/>
                <w:bCs w:val="1"/>
                <w:color w:val="auto"/>
              </w:rPr>
              <w:t>New York Stock Exchange</w:t>
            </w:r>
          </w:p>
        </w:tc>
      </w:tr>
      <w:tr>
        <w:trPr>
          <w:trHeight w:val="188"/>
        </w:trPr>
        <w:tc>
          <w:tcPr>
            <w:tcW w:w="4240" w:type="dxa"/>
            <w:vAlign w:val="bottom"/>
            <w:gridSpan w:val="3"/>
          </w:tcPr>
          <w:p>
            <w:pPr>
              <w:spacing w:after="0"/>
              <w:rPr>
                <w:sz w:val="20"/>
                <w:szCs w:val="20"/>
                <w:color w:val="auto"/>
              </w:rPr>
            </w:pPr>
            <w:r>
              <w:rPr>
                <w:rFonts w:ascii="Calibri" w:cs="Calibri" w:eastAsia="Calibri" w:hAnsi="Calibri"/>
                <w:sz w:val="14"/>
                <w:szCs w:val="14"/>
                <w:color w:val="auto"/>
              </w:rPr>
              <w:t xml:space="preserve">Securites registered pursuant to Secton 12(g) of the Act: </w:t>
            </w:r>
            <w:r>
              <w:rPr>
                <w:rFonts w:ascii="Calibri" w:cs="Calibri" w:eastAsia="Calibri" w:hAnsi="Calibri"/>
                <w:sz w:val="14"/>
                <w:szCs w:val="14"/>
                <w:b w:val="1"/>
                <w:bCs w:val="1"/>
                <w:color w:val="auto"/>
              </w:rPr>
              <w:t>None</w:t>
            </w:r>
          </w:p>
        </w:tc>
        <w:tc>
          <w:tcPr>
            <w:tcW w:w="2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05"/>
        </w:trPr>
        <w:tc>
          <w:tcPr>
            <w:tcW w:w="7140" w:type="dxa"/>
            <w:vAlign w:val="bottom"/>
            <w:gridSpan w:val="4"/>
          </w:tcPr>
          <w:p>
            <w:pPr>
              <w:spacing w:after="0"/>
              <w:rPr>
                <w:sz w:val="20"/>
                <w:szCs w:val="20"/>
                <w:color w:val="auto"/>
              </w:rPr>
            </w:pPr>
            <w:r>
              <w:rPr>
                <w:rFonts w:ascii="Calibri" w:cs="Calibri" w:eastAsia="Calibri" w:hAnsi="Calibri"/>
                <w:sz w:val="14"/>
                <w:szCs w:val="14"/>
                <w:color w:val="auto"/>
              </w:rPr>
              <w:t>Indicate by check mark if the registrant is a well-known seasoned issuer, as defned in Rule 405 of the Securites Act.  YES</w:t>
            </w:r>
          </w:p>
        </w:tc>
        <w:tc>
          <w:tcPr>
            <w:tcW w:w="4100" w:type="dxa"/>
            <w:vAlign w:val="bottom"/>
            <w:gridSpan w:val="3"/>
          </w:tcPr>
          <w:p>
            <w:pPr>
              <w:ind w:left="40"/>
              <w:spacing w:after="0" w:line="208" w:lineRule="exact"/>
              <w:rPr>
                <w:sz w:val="20"/>
                <w:szCs w:val="20"/>
                <w:color w:val="auto"/>
              </w:rPr>
            </w:pPr>
            <w:r>
              <w:rPr>
                <w:rFonts w:ascii="MS PGothic" w:cs="MS PGothic" w:eastAsia="MS PGothic" w:hAnsi="MS PGothic"/>
                <w:sz w:val="17"/>
                <w:szCs w:val="17"/>
                <w:color w:val="auto"/>
              </w:rPr>
              <w:t>☒</w:t>
            </w:r>
            <w:r>
              <w:rPr>
                <w:rFonts w:ascii="Calibri" w:cs="Calibri" w:eastAsia="Calibri" w:hAnsi="Calibri"/>
                <w:sz w:val="14"/>
                <w:szCs w:val="14"/>
                <w:color w:val="auto"/>
              </w:rPr>
              <w:t xml:space="preserve"> NO  </w:t>
            </w:r>
            <w:r>
              <w:rPr>
                <w:rFonts w:ascii="MS PGothic" w:cs="MS PGothic" w:eastAsia="MS PGothic" w:hAnsi="MS PGothic"/>
                <w:sz w:val="17"/>
                <w:szCs w:val="17"/>
                <w:color w:val="auto"/>
              </w:rPr>
              <w:t>☐</w:t>
            </w:r>
          </w:p>
        </w:tc>
      </w:tr>
    </w:tbl>
    <w:p>
      <w:pPr>
        <w:spacing w:after="0" w:line="208" w:lineRule="exact"/>
        <w:rPr>
          <w:sz w:val="20"/>
          <w:szCs w:val="20"/>
          <w:color w:val="auto"/>
        </w:rPr>
      </w:pPr>
      <w:r>
        <w:rPr>
          <w:rFonts w:ascii="Calibri" w:cs="Calibri" w:eastAsia="Calibri" w:hAnsi="Calibri"/>
          <w:sz w:val="14"/>
          <w:szCs w:val="14"/>
          <w:color w:val="auto"/>
        </w:rPr>
        <w:t xml:space="preserve">Indicate by check mark if the registrant is not required to fle reports pursuant to Secton 13 or Secton 15(d) of the Exchange Act.  YES  </w:t>
      </w:r>
      <w:r>
        <w:rPr>
          <w:rFonts w:ascii="MS PGothic" w:cs="MS PGothic" w:eastAsia="MS PGothic" w:hAnsi="MS PGothic"/>
          <w:sz w:val="17"/>
          <w:szCs w:val="17"/>
          <w:color w:val="auto"/>
        </w:rPr>
        <w:t>☐</w:t>
      </w:r>
      <w:r>
        <w:rPr>
          <w:rFonts w:ascii="Calibri" w:cs="Calibri" w:eastAsia="Calibri" w:hAnsi="Calibri"/>
          <w:sz w:val="14"/>
          <w:szCs w:val="14"/>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jc w:val="both"/>
        <w:ind w:left="160" w:hanging="157"/>
        <w:spacing w:after="0" w:line="188"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jc w:val="both"/>
        <w:ind w:left="160" w:hanging="157"/>
        <w:spacing w:after="0" w:line="196"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jc w:val="both"/>
        <w:ind w:left="160" w:hanging="157"/>
        <w:spacing w:after="0" w:line="242"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a smaller reportng company, or emerging growth company. See the defnitons of “large accelerated fler,” “accelerated fler,” “smaller reportng company,” and “emerging growth company” in Rule 12b-2 of the Exchange Act.</w:t>
      </w:r>
    </w:p>
    <w:tbl>
      <w:tblPr>
        <w:tblLayout w:type="fixed"/>
        <w:tblInd w:w="20" w:type="dxa"/>
        <w:tblCellMar>
          <w:top w:w="0" w:type="dxa"/>
          <w:left w:w="0" w:type="dxa"/>
          <w:bottom w:w="0" w:type="dxa"/>
          <w:right w:w="0" w:type="dxa"/>
        </w:tblCellMar>
      </w:tblPr>
      <w:tr>
        <w:trPr>
          <w:trHeight w:val="142"/>
        </w:trPr>
        <w:tc>
          <w:tcPr>
            <w:tcW w:w="2060" w:type="dxa"/>
            <w:vAlign w:val="bottom"/>
            <w:vMerge w:val="restart"/>
          </w:tcPr>
          <w:p>
            <w:pPr>
              <w:spacing w:after="0"/>
              <w:rPr>
                <w:sz w:val="20"/>
                <w:szCs w:val="20"/>
                <w:color w:val="auto"/>
              </w:rPr>
            </w:pPr>
            <w:r>
              <w:rPr>
                <w:rFonts w:ascii="Calibri" w:cs="Calibri" w:eastAsia="Calibri" w:hAnsi="Calibri"/>
                <w:sz w:val="14"/>
                <w:szCs w:val="14"/>
                <w:color w:val="auto"/>
              </w:rPr>
              <w:t>Large accelerated fler</w:t>
            </w:r>
          </w:p>
        </w:tc>
        <w:tc>
          <w:tcPr>
            <w:tcW w:w="2240" w:type="dxa"/>
            <w:vAlign w:val="bottom"/>
          </w:tcPr>
          <w:p>
            <w:pPr>
              <w:ind w:left="740"/>
              <w:spacing w:after="0" w:line="142" w:lineRule="exact"/>
              <w:rPr>
                <w:sz w:val="20"/>
                <w:szCs w:val="20"/>
                <w:color w:val="auto"/>
              </w:rPr>
            </w:pPr>
            <w:r>
              <w:rPr>
                <w:rFonts w:ascii="MS PGothic" w:cs="MS PGothic" w:eastAsia="MS PGothic" w:hAnsi="MS PGothic"/>
                <w:sz w:val="18"/>
                <w:szCs w:val="18"/>
                <w:color w:val="auto"/>
              </w:rPr>
              <w:t>☒</w:t>
            </w:r>
          </w:p>
        </w:tc>
        <w:tc>
          <w:tcPr>
            <w:tcW w:w="3520" w:type="dxa"/>
            <w:vAlign w:val="bottom"/>
            <w:vMerge w:val="restart"/>
          </w:tcPr>
          <w:p>
            <w:pPr>
              <w:ind w:left="1320"/>
              <w:spacing w:after="0"/>
              <w:rPr>
                <w:sz w:val="20"/>
                <w:szCs w:val="20"/>
                <w:color w:val="auto"/>
              </w:rPr>
            </w:pPr>
            <w:r>
              <w:rPr>
                <w:rFonts w:ascii="Calibri" w:cs="Calibri" w:eastAsia="Calibri" w:hAnsi="Calibri"/>
                <w:sz w:val="14"/>
                <w:szCs w:val="14"/>
                <w:color w:val="auto"/>
              </w:rPr>
              <w:t>Accelerated fler</w:t>
            </w:r>
          </w:p>
        </w:tc>
        <w:tc>
          <w:tcPr>
            <w:tcW w:w="760" w:type="dxa"/>
            <w:vAlign w:val="bottom"/>
          </w:tcPr>
          <w:p>
            <w:pPr>
              <w:ind w:left="600"/>
              <w:spacing w:after="0" w:line="142"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
        </w:trPr>
        <w:tc>
          <w:tcPr>
            <w:tcW w:w="2060" w:type="dxa"/>
            <w:vAlign w:val="bottom"/>
            <w:vMerge w:val="continue"/>
          </w:tcPr>
          <w:p>
            <w:pPr>
              <w:spacing w:after="0"/>
              <w:rPr>
                <w:sz w:val="2"/>
                <w:szCs w:val="2"/>
                <w:color w:val="auto"/>
              </w:rPr>
            </w:pPr>
          </w:p>
        </w:tc>
        <w:tc>
          <w:tcPr>
            <w:tcW w:w="2240" w:type="dxa"/>
            <w:vAlign w:val="bottom"/>
            <w:vMerge w:val="restart"/>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vMerge w:val="continue"/>
          </w:tcPr>
          <w:p>
            <w:pPr>
              <w:spacing w:after="0"/>
              <w:rPr>
                <w:sz w:val="2"/>
                <w:szCs w:val="2"/>
                <w:color w:val="auto"/>
              </w:rPr>
            </w:pPr>
          </w:p>
        </w:tc>
        <w:tc>
          <w:tcPr>
            <w:tcW w:w="760" w:type="dxa"/>
            <w:vAlign w:val="bottom"/>
            <w:vMerge w:val="restart"/>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168"/>
        </w:trPr>
        <w:tc>
          <w:tcPr>
            <w:tcW w:w="2060" w:type="dxa"/>
            <w:vAlign w:val="bottom"/>
            <w:vMerge w:val="restart"/>
          </w:tcPr>
          <w:p>
            <w:pPr>
              <w:spacing w:after="0"/>
              <w:rPr>
                <w:sz w:val="20"/>
                <w:szCs w:val="20"/>
                <w:color w:val="auto"/>
              </w:rPr>
            </w:pPr>
            <w:r>
              <w:rPr>
                <w:rFonts w:ascii="Calibri" w:cs="Calibri" w:eastAsia="Calibri" w:hAnsi="Calibri"/>
                <w:sz w:val="14"/>
                <w:szCs w:val="14"/>
                <w:color w:val="auto"/>
              </w:rPr>
              <w:t>Non-accelerated fler</w:t>
            </w:r>
          </w:p>
        </w:tc>
        <w:tc>
          <w:tcPr>
            <w:tcW w:w="2240" w:type="dxa"/>
            <w:vAlign w:val="bottom"/>
            <w:vMerge w:val="continue"/>
          </w:tcPr>
          <w:p>
            <w:pPr>
              <w:spacing w:after="0"/>
              <w:rPr>
                <w:sz w:val="14"/>
                <w:szCs w:val="14"/>
                <w:color w:val="auto"/>
              </w:rPr>
            </w:pPr>
          </w:p>
        </w:tc>
        <w:tc>
          <w:tcPr>
            <w:tcW w:w="3520" w:type="dxa"/>
            <w:vAlign w:val="bottom"/>
            <w:vMerge w:val="restart"/>
          </w:tcPr>
          <w:p>
            <w:pPr>
              <w:ind w:left="1320"/>
              <w:spacing w:after="0"/>
              <w:rPr>
                <w:sz w:val="20"/>
                <w:szCs w:val="20"/>
                <w:color w:val="auto"/>
              </w:rPr>
            </w:pPr>
            <w:r>
              <w:rPr>
                <w:rFonts w:ascii="Calibri" w:cs="Calibri" w:eastAsia="Calibri" w:hAnsi="Calibri"/>
                <w:sz w:val="14"/>
                <w:szCs w:val="14"/>
                <w:color w:val="auto"/>
              </w:rPr>
              <w:t>Smaller reportng company</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vMerge w:val="continue"/>
          </w:tcPr>
          <w:p>
            <w:pPr>
              <w:spacing w:after="0"/>
              <w:rPr>
                <w:sz w:val="2"/>
                <w:szCs w:val="2"/>
                <w:color w:val="auto"/>
              </w:rPr>
            </w:pPr>
          </w:p>
        </w:tc>
        <w:tc>
          <w:tcPr>
            <w:tcW w:w="224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760" w:type="dxa"/>
            <w:vAlign w:val="bottom"/>
            <w:vMerge w:val="restart"/>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290"/>
        </w:trPr>
        <w:tc>
          <w:tcPr>
            <w:tcW w:w="2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20" w:type="dxa"/>
            <w:vAlign w:val="bottom"/>
          </w:tcPr>
          <w:p>
            <w:pPr>
              <w:ind w:left="1320"/>
              <w:spacing w:after="0"/>
              <w:rPr>
                <w:sz w:val="20"/>
                <w:szCs w:val="20"/>
                <w:color w:val="auto"/>
              </w:rPr>
            </w:pPr>
            <w:r>
              <w:rPr>
                <w:rFonts w:ascii="Calibri" w:cs="Calibri" w:eastAsia="Calibri" w:hAnsi="Calibri"/>
                <w:sz w:val="14"/>
                <w:szCs w:val="14"/>
                <w:color w:val="auto"/>
              </w:rPr>
              <w:t>Emerging growth company</w:t>
            </w: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160" w:hanging="157"/>
        <w:spacing w:after="0" w:line="181"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ind w:left="160" w:right="20" w:hanging="157"/>
        <w:spacing w:after="0" w:line="217" w:lineRule="exact"/>
        <w:rPr>
          <w:sz w:val="20"/>
          <w:szCs w:val="20"/>
          <w:color w:val="auto"/>
        </w:rPr>
      </w:pPr>
      <w:r>
        <w:rPr>
          <w:rFonts w:ascii="Calibri" w:cs="Calibri" w:eastAsia="Calibri" w:hAnsi="Calibri"/>
          <w:sz w:val="14"/>
          <w:szCs w:val="14"/>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7"/>
          <w:szCs w:val="17"/>
          <w:color w:val="auto"/>
        </w:rPr>
        <w:t>☒</w:t>
      </w:r>
    </w:p>
    <w:p>
      <w:pPr>
        <w:spacing w:after="0" w:line="12" w:lineRule="exact"/>
        <w:rPr>
          <w:sz w:val="24"/>
          <w:szCs w:val="24"/>
          <w:color w:val="auto"/>
        </w:rPr>
      </w:pPr>
    </w:p>
    <w:p>
      <w:pPr>
        <w:ind w:left="160" w:hanging="157"/>
        <w:spacing w:after="0" w:line="196" w:lineRule="exact"/>
        <w:rPr>
          <w:sz w:val="20"/>
          <w:szCs w:val="20"/>
          <w:color w:val="auto"/>
        </w:rPr>
      </w:pPr>
      <w:r>
        <w:rPr>
          <w:rFonts w:ascii="Calibri" w:cs="Calibri" w:eastAsia="Calibri" w:hAnsi="Calibri"/>
          <w:sz w:val="14"/>
          <w:szCs w:val="14"/>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left="160" w:hanging="157"/>
        <w:spacing w:after="0" w:line="196" w:lineRule="exact"/>
        <w:rPr>
          <w:sz w:val="20"/>
          <w:szCs w:val="20"/>
          <w:color w:val="auto"/>
        </w:rPr>
      </w:pPr>
      <w:r>
        <w:rPr>
          <w:rFonts w:ascii="Calibri" w:cs="Calibri" w:eastAsia="Calibri" w:hAnsi="Calibri"/>
          <w:sz w:val="14"/>
          <w:szCs w:val="14"/>
          <w:color w:val="auto"/>
        </w:rPr>
        <w:t xml:space="preserve">Indicate by check mark whether any of those error correctons are restatements that required a recovery analysis of incentve-based compensaton received by any of the registrant’s executve oﬃcers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1" w:lineRule="exact"/>
        <w:rPr>
          <w:sz w:val="20"/>
          <w:szCs w:val="20"/>
          <w:color w:val="auto"/>
        </w:rPr>
      </w:pPr>
      <w:r>
        <w:rPr>
          <w:rFonts w:ascii="Calibri" w:cs="Calibri" w:eastAsia="Calibri" w:hAnsi="Calibri"/>
          <w:sz w:val="14"/>
          <w:szCs w:val="14"/>
          <w:color w:val="auto"/>
        </w:rPr>
        <w:t xml:space="preserve">Indicate by check mark whether the registrant is a shell company (as defned in Rule 12b-2 of the Exchange Act).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rPr>
          <w:sz w:val="20"/>
          <w:szCs w:val="20"/>
          <w:color w:val="auto"/>
        </w:rPr>
      </w:pPr>
      <w:r>
        <w:rPr>
          <w:rFonts w:ascii="Calibri" w:cs="Calibri" w:eastAsia="Calibri" w:hAnsi="Calibri"/>
          <w:sz w:val="14"/>
          <w:szCs w:val="14"/>
          <w:color w:val="auto"/>
        </w:rPr>
        <w:t>As of June 30, 2024, the last business day of the registrant’s most recently completed second fscal quarter, the aggregate market value of the registrant’s common stock held by non-afliates</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460" w:type="dxa"/>
            <w:vAlign w:val="bottom"/>
            <w:gridSpan w:val="6"/>
          </w:tcPr>
          <w:p>
            <w:pPr>
              <w:ind w:left="160"/>
              <w:spacing w:after="0"/>
              <w:rPr>
                <w:sz w:val="20"/>
                <w:szCs w:val="20"/>
                <w:color w:val="auto"/>
              </w:rPr>
            </w:pPr>
            <w:r>
              <w:rPr>
                <w:rFonts w:ascii="Calibri" w:cs="Calibri" w:eastAsia="Calibri" w:hAnsi="Calibri"/>
                <w:sz w:val="14"/>
                <w:szCs w:val="14"/>
                <w:color w:val="auto"/>
              </w:rPr>
              <w:t xml:space="preserve">of the registrant was </w:t>
            </w:r>
            <w:r>
              <w:rPr>
                <w:rFonts w:ascii="Calibri" w:cs="Calibri" w:eastAsia="Calibri" w:hAnsi="Calibri"/>
                <w:sz w:val="14"/>
                <w:szCs w:val="14"/>
                <w:b w:val="1"/>
                <w:bCs w:val="1"/>
                <w:color w:val="auto"/>
              </w:rPr>
              <w:t>$29,035,890,412</w:t>
            </w:r>
            <w:r>
              <w:rPr>
                <w:rFonts w:ascii="Calibri" w:cs="Calibri" w:eastAsia="Calibri" w:hAnsi="Calibri"/>
                <w:sz w:val="14"/>
                <w:szCs w:val="14"/>
                <w:color w:val="auto"/>
              </w:rPr>
              <w:t xml:space="preserve"> based on the closing sale price as reported on the New York Stock Exchange.</w:t>
            </w:r>
          </w:p>
        </w:tc>
        <w:tc>
          <w:tcPr>
            <w:tcW w:w="3780" w:type="dxa"/>
            <w:vAlign w:val="bottom"/>
          </w:tcPr>
          <w:p>
            <w:pPr>
              <w:spacing w:after="0"/>
              <w:rPr>
                <w:sz w:val="14"/>
                <w:szCs w:val="14"/>
                <w:color w:val="auto"/>
              </w:rPr>
            </w:pPr>
          </w:p>
        </w:tc>
      </w:tr>
      <w:tr>
        <w:trPr>
          <w:trHeight w:val="256"/>
        </w:trPr>
        <w:tc>
          <w:tcPr>
            <w:tcW w:w="7460" w:type="dxa"/>
            <w:vAlign w:val="bottom"/>
            <w:gridSpan w:val="6"/>
          </w:tcPr>
          <w:p>
            <w:pPr>
              <w:spacing w:after="0"/>
              <w:rPr>
                <w:sz w:val="20"/>
                <w:szCs w:val="20"/>
                <w:color w:val="auto"/>
              </w:rPr>
            </w:pPr>
            <w:r>
              <w:rPr>
                <w:rFonts w:ascii="Calibri" w:cs="Calibri" w:eastAsia="Calibri" w:hAnsi="Calibri"/>
                <w:sz w:val="14"/>
                <w:szCs w:val="14"/>
                <w:color w:val="auto"/>
              </w:rPr>
              <w:t>Indicate the number of shares outstanding of each of the issuer’s classes of common stock on the latest practcable date.</w:t>
            </w:r>
          </w:p>
        </w:tc>
        <w:tc>
          <w:tcPr>
            <w:tcW w:w="3780" w:type="dxa"/>
            <w:vAlign w:val="bottom"/>
          </w:tcPr>
          <w:p>
            <w:pPr>
              <w:spacing w:after="0"/>
              <w:rPr>
                <w:sz w:val="22"/>
                <w:szCs w:val="22"/>
                <w:color w:val="auto"/>
              </w:rPr>
            </w:pPr>
          </w:p>
        </w:tc>
      </w:tr>
      <w:tr>
        <w:trPr>
          <w:trHeight w:val="189"/>
        </w:trPr>
        <w:tc>
          <w:tcPr>
            <w:tcW w:w="1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108"/>
              <w:spacing w:after="0"/>
              <w:rPr>
                <w:sz w:val="20"/>
                <w:szCs w:val="20"/>
                <w:color w:val="auto"/>
              </w:rPr>
            </w:pPr>
            <w:r>
              <w:rPr>
                <w:rFonts w:ascii="Calibri" w:cs="Calibri" w:eastAsia="Calibri" w:hAnsi="Calibri"/>
                <w:sz w:val="14"/>
                <w:szCs w:val="14"/>
                <w:color w:val="auto"/>
                <w:w w:val="98"/>
              </w:rPr>
              <w:t>Class</w:t>
            </w:r>
          </w:p>
        </w:tc>
        <w:tc>
          <w:tcPr>
            <w:tcW w:w="2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jc w:val="center"/>
              <w:ind w:right="1628"/>
              <w:spacing w:after="0"/>
              <w:rPr>
                <w:sz w:val="20"/>
                <w:szCs w:val="20"/>
                <w:color w:val="auto"/>
              </w:rPr>
            </w:pPr>
            <w:r>
              <w:rPr>
                <w:rFonts w:ascii="Calibri" w:cs="Calibri" w:eastAsia="Calibri" w:hAnsi="Calibri"/>
                <w:sz w:val="14"/>
                <w:szCs w:val="14"/>
                <w:color w:val="auto"/>
              </w:rPr>
              <w:t>Outstanding at February 17, 2025</w:t>
            </w:r>
          </w:p>
        </w:tc>
      </w:tr>
      <w:tr>
        <w:trPr>
          <w:trHeight w:val="170"/>
        </w:trPr>
        <w:tc>
          <w:tcPr>
            <w:tcW w:w="1320" w:type="dxa"/>
            <w:vAlign w:val="bottom"/>
          </w:tcPr>
          <w:p>
            <w:pPr>
              <w:spacing w:after="0"/>
              <w:rPr>
                <w:sz w:val="14"/>
                <w:szCs w:val="14"/>
                <w:color w:val="auto"/>
              </w:rPr>
            </w:pPr>
          </w:p>
        </w:tc>
        <w:tc>
          <w:tcPr>
            <w:tcW w:w="4320" w:type="dxa"/>
            <w:vAlign w:val="bottom"/>
            <w:gridSpan w:val="3"/>
          </w:tcPr>
          <w:p>
            <w:pPr>
              <w:jc w:val="center"/>
              <w:ind w:right="1248"/>
              <w:spacing w:after="0"/>
              <w:rPr>
                <w:sz w:val="20"/>
                <w:szCs w:val="20"/>
                <w:color w:val="auto"/>
              </w:rPr>
            </w:pPr>
            <w:r>
              <w:rPr>
                <w:rFonts w:ascii="Calibri" w:cs="Calibri" w:eastAsia="Calibri" w:hAnsi="Calibri"/>
                <w:sz w:val="14"/>
                <w:szCs w:val="14"/>
                <w:b w:val="1"/>
                <w:bCs w:val="1"/>
                <w:color w:val="auto"/>
              </w:rPr>
              <w:t>Common Stock, $.01 par value per share</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780" w:type="dxa"/>
            <w:vAlign w:val="bottom"/>
          </w:tcPr>
          <w:p>
            <w:pPr>
              <w:jc w:val="center"/>
              <w:ind w:right="1628"/>
              <w:spacing w:after="0"/>
              <w:rPr>
                <w:sz w:val="20"/>
                <w:szCs w:val="20"/>
                <w:color w:val="auto"/>
              </w:rPr>
            </w:pPr>
            <w:r>
              <w:rPr>
                <w:rFonts w:ascii="Calibri" w:cs="Calibri" w:eastAsia="Calibri" w:hAnsi="Calibri"/>
                <w:sz w:val="14"/>
                <w:szCs w:val="14"/>
                <w:b w:val="1"/>
                <w:bCs w:val="1"/>
                <w:color w:val="auto"/>
              </w:rPr>
              <w:t>60,974,146 shares</w:t>
            </w:r>
          </w:p>
        </w:tc>
      </w:tr>
      <w:tr>
        <w:trPr>
          <w:trHeight w:val="323"/>
        </w:trPr>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60" w:type="dxa"/>
            <w:vAlign w:val="bottom"/>
            <w:gridSpan w:val="3"/>
          </w:tcPr>
          <w:p>
            <w:pPr>
              <w:ind w:left="880"/>
              <w:spacing w:after="0"/>
              <w:rPr>
                <w:sz w:val="20"/>
                <w:szCs w:val="20"/>
                <w:color w:val="auto"/>
              </w:rPr>
            </w:pPr>
            <w:r>
              <w:rPr>
                <w:rFonts w:ascii="Calibri" w:cs="Calibri" w:eastAsia="Calibri" w:hAnsi="Calibri"/>
                <w:sz w:val="14"/>
                <w:szCs w:val="14"/>
                <w:b w:val="1"/>
                <w:bCs w:val="1"/>
                <w:color w:val="auto"/>
              </w:rPr>
              <w:t>DOCUMENTS INCORPORATED BY REFERENCE</w:t>
            </w:r>
          </w:p>
        </w:tc>
        <w:tc>
          <w:tcPr>
            <w:tcW w:w="3780" w:type="dxa"/>
            <w:vAlign w:val="bottom"/>
          </w:tcPr>
          <w:p>
            <w:pPr>
              <w:spacing w:after="0"/>
              <w:rPr>
                <w:sz w:val="24"/>
                <w:szCs w:val="24"/>
                <w:color w:val="auto"/>
              </w:rPr>
            </w:pPr>
          </w:p>
        </w:tc>
      </w:tr>
      <w:tr>
        <w:trPr>
          <w:trHeight w:val="243"/>
        </w:trPr>
        <w:tc>
          <w:tcPr>
            <w:tcW w:w="1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left="108"/>
              <w:spacing w:after="0"/>
              <w:rPr>
                <w:sz w:val="20"/>
                <w:szCs w:val="20"/>
                <w:color w:val="auto"/>
              </w:rPr>
            </w:pPr>
            <w:r>
              <w:rPr>
                <w:rFonts w:ascii="Calibri" w:cs="Calibri" w:eastAsia="Calibri" w:hAnsi="Calibri"/>
                <w:sz w:val="14"/>
                <w:szCs w:val="14"/>
                <w:color w:val="auto"/>
              </w:rPr>
              <w:t>Document</w:t>
            </w:r>
          </w:p>
        </w:tc>
        <w:tc>
          <w:tcPr>
            <w:tcW w:w="2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jc w:val="center"/>
              <w:ind w:right="1648"/>
              <w:spacing w:after="0"/>
              <w:rPr>
                <w:sz w:val="20"/>
                <w:szCs w:val="20"/>
                <w:color w:val="auto"/>
              </w:rPr>
            </w:pPr>
            <w:r>
              <w:rPr>
                <w:rFonts w:ascii="Calibri" w:cs="Calibri" w:eastAsia="Calibri" w:hAnsi="Calibri"/>
                <w:sz w:val="14"/>
                <w:szCs w:val="14"/>
                <w:color w:val="auto"/>
              </w:rPr>
              <w:t>Parts Into Which Incorporated</w:t>
            </w:r>
          </w:p>
        </w:tc>
      </w:tr>
      <w:tr>
        <w:trPr>
          <w:trHeight w:val="161"/>
        </w:trPr>
        <w:tc>
          <w:tcPr>
            <w:tcW w:w="5640" w:type="dxa"/>
            <w:vAlign w:val="bottom"/>
            <w:gridSpan w:val="4"/>
          </w:tcPr>
          <w:p>
            <w:pPr>
              <w:ind w:left="20"/>
              <w:spacing w:after="0" w:line="161" w:lineRule="exact"/>
              <w:rPr>
                <w:sz w:val="20"/>
                <w:szCs w:val="20"/>
                <w:color w:val="auto"/>
              </w:rPr>
            </w:pPr>
            <w:r>
              <w:rPr>
                <w:rFonts w:ascii="Calibri" w:cs="Calibri" w:eastAsia="Calibri" w:hAnsi="Calibri"/>
                <w:sz w:val="14"/>
                <w:szCs w:val="14"/>
                <w:color w:val="auto"/>
              </w:rPr>
              <w:t>Proxy Statement for the Annual Meetng of Shareholders to be held May 15, 2025 (Proxy</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780" w:type="dxa"/>
            <w:vAlign w:val="bottom"/>
          </w:tcPr>
          <w:p>
            <w:pPr>
              <w:jc w:val="center"/>
              <w:ind w:right="1648"/>
              <w:spacing w:after="0" w:line="161" w:lineRule="exact"/>
              <w:rPr>
                <w:sz w:val="20"/>
                <w:szCs w:val="20"/>
                <w:color w:val="auto"/>
              </w:rPr>
            </w:pPr>
            <w:r>
              <w:rPr>
                <w:rFonts w:ascii="Calibri" w:cs="Calibri" w:eastAsia="Calibri" w:hAnsi="Calibri"/>
                <w:sz w:val="14"/>
                <w:szCs w:val="14"/>
                <w:color w:val="auto"/>
              </w:rPr>
              <w:t>Part III</w:t>
            </w:r>
          </w:p>
        </w:tc>
      </w:tr>
      <w:tr>
        <w:trPr>
          <w:trHeight w:val="183"/>
        </w:trPr>
        <w:tc>
          <w:tcPr>
            <w:tcW w:w="132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auto"/>
              </w:rPr>
              <w:t>Statement)</w:t>
            </w:r>
          </w:p>
        </w:tc>
        <w:tc>
          <w:tcPr>
            <w:tcW w:w="7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r>
      <w:tr>
        <w:trPr>
          <w:trHeight w:val="547"/>
        </w:trPr>
        <w:tc>
          <w:tcPr>
            <w:tcW w:w="1320" w:type="dxa"/>
            <w:vAlign w:val="bottom"/>
          </w:tcPr>
          <w:p>
            <w:pPr>
              <w:ind w:left="100"/>
              <w:spacing w:after="0"/>
              <w:rPr>
                <w:sz w:val="20"/>
                <w:szCs w:val="20"/>
                <w:color w:val="auto"/>
              </w:rPr>
            </w:pPr>
            <w:r>
              <w:rPr>
                <w:rFonts w:ascii="Calibri" w:cs="Calibri" w:eastAsia="Calibri" w:hAnsi="Calibri"/>
                <w:sz w:val="14"/>
                <w:szCs w:val="14"/>
                <w:b w:val="1"/>
                <w:bCs w:val="1"/>
                <w:color w:val="auto"/>
              </w:rPr>
              <w:t>Auditor Firm Id:</w:t>
            </w:r>
          </w:p>
        </w:tc>
        <w:tc>
          <w:tcPr>
            <w:tcW w:w="740" w:type="dxa"/>
            <w:vAlign w:val="bottom"/>
          </w:tcPr>
          <w:p>
            <w:pPr>
              <w:jc w:val="right"/>
              <w:ind w:right="188"/>
              <w:spacing w:after="0"/>
              <w:rPr>
                <w:sz w:val="20"/>
                <w:szCs w:val="20"/>
                <w:color w:val="auto"/>
              </w:rPr>
            </w:pPr>
            <w:r>
              <w:rPr>
                <w:rFonts w:ascii="Calibri" w:cs="Calibri" w:eastAsia="Calibri" w:hAnsi="Calibri"/>
                <w:sz w:val="14"/>
                <w:szCs w:val="14"/>
                <w:b w:val="1"/>
                <w:bCs w:val="1"/>
                <w:color w:val="auto"/>
              </w:rPr>
              <w:t>238</w:t>
            </w:r>
          </w:p>
        </w:tc>
        <w:tc>
          <w:tcPr>
            <w:tcW w:w="1340" w:type="dxa"/>
            <w:vAlign w:val="bottom"/>
          </w:tcPr>
          <w:p>
            <w:pPr>
              <w:ind w:left="260"/>
              <w:spacing w:after="0"/>
              <w:rPr>
                <w:sz w:val="20"/>
                <w:szCs w:val="20"/>
                <w:color w:val="auto"/>
              </w:rPr>
            </w:pPr>
            <w:r>
              <w:rPr>
                <w:rFonts w:ascii="Calibri" w:cs="Calibri" w:eastAsia="Calibri" w:hAnsi="Calibri"/>
                <w:sz w:val="14"/>
                <w:szCs w:val="14"/>
                <w:b w:val="1"/>
                <w:bCs w:val="1"/>
                <w:color w:val="auto"/>
              </w:rPr>
              <w:t>Auditor Name:</w:t>
            </w:r>
          </w:p>
        </w:tc>
        <w:tc>
          <w:tcPr>
            <w:tcW w:w="2240" w:type="dxa"/>
            <w:vAlign w:val="bottom"/>
          </w:tcPr>
          <w:p>
            <w:pPr>
              <w:ind w:left="200"/>
              <w:spacing w:after="0"/>
              <w:rPr>
                <w:sz w:val="20"/>
                <w:szCs w:val="20"/>
                <w:color w:val="auto"/>
              </w:rPr>
            </w:pPr>
            <w:r>
              <w:rPr>
                <w:rFonts w:ascii="Calibri" w:cs="Calibri" w:eastAsia="Calibri" w:hAnsi="Calibri"/>
                <w:sz w:val="14"/>
                <w:szCs w:val="14"/>
                <w:b w:val="1"/>
                <w:bCs w:val="1"/>
                <w:color w:val="auto"/>
              </w:rPr>
              <w:t>PricewaterhouseCoopers LLP</w:t>
            </w:r>
          </w:p>
        </w:tc>
        <w:tc>
          <w:tcPr>
            <w:tcW w:w="100" w:type="dxa"/>
            <w:vAlign w:val="bottom"/>
          </w:tcPr>
          <w:p>
            <w:pPr>
              <w:spacing w:after="0"/>
              <w:rPr>
                <w:sz w:val="24"/>
                <w:szCs w:val="24"/>
                <w:color w:val="auto"/>
              </w:rPr>
            </w:pPr>
          </w:p>
        </w:tc>
        <w:tc>
          <w:tcPr>
            <w:tcW w:w="1720" w:type="dxa"/>
            <w:vAlign w:val="bottom"/>
          </w:tcPr>
          <w:p>
            <w:pPr>
              <w:ind w:left="620"/>
              <w:spacing w:after="0"/>
              <w:rPr>
                <w:sz w:val="20"/>
                <w:szCs w:val="20"/>
                <w:color w:val="auto"/>
              </w:rPr>
            </w:pPr>
            <w:r>
              <w:rPr>
                <w:rFonts w:ascii="Calibri" w:cs="Calibri" w:eastAsia="Calibri" w:hAnsi="Calibri"/>
                <w:sz w:val="14"/>
                <w:szCs w:val="14"/>
                <w:b w:val="1"/>
                <w:bCs w:val="1"/>
                <w:color w:val="auto"/>
              </w:rPr>
              <w:t>Auditor Locaton:</w:t>
            </w:r>
          </w:p>
        </w:tc>
        <w:tc>
          <w:tcPr>
            <w:tcW w:w="3780" w:type="dxa"/>
            <w:vAlign w:val="bottom"/>
          </w:tcPr>
          <w:p>
            <w:pPr>
              <w:ind w:left="620"/>
              <w:spacing w:after="0"/>
              <w:rPr>
                <w:sz w:val="20"/>
                <w:szCs w:val="20"/>
                <w:color w:val="auto"/>
              </w:rPr>
            </w:pPr>
            <w:r>
              <w:rPr>
                <w:rFonts w:ascii="Calibri" w:cs="Calibri" w:eastAsia="Calibri" w:hAnsi="Calibri"/>
                <w:sz w:val="14"/>
                <w:szCs w:val="14"/>
                <w:b w:val="1"/>
                <w:bCs w:val="1"/>
                <w:color w:val="auto"/>
              </w:rPr>
              <w:t>Raleigh, North Carolina, United States</w:t>
            </w:r>
          </w:p>
        </w:tc>
      </w:tr>
      <w:tr>
        <w:trPr>
          <w:trHeight w:val="257"/>
        </w:trPr>
        <w:tc>
          <w:tcPr>
            <w:tcW w:w="1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r>
      <w:tr>
        <w:trPr>
          <w:trHeight w:val="1006"/>
        </w:trPr>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type w:val="continuous"/>
        </w:sectPr>
      </w:pPr>
    </w:p>
    <w:bookmarkStart w:id="1" w:name="page2"/>
    <w:bookmarkEnd w:id="1"/>
    <w:p>
      <w:pPr>
        <w:jc w:val="center"/>
        <w:ind w:right="100"/>
        <w:spacing w:after="0"/>
        <w:rPr>
          <w:sz w:val="20"/>
          <w:szCs w:val="20"/>
          <w:color w:val="auto"/>
        </w:rPr>
      </w:pPr>
      <w:r>
        <w:rPr>
          <w:rFonts w:ascii="Calibri" w:cs="Calibri" w:eastAsia="Calibri" w:hAnsi="Calibri"/>
          <w:sz w:val="43"/>
          <w:szCs w:val="43"/>
          <w:color w:val="auto"/>
        </w:rPr>
        <w:t>TABLE OF CONTENTS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40" w:type="dxa"/>
            <w:vAlign w:val="bottom"/>
            <w:gridSpan w:val="5"/>
          </w:tcPr>
          <w:p>
            <w:pPr>
              <w:spacing w:after="0"/>
              <w:rPr>
                <w:sz w:val="20"/>
                <w:szCs w:val="20"/>
                <w:color w:val="auto"/>
              </w:rPr>
            </w:pPr>
            <w:r>
              <w:rPr>
                <w:rFonts w:ascii="Calibri" w:cs="Calibri" w:eastAsia="Calibri" w:hAnsi="Calibri"/>
                <w:sz w:val="20"/>
                <w:szCs w:val="20"/>
                <w:b w:val="1"/>
                <w:bCs w:val="1"/>
                <w:color w:val="007DC6"/>
              </w:rPr>
              <w:t>PART I</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7DC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w:t>
            </w:r>
          </w:p>
        </w:tc>
        <w:tc>
          <w:tcPr>
            <w:tcW w:w="640" w:type="dxa"/>
            <w:vAlign w:val="bottom"/>
            <w:tcBorders>
              <w:bottom w:val="single" w:sz="8" w:color="007DC6"/>
            </w:tcBorders>
            <w:gridSpan w:val="2"/>
          </w:tcPr>
          <w:p>
            <w:pPr>
              <w:spacing w:after="0"/>
              <w:rPr>
                <w:sz w:val="20"/>
                <w:szCs w:val="20"/>
                <w:color w:val="auto"/>
              </w:rPr>
            </w:pPr>
            <w:r>
              <w:rPr>
                <w:rFonts w:ascii="Calibri" w:cs="Calibri" w:eastAsia="Calibri" w:hAnsi="Calibri"/>
                <w:sz w:val="16"/>
                <w:szCs w:val="16"/>
                <w:b w:val="1"/>
                <w:bCs w:val="1"/>
                <w:color w:val="007DC6"/>
                <w:w w:val="95"/>
              </w:rPr>
              <w:t>BUSINESS</w:t>
            </w:r>
          </w:p>
        </w:tc>
        <w:tc>
          <w:tcPr>
            <w:tcW w:w="6840" w:type="dxa"/>
            <w:vAlign w:val="bottom"/>
            <w:gridSpan w:val="24"/>
          </w:tcPr>
          <w:p>
            <w:pPr>
              <w:spacing w:after="0"/>
              <w:rPr>
                <w:sz w:val="22"/>
                <w:szCs w:val="22"/>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1A.</w:t>
            </w:r>
          </w:p>
        </w:tc>
        <w:tc>
          <w:tcPr>
            <w:tcW w:w="940" w:type="dxa"/>
            <w:vAlign w:val="bottom"/>
            <w:tcBorders>
              <w:bottom w:val="single" w:sz="8" w:color="007DC6"/>
            </w:tcBorders>
            <w:gridSpan w:val="5"/>
          </w:tcPr>
          <w:p>
            <w:pPr>
              <w:spacing w:after="0"/>
              <w:rPr>
                <w:sz w:val="20"/>
                <w:szCs w:val="20"/>
                <w:color w:val="auto"/>
              </w:rPr>
            </w:pPr>
            <w:r>
              <w:rPr>
                <w:rFonts w:ascii="Calibri" w:cs="Calibri" w:eastAsia="Calibri" w:hAnsi="Calibri"/>
                <w:sz w:val="16"/>
                <w:szCs w:val="16"/>
                <w:b w:val="1"/>
                <w:bCs w:val="1"/>
                <w:color w:val="007DC6"/>
                <w:w w:val="97"/>
              </w:rPr>
              <w:t>RISK FACTORS</w:t>
            </w:r>
          </w:p>
        </w:tc>
        <w:tc>
          <w:tcPr>
            <w:tcW w:w="6540" w:type="dxa"/>
            <w:vAlign w:val="bottom"/>
            <w:gridSpan w:val="21"/>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13</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1B.</w:t>
            </w:r>
          </w:p>
        </w:tc>
        <w:tc>
          <w:tcPr>
            <w:tcW w:w="2200" w:type="dxa"/>
            <w:vAlign w:val="bottom"/>
            <w:tcBorders>
              <w:bottom w:val="single" w:sz="8" w:color="007DC6"/>
            </w:tcBorders>
            <w:gridSpan w:val="15"/>
          </w:tcPr>
          <w:p>
            <w:pPr>
              <w:spacing w:after="0"/>
              <w:rPr>
                <w:sz w:val="20"/>
                <w:szCs w:val="20"/>
                <w:color w:val="auto"/>
              </w:rPr>
            </w:pPr>
            <w:r>
              <w:rPr>
                <w:rFonts w:ascii="Calibri" w:cs="Calibri" w:eastAsia="Calibri" w:hAnsi="Calibri"/>
                <w:sz w:val="16"/>
                <w:szCs w:val="16"/>
                <w:b w:val="1"/>
                <w:bCs w:val="1"/>
                <w:color w:val="007DC6"/>
                <w:w w:val="99"/>
              </w:rPr>
              <w:t>UNRESOLVED STAFF COMMENTS</w:t>
            </w:r>
          </w:p>
        </w:tc>
        <w:tc>
          <w:tcPr>
            <w:tcW w:w="5280" w:type="dxa"/>
            <w:vAlign w:val="bottom"/>
            <w:gridSpan w:val="11"/>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25</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1C.</w:t>
            </w:r>
          </w:p>
        </w:tc>
        <w:tc>
          <w:tcPr>
            <w:tcW w:w="1060" w:type="dxa"/>
            <w:vAlign w:val="bottom"/>
            <w:tcBorders>
              <w:bottom w:val="single" w:sz="8" w:color="007DC6"/>
            </w:tcBorders>
            <w:gridSpan w:val="6"/>
          </w:tcPr>
          <w:p>
            <w:pPr>
              <w:spacing w:after="0"/>
              <w:rPr>
                <w:sz w:val="20"/>
                <w:szCs w:val="20"/>
                <w:color w:val="auto"/>
              </w:rPr>
            </w:pPr>
            <w:r>
              <w:rPr>
                <w:rFonts w:ascii="Calibri" w:cs="Calibri" w:eastAsia="Calibri" w:hAnsi="Calibri"/>
                <w:sz w:val="16"/>
                <w:szCs w:val="16"/>
                <w:b w:val="1"/>
                <w:bCs w:val="1"/>
                <w:color w:val="007DC6"/>
                <w:w w:val="97"/>
              </w:rPr>
              <w:t>CYBERSECURITY</w:t>
            </w:r>
          </w:p>
        </w:tc>
        <w:tc>
          <w:tcPr>
            <w:tcW w:w="6420" w:type="dxa"/>
            <w:vAlign w:val="bottom"/>
            <w:gridSpan w:val="20"/>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26</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2.</w:t>
            </w:r>
          </w:p>
        </w:tc>
        <w:tc>
          <w:tcPr>
            <w:tcW w:w="7480" w:type="dxa"/>
            <w:vAlign w:val="bottom"/>
            <w:gridSpan w:val="26"/>
          </w:tcPr>
          <w:p>
            <w:pPr>
              <w:spacing w:after="0"/>
              <w:rPr>
                <w:sz w:val="20"/>
                <w:szCs w:val="20"/>
                <w:color w:val="auto"/>
              </w:rPr>
            </w:pPr>
            <w:r>
              <w:rPr>
                <w:rFonts w:ascii="Calibri" w:cs="Calibri" w:eastAsia="Calibri" w:hAnsi="Calibri"/>
                <w:sz w:val="16"/>
                <w:szCs w:val="16"/>
                <w:b w:val="1"/>
                <w:bCs w:val="1"/>
                <w:color w:val="007DC6"/>
              </w:rPr>
              <w:t>PROPERTIES</w:t>
            </w:r>
          </w:p>
        </w:tc>
        <w:tc>
          <w:tcPr>
            <w:tcW w:w="1600" w:type="dxa"/>
            <w:vAlign w:val="bottom"/>
          </w:tcPr>
          <w:p>
            <w:pPr>
              <w:jc w:val="right"/>
              <w:spacing w:after="0"/>
              <w:rPr>
                <w:sz w:val="20"/>
                <w:szCs w:val="20"/>
                <w:color w:val="auto"/>
              </w:rPr>
            </w:pPr>
            <w:r>
              <w:rPr>
                <w:rFonts w:ascii="Calibri" w:cs="Calibri" w:eastAsia="Calibri" w:hAnsi="Calibri"/>
                <w:sz w:val="16"/>
                <w:szCs w:val="16"/>
                <w:color w:val="auto"/>
              </w:rPr>
              <w:t>27</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right w:val="single" w:sz="8" w:color="007DC6"/>
            </w:tcBorders>
          </w:tcPr>
          <w:p>
            <w:pPr>
              <w:spacing w:after="0" w:line="20" w:lineRule="exact"/>
              <w:rPr>
                <w:sz w:val="1"/>
                <w:szCs w:val="1"/>
                <w:color w:val="auto"/>
              </w:rPr>
            </w:pPr>
          </w:p>
        </w:tc>
        <w:tc>
          <w:tcPr>
            <w:tcW w:w="620" w:type="dxa"/>
            <w:vAlign w:val="bottom"/>
            <w:shd w:val="clear" w:color="auto" w:fill="007DC6"/>
          </w:tcPr>
          <w:p>
            <w:pPr>
              <w:spacing w:after="0" w:line="20" w:lineRule="exact"/>
              <w:rPr>
                <w:sz w:val="1"/>
                <w:szCs w:val="1"/>
                <w:color w:val="auto"/>
              </w:rPr>
            </w:pPr>
          </w:p>
        </w:tc>
        <w:tc>
          <w:tcPr>
            <w:tcW w:w="60" w:type="dxa"/>
            <w:vAlign w:val="bottom"/>
            <w:gridSpan w:val="2"/>
            <w:shd w:val="clear" w:color="auto" w:fill="007DC6"/>
          </w:tcPr>
          <w:p>
            <w:pPr>
              <w:spacing w:after="0" w:line="20" w:lineRule="exact"/>
              <w:rPr>
                <w:sz w:val="1"/>
                <w:szCs w:val="1"/>
                <w:color w:val="auto"/>
              </w:rPr>
            </w:pPr>
          </w:p>
        </w:tc>
        <w:tc>
          <w:tcPr>
            <w:tcW w:w="120" w:type="dxa"/>
            <w:vAlign w:val="bottom"/>
            <w:shd w:val="clear" w:color="auto" w:fill="007DC6"/>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3.</w:t>
            </w:r>
          </w:p>
        </w:tc>
        <w:tc>
          <w:tcPr>
            <w:tcW w:w="1400" w:type="dxa"/>
            <w:vAlign w:val="bottom"/>
            <w:tcBorders>
              <w:bottom w:val="single" w:sz="8" w:color="007DC6"/>
            </w:tcBorders>
            <w:gridSpan w:val="8"/>
          </w:tcPr>
          <w:p>
            <w:pPr>
              <w:spacing w:after="0"/>
              <w:rPr>
                <w:sz w:val="20"/>
                <w:szCs w:val="20"/>
                <w:color w:val="auto"/>
              </w:rPr>
            </w:pPr>
            <w:r>
              <w:rPr>
                <w:rFonts w:ascii="Calibri" w:cs="Calibri" w:eastAsia="Calibri" w:hAnsi="Calibri"/>
                <w:sz w:val="16"/>
                <w:szCs w:val="16"/>
                <w:b w:val="1"/>
                <w:bCs w:val="1"/>
                <w:color w:val="007DC6"/>
                <w:w w:val="98"/>
              </w:rPr>
              <w:t>LEGAL PROCEEDINGS</w:t>
            </w:r>
          </w:p>
        </w:tc>
        <w:tc>
          <w:tcPr>
            <w:tcW w:w="6080" w:type="dxa"/>
            <w:vAlign w:val="bottom"/>
            <w:gridSpan w:val="18"/>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31</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4.</w:t>
            </w:r>
          </w:p>
        </w:tc>
        <w:tc>
          <w:tcPr>
            <w:tcW w:w="1840" w:type="dxa"/>
            <w:vAlign w:val="bottom"/>
            <w:tcBorders>
              <w:bottom w:val="single" w:sz="8" w:color="007DC6"/>
            </w:tcBorders>
            <w:gridSpan w:val="11"/>
          </w:tcPr>
          <w:p>
            <w:pPr>
              <w:spacing w:after="0"/>
              <w:rPr>
                <w:sz w:val="20"/>
                <w:szCs w:val="20"/>
                <w:color w:val="auto"/>
              </w:rPr>
            </w:pPr>
            <w:r>
              <w:rPr>
                <w:rFonts w:ascii="Calibri" w:cs="Calibri" w:eastAsia="Calibri" w:hAnsi="Calibri"/>
                <w:sz w:val="16"/>
                <w:szCs w:val="16"/>
                <w:b w:val="1"/>
                <w:bCs w:val="1"/>
                <w:color w:val="007DC6"/>
                <w:w w:val="99"/>
              </w:rPr>
              <w:t>MINE SAFETY DISCLOSURES</w:t>
            </w:r>
          </w:p>
        </w:tc>
        <w:tc>
          <w:tcPr>
            <w:tcW w:w="5640" w:type="dxa"/>
            <w:vAlign w:val="bottom"/>
            <w:gridSpan w:val="15"/>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31</w:t>
            </w:r>
          </w:p>
        </w:tc>
      </w:tr>
      <w:tr>
        <w:trPr>
          <w:trHeight w:val="412"/>
        </w:trPr>
        <w:tc>
          <w:tcPr>
            <w:tcW w:w="20" w:type="dxa"/>
            <w:vAlign w:val="bottom"/>
          </w:tcPr>
          <w:p>
            <w:pPr>
              <w:spacing w:after="0"/>
              <w:rPr>
                <w:sz w:val="24"/>
                <w:szCs w:val="24"/>
                <w:color w:val="auto"/>
              </w:rPr>
            </w:pPr>
          </w:p>
        </w:tc>
        <w:tc>
          <w:tcPr>
            <w:tcW w:w="9620" w:type="dxa"/>
            <w:vAlign w:val="bottom"/>
            <w:gridSpan w:val="31"/>
          </w:tcPr>
          <w:p>
            <w:pPr>
              <w:spacing w:after="0"/>
              <w:rPr>
                <w:sz w:val="20"/>
                <w:szCs w:val="20"/>
                <w:color w:val="auto"/>
              </w:rPr>
            </w:pPr>
            <w:r>
              <w:rPr>
                <w:rFonts w:ascii="Calibri" w:cs="Calibri" w:eastAsia="Calibri" w:hAnsi="Calibri"/>
                <w:sz w:val="20"/>
                <w:szCs w:val="20"/>
                <w:b w:val="1"/>
                <w:bCs w:val="1"/>
                <w:color w:val="007DC6"/>
              </w:rPr>
              <w:t>INFORMATION ABOUT OUR EXECUTIVE OFFICERS</w:t>
            </w:r>
          </w:p>
        </w:tc>
        <w:tc>
          <w:tcPr>
            <w:tcW w:w="1600" w:type="dxa"/>
            <w:vAlign w:val="bottom"/>
          </w:tcPr>
          <w:p>
            <w:pPr>
              <w:jc w:val="right"/>
              <w:spacing w:after="0"/>
              <w:rPr>
                <w:sz w:val="20"/>
                <w:szCs w:val="20"/>
                <w:color w:val="auto"/>
              </w:rPr>
            </w:pPr>
            <w:r>
              <w:rPr>
                <w:rFonts w:ascii="Calibri" w:cs="Calibri" w:eastAsia="Calibri" w:hAnsi="Calibri"/>
                <w:sz w:val="16"/>
                <w:szCs w:val="16"/>
                <w:color w:val="auto"/>
              </w:rPr>
              <w:t>31</w:t>
            </w:r>
          </w:p>
        </w:tc>
      </w:tr>
      <w:tr>
        <w:trPr>
          <w:trHeight w:val="425"/>
        </w:trPr>
        <w:tc>
          <w:tcPr>
            <w:tcW w:w="20" w:type="dxa"/>
            <w:vAlign w:val="bottom"/>
          </w:tcPr>
          <w:p>
            <w:pPr>
              <w:spacing w:after="0"/>
              <w:rPr>
                <w:sz w:val="24"/>
                <w:szCs w:val="24"/>
                <w:color w:val="auto"/>
              </w:rPr>
            </w:pPr>
          </w:p>
        </w:tc>
        <w:tc>
          <w:tcPr>
            <w:tcW w:w="600" w:type="dxa"/>
            <w:vAlign w:val="bottom"/>
            <w:tcBorders>
              <w:top w:val="single" w:sz="8" w:color="007DC6"/>
              <w:bottom w:val="single" w:sz="8" w:color="007DC6"/>
            </w:tcBorders>
            <w:gridSpan w:val="2"/>
          </w:tcPr>
          <w:p>
            <w:pPr>
              <w:spacing w:after="0"/>
              <w:rPr>
                <w:sz w:val="20"/>
                <w:szCs w:val="20"/>
                <w:color w:val="auto"/>
              </w:rPr>
            </w:pPr>
            <w:r>
              <w:rPr>
                <w:rFonts w:ascii="Calibri" w:cs="Calibri" w:eastAsia="Calibri" w:hAnsi="Calibri"/>
                <w:sz w:val="20"/>
                <w:szCs w:val="20"/>
                <w:b w:val="1"/>
                <w:bCs w:val="1"/>
                <w:color w:val="007DC6"/>
                <w:w w:val="98"/>
              </w:rPr>
              <w:t>PART II</w:t>
            </w:r>
          </w:p>
        </w:tc>
        <w:tc>
          <w:tcPr>
            <w:tcW w:w="1540" w:type="dxa"/>
            <w:vAlign w:val="bottom"/>
            <w:tcBorders>
              <w:top w:val="single" w:sz="8" w:color="007DC6"/>
            </w:tcBorders>
            <w:gridSpan w:val="3"/>
          </w:tcPr>
          <w:p>
            <w:pPr>
              <w:spacing w:after="0"/>
              <w:rPr>
                <w:sz w:val="24"/>
                <w:szCs w:val="24"/>
                <w:color w:val="auto"/>
              </w:rPr>
            </w:pPr>
          </w:p>
        </w:tc>
        <w:tc>
          <w:tcPr>
            <w:tcW w:w="6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30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32</w:t>
            </w:r>
          </w:p>
        </w:tc>
      </w:tr>
      <w:tr>
        <w:trPr>
          <w:trHeight w:val="263"/>
        </w:trPr>
        <w:tc>
          <w:tcPr>
            <w:tcW w:w="20" w:type="dxa"/>
            <w:vAlign w:val="bottom"/>
          </w:tcPr>
          <w:p>
            <w:pPr>
              <w:spacing w:after="0"/>
              <w:rPr>
                <w:sz w:val="22"/>
                <w:szCs w:val="22"/>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5.</w:t>
            </w:r>
          </w:p>
        </w:tc>
        <w:tc>
          <w:tcPr>
            <w:tcW w:w="7480" w:type="dxa"/>
            <w:vAlign w:val="bottom"/>
            <w:tcBorders>
              <w:bottom w:val="single" w:sz="8" w:color="007DC6"/>
            </w:tcBorders>
            <w:gridSpan w:val="26"/>
          </w:tcPr>
          <w:p>
            <w:pPr>
              <w:spacing w:after="0"/>
              <w:rPr>
                <w:sz w:val="20"/>
                <w:szCs w:val="20"/>
                <w:color w:val="auto"/>
              </w:rPr>
            </w:pPr>
            <w:r>
              <w:rPr>
                <w:rFonts w:ascii="Calibri" w:cs="Calibri" w:eastAsia="Calibri" w:hAnsi="Calibri"/>
                <w:sz w:val="16"/>
                <w:szCs w:val="16"/>
                <w:b w:val="1"/>
                <w:bCs w:val="1"/>
                <w:color w:val="007DC6"/>
              </w:rPr>
              <w:t>MARKET FOR REGISTRANT’S COMMON EQUITY, RELATED STOCKHOLDER MATTERS AND ISSUER PURCHASES OF</w:t>
            </w:r>
          </w:p>
        </w:tc>
        <w:tc>
          <w:tcPr>
            <w:tcW w:w="1600" w:type="dxa"/>
            <w:vAlign w:val="bottom"/>
          </w:tcPr>
          <w:p>
            <w:pPr>
              <w:spacing w:after="0"/>
              <w:rPr>
                <w:sz w:val="22"/>
                <w:szCs w:val="22"/>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80" w:type="dxa"/>
            <w:vAlign w:val="bottom"/>
            <w:gridSpan w:val="26"/>
          </w:tcPr>
          <w:p>
            <w:pPr>
              <w:spacing w:after="0" w:line="183" w:lineRule="exact"/>
              <w:rPr>
                <w:sz w:val="20"/>
                <w:szCs w:val="20"/>
                <w:color w:val="auto"/>
              </w:rPr>
            </w:pPr>
            <w:r>
              <w:rPr>
                <w:rFonts w:ascii="Calibri" w:cs="Calibri" w:eastAsia="Calibri" w:hAnsi="Calibri"/>
                <w:sz w:val="16"/>
                <w:szCs w:val="16"/>
                <w:b w:val="1"/>
                <w:bCs w:val="1"/>
                <w:color w:val="007DC6"/>
              </w:rPr>
              <w:t>EQUITY SECURITIES</w:t>
            </w:r>
          </w:p>
        </w:tc>
        <w:tc>
          <w:tcPr>
            <w:tcW w:w="1600" w:type="dxa"/>
            <w:vAlign w:val="bottom"/>
          </w:tcPr>
          <w:p>
            <w:pPr>
              <w:jc w:val="right"/>
              <w:spacing w:after="0" w:line="183" w:lineRule="exact"/>
              <w:rPr>
                <w:sz w:val="20"/>
                <w:szCs w:val="20"/>
                <w:color w:val="auto"/>
              </w:rPr>
            </w:pPr>
            <w:r>
              <w:rPr>
                <w:rFonts w:ascii="Calibri" w:cs="Calibri" w:eastAsia="Calibri" w:hAnsi="Calibri"/>
                <w:sz w:val="16"/>
                <w:szCs w:val="16"/>
                <w:color w:val="auto"/>
              </w:rPr>
              <w:t>32</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6.</w:t>
            </w:r>
          </w:p>
        </w:tc>
        <w:tc>
          <w:tcPr>
            <w:tcW w:w="680" w:type="dxa"/>
            <w:vAlign w:val="bottom"/>
            <w:tcBorders>
              <w:top w:val="single" w:sz="8" w:color="007DC6"/>
              <w:bottom w:val="single" w:sz="8" w:color="007DC6"/>
            </w:tcBorders>
            <w:gridSpan w:val="3"/>
          </w:tcPr>
          <w:p>
            <w:pPr>
              <w:spacing w:after="0"/>
              <w:rPr>
                <w:sz w:val="20"/>
                <w:szCs w:val="20"/>
                <w:color w:val="auto"/>
              </w:rPr>
            </w:pPr>
            <w:r>
              <w:rPr>
                <w:rFonts w:ascii="Calibri" w:cs="Calibri" w:eastAsia="Calibri" w:hAnsi="Calibri"/>
                <w:sz w:val="16"/>
                <w:szCs w:val="16"/>
                <w:b w:val="1"/>
                <w:bCs w:val="1"/>
                <w:color w:val="007DC6"/>
                <w:w w:val="96"/>
              </w:rPr>
              <w:t>RESERVED</w:t>
            </w:r>
          </w:p>
        </w:tc>
        <w:tc>
          <w:tcPr>
            <w:tcW w:w="600" w:type="dxa"/>
            <w:vAlign w:val="bottom"/>
            <w:tcBorders>
              <w:top w:val="single" w:sz="8" w:color="007DC6"/>
            </w:tcBorders>
            <w:gridSpan w:val="4"/>
          </w:tcPr>
          <w:p>
            <w:pPr>
              <w:spacing w:after="0"/>
              <w:rPr>
                <w:sz w:val="21"/>
                <w:szCs w:val="21"/>
                <w:color w:val="auto"/>
              </w:rPr>
            </w:pPr>
          </w:p>
        </w:tc>
        <w:tc>
          <w:tcPr>
            <w:tcW w:w="6200" w:type="dxa"/>
            <w:vAlign w:val="bottom"/>
            <w:gridSpan w:val="19"/>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33</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7.</w:t>
            </w:r>
          </w:p>
        </w:tc>
        <w:tc>
          <w:tcPr>
            <w:tcW w:w="7480" w:type="dxa"/>
            <w:vAlign w:val="bottom"/>
            <w:gridSpan w:val="26"/>
          </w:tcPr>
          <w:p>
            <w:pPr>
              <w:spacing w:after="0"/>
              <w:rPr>
                <w:sz w:val="20"/>
                <w:szCs w:val="20"/>
                <w:color w:val="auto"/>
              </w:rPr>
            </w:pPr>
            <w:r>
              <w:rPr>
                <w:rFonts w:ascii="Calibri" w:cs="Calibri" w:eastAsia="Calibri" w:hAnsi="Calibri"/>
                <w:sz w:val="16"/>
                <w:szCs w:val="16"/>
                <w:b w:val="1"/>
                <w:bCs w:val="1"/>
                <w:color w:val="007DC6"/>
              </w:rPr>
              <w:t>MANAGEMENT’S DISCUSSION AND ANALYSIS OF FINANCIAL CONDITION AND RESULTS OF OPERATIONS</w:t>
            </w:r>
          </w:p>
        </w:tc>
        <w:tc>
          <w:tcPr>
            <w:tcW w:w="1600" w:type="dxa"/>
            <w:vAlign w:val="bottom"/>
          </w:tcPr>
          <w:p>
            <w:pPr>
              <w:jc w:val="right"/>
              <w:spacing w:after="0"/>
              <w:rPr>
                <w:sz w:val="20"/>
                <w:szCs w:val="20"/>
                <w:color w:val="auto"/>
              </w:rPr>
            </w:pPr>
            <w:r>
              <w:rPr>
                <w:rFonts w:ascii="Calibri" w:cs="Calibri" w:eastAsia="Calibri" w:hAnsi="Calibri"/>
                <w:sz w:val="16"/>
                <w:szCs w:val="16"/>
                <w:color w:val="auto"/>
              </w:rPr>
              <w:t>34</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7A.</w:t>
            </w:r>
          </w:p>
        </w:tc>
        <w:tc>
          <w:tcPr>
            <w:tcW w:w="4720" w:type="dxa"/>
            <w:vAlign w:val="bottom"/>
            <w:tcBorders>
              <w:top w:val="single" w:sz="8" w:color="007DC6"/>
              <w:bottom w:val="single" w:sz="8" w:color="007DC6"/>
            </w:tcBorders>
            <w:gridSpan w:val="20"/>
          </w:tcPr>
          <w:p>
            <w:pPr>
              <w:spacing w:after="0"/>
              <w:rPr>
                <w:sz w:val="20"/>
                <w:szCs w:val="20"/>
                <w:color w:val="auto"/>
              </w:rPr>
            </w:pPr>
            <w:r>
              <w:rPr>
                <w:rFonts w:ascii="Calibri" w:cs="Calibri" w:eastAsia="Calibri" w:hAnsi="Calibri"/>
                <w:sz w:val="16"/>
                <w:szCs w:val="16"/>
                <w:b w:val="1"/>
                <w:bCs w:val="1"/>
                <w:color w:val="007DC6"/>
              </w:rPr>
              <w:t>QUANTITATIVE AND QUALITATIVE DISCLOSURES ABOUT MARKET RISK</w:t>
            </w:r>
          </w:p>
        </w:tc>
        <w:tc>
          <w:tcPr>
            <w:tcW w:w="2200" w:type="dxa"/>
            <w:vAlign w:val="bottom"/>
            <w:tcBorders>
              <w:top w:val="single" w:sz="8" w:color="007DC6"/>
            </w:tcBorders>
            <w:gridSpan w:val="3"/>
          </w:tcPr>
          <w:p>
            <w:pPr>
              <w:spacing w:after="0"/>
              <w:rPr>
                <w:sz w:val="21"/>
                <w:szCs w:val="21"/>
                <w:color w:val="auto"/>
              </w:rPr>
            </w:pPr>
          </w:p>
        </w:tc>
        <w:tc>
          <w:tcPr>
            <w:tcW w:w="560" w:type="dxa"/>
            <w:vAlign w:val="bottom"/>
            <w:gridSpan w:val="3"/>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62</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8.</w:t>
            </w:r>
          </w:p>
        </w:tc>
        <w:tc>
          <w:tcPr>
            <w:tcW w:w="3620" w:type="dxa"/>
            <w:vAlign w:val="bottom"/>
            <w:tcBorders>
              <w:bottom w:val="single" w:sz="8" w:color="007DC6"/>
            </w:tcBorders>
            <w:gridSpan w:val="18"/>
          </w:tcPr>
          <w:p>
            <w:pPr>
              <w:spacing w:after="0"/>
              <w:rPr>
                <w:sz w:val="20"/>
                <w:szCs w:val="20"/>
                <w:color w:val="auto"/>
              </w:rPr>
            </w:pPr>
            <w:r>
              <w:rPr>
                <w:rFonts w:ascii="Calibri" w:cs="Calibri" w:eastAsia="Calibri" w:hAnsi="Calibri"/>
                <w:sz w:val="16"/>
                <w:szCs w:val="16"/>
                <w:b w:val="1"/>
                <w:bCs w:val="1"/>
                <w:color w:val="007DC6"/>
              </w:rPr>
              <w:t>FINANCIAL STATEMENTS AND SUPPLEMENTARY DATA</w:t>
            </w:r>
          </w:p>
        </w:tc>
        <w:tc>
          <w:tcPr>
            <w:tcW w:w="3860" w:type="dxa"/>
            <w:vAlign w:val="bottom"/>
            <w:gridSpan w:val="8"/>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63</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9.</w:t>
            </w:r>
          </w:p>
        </w:tc>
        <w:tc>
          <w:tcPr>
            <w:tcW w:w="7480" w:type="dxa"/>
            <w:vAlign w:val="bottom"/>
            <w:gridSpan w:val="26"/>
          </w:tcPr>
          <w:p>
            <w:pPr>
              <w:spacing w:after="0"/>
              <w:rPr>
                <w:sz w:val="20"/>
                <w:szCs w:val="20"/>
                <w:color w:val="auto"/>
              </w:rPr>
            </w:pPr>
            <w:r>
              <w:rPr>
                <w:rFonts w:ascii="Calibri" w:cs="Calibri" w:eastAsia="Calibri" w:hAnsi="Calibri"/>
                <w:sz w:val="16"/>
                <w:szCs w:val="16"/>
                <w:b w:val="1"/>
                <w:bCs w:val="1"/>
                <w:color w:val="007DC6"/>
              </w:rPr>
              <w:t>CHANGES IN AND DISAGREEMENTS WITH ACCOUNTANTS ON ACCOUNTING AND FINANCIAL DISCLOSURE</w:t>
            </w: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104</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9A.</w:t>
            </w:r>
          </w:p>
        </w:tc>
        <w:tc>
          <w:tcPr>
            <w:tcW w:w="2000" w:type="dxa"/>
            <w:vAlign w:val="bottom"/>
            <w:tcBorders>
              <w:top w:val="single" w:sz="8" w:color="007DC6"/>
              <w:bottom w:val="single" w:sz="8" w:color="007DC6"/>
            </w:tcBorders>
            <w:gridSpan w:val="13"/>
          </w:tcPr>
          <w:p>
            <w:pPr>
              <w:spacing w:after="0"/>
              <w:rPr>
                <w:sz w:val="20"/>
                <w:szCs w:val="20"/>
                <w:color w:val="auto"/>
              </w:rPr>
            </w:pPr>
            <w:r>
              <w:rPr>
                <w:rFonts w:ascii="Calibri" w:cs="Calibri" w:eastAsia="Calibri" w:hAnsi="Calibri"/>
                <w:sz w:val="16"/>
                <w:szCs w:val="16"/>
                <w:b w:val="1"/>
                <w:bCs w:val="1"/>
                <w:color w:val="007DC6"/>
                <w:w w:val="99"/>
              </w:rPr>
              <w:t>CONTROLS AND PROCEDURES</w:t>
            </w:r>
          </w:p>
        </w:tc>
        <w:tc>
          <w:tcPr>
            <w:tcW w:w="5020" w:type="dxa"/>
            <w:vAlign w:val="bottom"/>
            <w:tcBorders>
              <w:top w:val="single" w:sz="8" w:color="007DC6"/>
            </w:tcBorders>
            <w:gridSpan w:val="11"/>
          </w:tcPr>
          <w:p>
            <w:pPr>
              <w:spacing w:after="0"/>
              <w:rPr>
                <w:sz w:val="21"/>
                <w:szCs w:val="21"/>
                <w:color w:val="auto"/>
              </w:rPr>
            </w:pPr>
          </w:p>
        </w:tc>
        <w:tc>
          <w:tcPr>
            <w:tcW w:w="460" w:type="dxa"/>
            <w:vAlign w:val="bottom"/>
            <w:gridSpan w:val="2"/>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104</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9B.</w:t>
            </w:r>
          </w:p>
        </w:tc>
        <w:tc>
          <w:tcPr>
            <w:tcW w:w="7480" w:type="dxa"/>
            <w:vAlign w:val="bottom"/>
            <w:gridSpan w:val="26"/>
          </w:tcPr>
          <w:p>
            <w:pPr>
              <w:spacing w:after="0"/>
              <w:rPr>
                <w:sz w:val="20"/>
                <w:szCs w:val="20"/>
                <w:color w:val="auto"/>
              </w:rPr>
            </w:pPr>
            <w:r>
              <w:rPr>
                <w:rFonts w:ascii="Calibri" w:cs="Calibri" w:eastAsia="Calibri" w:hAnsi="Calibri"/>
                <w:sz w:val="16"/>
                <w:szCs w:val="16"/>
                <w:b w:val="1"/>
                <w:bCs w:val="1"/>
                <w:color w:val="007DC6"/>
              </w:rPr>
              <w:t>OTHER INFORMATION</w:t>
            </w: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105</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right w:val="single" w:sz="8" w:color="007DC6"/>
            </w:tcBorders>
          </w:tcPr>
          <w:p>
            <w:pPr>
              <w:spacing w:after="0" w:line="20" w:lineRule="exact"/>
              <w:rPr>
                <w:sz w:val="1"/>
                <w:szCs w:val="1"/>
                <w:color w:val="auto"/>
              </w:rPr>
            </w:pPr>
          </w:p>
        </w:tc>
        <w:tc>
          <w:tcPr>
            <w:tcW w:w="620" w:type="dxa"/>
            <w:vAlign w:val="bottom"/>
            <w:shd w:val="clear" w:color="auto" w:fill="007DC6"/>
          </w:tcPr>
          <w:p>
            <w:pPr>
              <w:spacing w:after="0" w:line="20" w:lineRule="exact"/>
              <w:rPr>
                <w:sz w:val="1"/>
                <w:szCs w:val="1"/>
                <w:color w:val="auto"/>
              </w:rPr>
            </w:pPr>
          </w:p>
        </w:tc>
        <w:tc>
          <w:tcPr>
            <w:tcW w:w="860" w:type="dxa"/>
            <w:vAlign w:val="bottom"/>
            <w:gridSpan w:val="8"/>
            <w:shd w:val="clear" w:color="auto" w:fill="007DC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9C.</w:t>
            </w:r>
          </w:p>
        </w:tc>
        <w:tc>
          <w:tcPr>
            <w:tcW w:w="7480" w:type="dxa"/>
            <w:vAlign w:val="bottom"/>
            <w:gridSpan w:val="26"/>
          </w:tcPr>
          <w:p>
            <w:pPr>
              <w:spacing w:after="0"/>
              <w:rPr>
                <w:sz w:val="20"/>
                <w:szCs w:val="20"/>
                <w:color w:val="auto"/>
              </w:rPr>
            </w:pPr>
            <w:r>
              <w:rPr>
                <w:rFonts w:ascii="Calibri" w:cs="Calibri" w:eastAsia="Calibri" w:hAnsi="Calibri"/>
                <w:sz w:val="16"/>
                <w:szCs w:val="16"/>
                <w:b w:val="1"/>
                <w:bCs w:val="1"/>
                <w:color w:val="007DC6"/>
              </w:rPr>
              <w:t>DISCLOSURE REGARDING FOREIGN JURISDICTIONS THAT PREVENT INSPECTIONS</w:t>
            </w: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105</w:t>
            </w:r>
          </w:p>
        </w:tc>
      </w:tr>
      <w:tr>
        <w:trPr>
          <w:trHeight w:val="425"/>
        </w:trPr>
        <w:tc>
          <w:tcPr>
            <w:tcW w:w="20" w:type="dxa"/>
            <w:vAlign w:val="bottom"/>
          </w:tcPr>
          <w:p>
            <w:pPr>
              <w:spacing w:after="0"/>
              <w:rPr>
                <w:sz w:val="24"/>
                <w:szCs w:val="24"/>
                <w:color w:val="auto"/>
              </w:rPr>
            </w:pPr>
          </w:p>
        </w:tc>
        <w:tc>
          <w:tcPr>
            <w:tcW w:w="660" w:type="dxa"/>
            <w:vAlign w:val="bottom"/>
            <w:tcBorders>
              <w:bottom w:val="single" w:sz="8" w:color="007DC6"/>
            </w:tcBorders>
            <w:gridSpan w:val="3"/>
          </w:tcPr>
          <w:p>
            <w:pPr>
              <w:spacing w:after="0"/>
              <w:rPr>
                <w:sz w:val="20"/>
                <w:szCs w:val="20"/>
                <w:color w:val="auto"/>
              </w:rPr>
            </w:pPr>
            <w:r>
              <w:rPr>
                <w:rFonts w:ascii="Calibri" w:cs="Calibri" w:eastAsia="Calibri" w:hAnsi="Calibri"/>
                <w:sz w:val="20"/>
                <w:szCs w:val="20"/>
                <w:b w:val="1"/>
                <w:bCs w:val="1"/>
                <w:color w:val="007DC6"/>
                <w:w w:val="99"/>
              </w:rPr>
              <w:t>PART III</w:t>
            </w:r>
          </w:p>
        </w:tc>
        <w:tc>
          <w:tcPr>
            <w:tcW w:w="1480" w:type="dxa"/>
            <w:vAlign w:val="bottom"/>
            <w:gridSpan w:val="2"/>
          </w:tcPr>
          <w:p>
            <w:pPr>
              <w:spacing w:after="0"/>
              <w:rPr>
                <w:sz w:val="24"/>
                <w:szCs w:val="24"/>
                <w:color w:val="auto"/>
              </w:rPr>
            </w:pPr>
          </w:p>
        </w:tc>
        <w:tc>
          <w:tcPr>
            <w:tcW w:w="6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30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840" w:type="dxa"/>
            <w:vAlign w:val="bottom"/>
            <w:tcBorders>
              <w:top w:val="single" w:sz="8" w:color="007DC6"/>
            </w:tcBorders>
          </w:tcPr>
          <w:p>
            <w:pPr>
              <w:spacing w:after="0"/>
              <w:rPr>
                <w:sz w:val="24"/>
                <w:szCs w:val="24"/>
                <w:color w:val="auto"/>
              </w:rPr>
            </w:pPr>
          </w:p>
        </w:tc>
        <w:tc>
          <w:tcPr>
            <w:tcW w:w="340" w:type="dxa"/>
            <w:vAlign w:val="bottom"/>
            <w:tcBorders>
              <w:top w:val="single" w:sz="8" w:color="007DC6"/>
            </w:tcBorders>
          </w:tcPr>
          <w:p>
            <w:pPr>
              <w:spacing w:after="0"/>
              <w:rPr>
                <w:sz w:val="24"/>
                <w:szCs w:val="24"/>
                <w:color w:val="auto"/>
              </w:rPr>
            </w:pPr>
          </w:p>
        </w:tc>
        <w:tc>
          <w:tcPr>
            <w:tcW w:w="240" w:type="dxa"/>
            <w:vAlign w:val="bottom"/>
            <w:tcBorders>
              <w:top w:val="single" w:sz="8" w:color="007DC6"/>
            </w:tcBorders>
          </w:tcPr>
          <w:p>
            <w:pPr>
              <w:spacing w:after="0"/>
              <w:rPr>
                <w:sz w:val="24"/>
                <w:szCs w:val="24"/>
                <w:color w:val="auto"/>
              </w:rPr>
            </w:pPr>
          </w:p>
        </w:tc>
        <w:tc>
          <w:tcPr>
            <w:tcW w:w="800" w:type="dxa"/>
            <w:vAlign w:val="bottom"/>
            <w:tcBorders>
              <w:top w:val="single" w:sz="8" w:color="007DC6"/>
            </w:tcBorders>
          </w:tcPr>
          <w:p>
            <w:pPr>
              <w:spacing w:after="0"/>
              <w:rPr>
                <w:sz w:val="24"/>
                <w:szCs w:val="24"/>
                <w:color w:val="auto"/>
              </w:rPr>
            </w:pPr>
          </w:p>
        </w:tc>
        <w:tc>
          <w:tcPr>
            <w:tcW w:w="300" w:type="dxa"/>
            <w:vAlign w:val="bottom"/>
            <w:tcBorders>
              <w:top w:val="single" w:sz="8" w:color="007DC6"/>
            </w:tcBorders>
          </w:tcPr>
          <w:p>
            <w:pPr>
              <w:spacing w:after="0"/>
              <w:rPr>
                <w:sz w:val="24"/>
                <w:szCs w:val="24"/>
                <w:color w:val="auto"/>
              </w:rPr>
            </w:pPr>
          </w:p>
        </w:tc>
        <w:tc>
          <w:tcPr>
            <w:tcW w:w="640" w:type="dxa"/>
            <w:vAlign w:val="bottom"/>
            <w:tcBorders>
              <w:top w:val="single" w:sz="8" w:color="007DC6"/>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106</w:t>
            </w:r>
          </w:p>
        </w:tc>
      </w:tr>
      <w:tr>
        <w:trPr>
          <w:trHeight w:val="263"/>
        </w:trPr>
        <w:tc>
          <w:tcPr>
            <w:tcW w:w="20" w:type="dxa"/>
            <w:vAlign w:val="bottom"/>
          </w:tcPr>
          <w:p>
            <w:pPr>
              <w:spacing w:after="0"/>
              <w:rPr>
                <w:sz w:val="22"/>
                <w:szCs w:val="22"/>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10.</w:t>
            </w:r>
          </w:p>
        </w:tc>
        <w:tc>
          <w:tcPr>
            <w:tcW w:w="7480" w:type="dxa"/>
            <w:vAlign w:val="bottom"/>
            <w:gridSpan w:val="26"/>
          </w:tcPr>
          <w:p>
            <w:pPr>
              <w:spacing w:after="0"/>
              <w:rPr>
                <w:sz w:val="20"/>
                <w:szCs w:val="20"/>
                <w:color w:val="auto"/>
              </w:rPr>
            </w:pPr>
            <w:r>
              <w:rPr>
                <w:rFonts w:ascii="Calibri" w:cs="Calibri" w:eastAsia="Calibri" w:hAnsi="Calibri"/>
                <w:sz w:val="16"/>
                <w:szCs w:val="16"/>
                <w:b w:val="1"/>
                <w:bCs w:val="1"/>
                <w:color w:val="007DC6"/>
              </w:rPr>
              <w:t>DIRECTORS, EXECUTIVE OFFICERS AND CORPORATE GOVERNANCE</w:t>
            </w: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106</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11.</w:t>
            </w:r>
          </w:p>
        </w:tc>
        <w:tc>
          <w:tcPr>
            <w:tcW w:w="1880" w:type="dxa"/>
            <w:vAlign w:val="bottom"/>
            <w:tcBorders>
              <w:top w:val="single" w:sz="8" w:color="007DC6"/>
              <w:bottom w:val="single" w:sz="8" w:color="007DC6"/>
            </w:tcBorders>
            <w:gridSpan w:val="12"/>
          </w:tcPr>
          <w:p>
            <w:pPr>
              <w:spacing w:after="0"/>
              <w:rPr>
                <w:sz w:val="20"/>
                <w:szCs w:val="20"/>
                <w:color w:val="auto"/>
              </w:rPr>
            </w:pPr>
            <w:r>
              <w:rPr>
                <w:rFonts w:ascii="Calibri" w:cs="Calibri" w:eastAsia="Calibri" w:hAnsi="Calibri"/>
                <w:sz w:val="16"/>
                <w:szCs w:val="16"/>
                <w:b w:val="1"/>
                <w:bCs w:val="1"/>
                <w:color w:val="007DC6"/>
                <w:w w:val="99"/>
              </w:rPr>
              <w:t>EXECUTIVE COMPENSATION</w:t>
            </w:r>
          </w:p>
        </w:tc>
        <w:tc>
          <w:tcPr>
            <w:tcW w:w="2540" w:type="dxa"/>
            <w:vAlign w:val="bottom"/>
            <w:tcBorders>
              <w:top w:val="single" w:sz="8" w:color="007DC6"/>
            </w:tcBorders>
            <w:gridSpan w:val="7"/>
          </w:tcPr>
          <w:p>
            <w:pPr>
              <w:spacing w:after="0"/>
              <w:rPr>
                <w:sz w:val="21"/>
                <w:szCs w:val="21"/>
                <w:color w:val="auto"/>
              </w:rPr>
            </w:pPr>
          </w:p>
        </w:tc>
        <w:tc>
          <w:tcPr>
            <w:tcW w:w="3060" w:type="dxa"/>
            <w:vAlign w:val="bottom"/>
            <w:gridSpan w:val="7"/>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106</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12.</w:t>
            </w:r>
          </w:p>
        </w:tc>
        <w:tc>
          <w:tcPr>
            <w:tcW w:w="7260" w:type="dxa"/>
            <w:vAlign w:val="bottom"/>
            <w:tcBorders>
              <w:bottom w:val="single" w:sz="8" w:color="007DC6"/>
            </w:tcBorders>
            <w:gridSpan w:val="25"/>
          </w:tcPr>
          <w:p>
            <w:pPr>
              <w:spacing w:after="0"/>
              <w:rPr>
                <w:sz w:val="20"/>
                <w:szCs w:val="20"/>
                <w:color w:val="auto"/>
              </w:rPr>
            </w:pPr>
            <w:r>
              <w:rPr>
                <w:rFonts w:ascii="Calibri" w:cs="Calibri" w:eastAsia="Calibri" w:hAnsi="Calibri"/>
                <w:sz w:val="16"/>
                <w:szCs w:val="16"/>
                <w:b w:val="1"/>
                <w:bCs w:val="1"/>
                <w:color w:val="007DC6"/>
              </w:rPr>
              <w:t>SECURITY OWNERSHIP OF CERTAIN BENEFICIAL OWNERS AND MANAGEMENT AND RELATED STOCKHOLDER</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80" w:type="dxa"/>
            <w:vAlign w:val="bottom"/>
            <w:gridSpan w:val="26"/>
          </w:tcPr>
          <w:p>
            <w:pPr>
              <w:spacing w:after="0" w:line="183" w:lineRule="exact"/>
              <w:rPr>
                <w:sz w:val="20"/>
                <w:szCs w:val="20"/>
                <w:color w:val="auto"/>
              </w:rPr>
            </w:pPr>
            <w:r>
              <w:rPr>
                <w:rFonts w:ascii="Calibri" w:cs="Calibri" w:eastAsia="Calibri" w:hAnsi="Calibri"/>
                <w:sz w:val="16"/>
                <w:szCs w:val="16"/>
                <w:b w:val="1"/>
                <w:bCs w:val="1"/>
                <w:color w:val="007DC6"/>
              </w:rPr>
              <w:t>MATTERS</w:t>
            </w:r>
          </w:p>
        </w:tc>
        <w:tc>
          <w:tcPr>
            <w:tcW w:w="1600" w:type="dxa"/>
            <w:vAlign w:val="bottom"/>
          </w:tcPr>
          <w:p>
            <w:pPr>
              <w:jc w:val="right"/>
              <w:spacing w:after="0" w:line="183" w:lineRule="exact"/>
              <w:rPr>
                <w:sz w:val="20"/>
                <w:szCs w:val="20"/>
                <w:color w:val="auto"/>
              </w:rPr>
            </w:pPr>
            <w:r>
              <w:rPr>
                <w:rFonts w:ascii="Calibri" w:cs="Calibri" w:eastAsia="Calibri" w:hAnsi="Calibri"/>
                <w:sz w:val="16"/>
                <w:szCs w:val="16"/>
                <w:color w:val="auto"/>
              </w:rPr>
              <w:t>106</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right w:val="single" w:sz="8" w:color="007DC6"/>
            </w:tcBorders>
          </w:tcPr>
          <w:p>
            <w:pPr>
              <w:spacing w:after="0" w:line="20" w:lineRule="exact"/>
              <w:rPr>
                <w:sz w:val="1"/>
                <w:szCs w:val="1"/>
                <w:color w:val="auto"/>
              </w:rPr>
            </w:pPr>
          </w:p>
        </w:tc>
        <w:tc>
          <w:tcPr>
            <w:tcW w:w="620" w:type="dxa"/>
            <w:vAlign w:val="bottom"/>
            <w:shd w:val="clear" w:color="auto" w:fill="007DC6"/>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13.</w:t>
            </w:r>
          </w:p>
        </w:tc>
        <w:tc>
          <w:tcPr>
            <w:tcW w:w="7480" w:type="dxa"/>
            <w:vAlign w:val="bottom"/>
            <w:gridSpan w:val="26"/>
          </w:tcPr>
          <w:p>
            <w:pPr>
              <w:spacing w:after="0"/>
              <w:rPr>
                <w:sz w:val="20"/>
                <w:szCs w:val="20"/>
                <w:color w:val="auto"/>
              </w:rPr>
            </w:pPr>
            <w:r>
              <w:rPr>
                <w:rFonts w:ascii="Calibri" w:cs="Calibri" w:eastAsia="Calibri" w:hAnsi="Calibri"/>
                <w:sz w:val="16"/>
                <w:szCs w:val="16"/>
                <w:b w:val="1"/>
                <w:bCs w:val="1"/>
                <w:color w:val="007DC6"/>
              </w:rPr>
              <w:t>CERTAIN RELATIONSHIPS AND RELATED TRANSACTIONS, AND DIRECTOR INDEPENDENCE</w:t>
            </w: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106</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14.</w:t>
            </w:r>
          </w:p>
        </w:tc>
        <w:tc>
          <w:tcPr>
            <w:tcW w:w="5920" w:type="dxa"/>
            <w:vAlign w:val="bottom"/>
            <w:tcBorders>
              <w:top w:val="single" w:sz="8" w:color="007DC6"/>
            </w:tcBorders>
            <w:gridSpan w:val="22"/>
          </w:tcPr>
          <w:p>
            <w:pPr>
              <w:spacing w:after="0"/>
              <w:rPr>
                <w:sz w:val="20"/>
                <w:szCs w:val="20"/>
                <w:color w:val="auto"/>
              </w:rPr>
            </w:pPr>
            <w:r>
              <w:rPr>
                <w:rFonts w:ascii="Calibri" w:cs="Calibri" w:eastAsia="Calibri" w:hAnsi="Calibri"/>
                <w:sz w:val="16"/>
                <w:szCs w:val="16"/>
                <w:b w:val="1"/>
                <w:bCs w:val="1"/>
                <w:color w:val="007DC6"/>
              </w:rPr>
              <w:t>PRINCIPAL ACCOUNTANT FEES AND SERVICES</w:t>
            </w:r>
          </w:p>
        </w:tc>
        <w:tc>
          <w:tcPr>
            <w:tcW w:w="1560" w:type="dxa"/>
            <w:vAlign w:val="bottom"/>
            <w:gridSpan w:val="4"/>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106</w:t>
            </w:r>
          </w:p>
        </w:tc>
      </w:tr>
      <w:tr>
        <w:trPr>
          <w:trHeight w:val="425"/>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Calibri" w:cs="Calibri" w:eastAsia="Calibri" w:hAnsi="Calibri"/>
                <w:sz w:val="20"/>
                <w:szCs w:val="20"/>
                <w:b w:val="1"/>
                <w:bCs w:val="1"/>
                <w:color w:val="007DC6"/>
              </w:rPr>
              <w:t>PART IV</w:t>
            </w:r>
          </w:p>
        </w:tc>
        <w:tc>
          <w:tcPr>
            <w:tcW w:w="6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30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840" w:type="dxa"/>
            <w:vAlign w:val="bottom"/>
            <w:tcBorders>
              <w:top w:val="single" w:sz="8" w:color="007DC6"/>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107</w:t>
            </w: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7DC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15.</w:t>
            </w:r>
          </w:p>
        </w:tc>
        <w:tc>
          <w:tcPr>
            <w:tcW w:w="7480" w:type="dxa"/>
            <w:vAlign w:val="bottom"/>
            <w:gridSpan w:val="26"/>
          </w:tcPr>
          <w:p>
            <w:pPr>
              <w:spacing w:after="0"/>
              <w:rPr>
                <w:sz w:val="20"/>
                <w:szCs w:val="20"/>
                <w:color w:val="auto"/>
              </w:rPr>
            </w:pPr>
            <w:r>
              <w:rPr>
                <w:rFonts w:ascii="Calibri" w:cs="Calibri" w:eastAsia="Calibri" w:hAnsi="Calibri"/>
                <w:sz w:val="16"/>
                <w:szCs w:val="16"/>
                <w:b w:val="1"/>
                <w:bCs w:val="1"/>
                <w:color w:val="007DC6"/>
              </w:rPr>
              <w:t>EXHIBITS AND FINANCIAL STATEMENT SCHEDULES</w:t>
            </w:r>
          </w:p>
        </w:tc>
        <w:tc>
          <w:tcPr>
            <w:tcW w:w="1600" w:type="dxa"/>
            <w:vAlign w:val="bottom"/>
          </w:tcPr>
          <w:p>
            <w:pPr>
              <w:jc w:val="right"/>
              <w:spacing w:after="0"/>
              <w:rPr>
                <w:sz w:val="20"/>
                <w:szCs w:val="20"/>
                <w:color w:val="auto"/>
              </w:rPr>
            </w:pPr>
            <w:r>
              <w:rPr>
                <w:rFonts w:ascii="Calibri" w:cs="Calibri" w:eastAsia="Calibri" w:hAnsi="Calibri"/>
                <w:sz w:val="16"/>
                <w:szCs w:val="16"/>
                <w:color w:val="auto"/>
              </w:rPr>
              <w:t>107</w:t>
            </w:r>
          </w:p>
        </w:tc>
      </w:tr>
      <w:tr>
        <w:trPr>
          <w:trHeight w:val="250"/>
        </w:trPr>
        <w:tc>
          <w:tcPr>
            <w:tcW w:w="20" w:type="dxa"/>
            <w:vAlign w:val="bottom"/>
          </w:tcPr>
          <w:p>
            <w:pPr>
              <w:spacing w:after="0"/>
              <w:rPr>
                <w:sz w:val="21"/>
                <w:szCs w:val="21"/>
                <w:color w:val="auto"/>
              </w:rPr>
            </w:pPr>
          </w:p>
        </w:tc>
        <w:tc>
          <w:tcPr>
            <w:tcW w:w="2140" w:type="dxa"/>
            <w:vAlign w:val="bottom"/>
            <w:gridSpan w:val="5"/>
          </w:tcPr>
          <w:p>
            <w:pPr>
              <w:ind w:left="140"/>
              <w:spacing w:after="0"/>
              <w:rPr>
                <w:sz w:val="20"/>
                <w:szCs w:val="20"/>
                <w:color w:val="auto"/>
              </w:rPr>
            </w:pPr>
            <w:r>
              <w:rPr>
                <w:rFonts w:ascii="Calibri" w:cs="Calibri" w:eastAsia="Calibri" w:hAnsi="Calibri"/>
                <w:sz w:val="16"/>
                <w:szCs w:val="16"/>
                <w:b w:val="1"/>
                <w:bCs w:val="1"/>
                <w:color w:val="auto"/>
              </w:rPr>
              <w:t>ITEM 16.</w:t>
            </w:r>
          </w:p>
        </w:tc>
        <w:tc>
          <w:tcPr>
            <w:tcW w:w="3380" w:type="dxa"/>
            <w:vAlign w:val="bottom"/>
            <w:tcBorders>
              <w:top w:val="single" w:sz="8" w:color="007DC6"/>
            </w:tcBorders>
            <w:gridSpan w:val="17"/>
          </w:tcPr>
          <w:p>
            <w:pPr>
              <w:spacing w:after="0"/>
              <w:rPr>
                <w:sz w:val="20"/>
                <w:szCs w:val="20"/>
                <w:color w:val="auto"/>
              </w:rPr>
            </w:pPr>
            <w:r>
              <w:rPr>
                <w:rFonts w:ascii="Calibri" w:cs="Calibri" w:eastAsia="Calibri" w:hAnsi="Calibri"/>
                <w:sz w:val="16"/>
                <w:szCs w:val="16"/>
                <w:b w:val="1"/>
                <w:bCs w:val="1"/>
                <w:color w:val="007DC6"/>
              </w:rPr>
              <w:t>FORM 10-K SUMMARY</w:t>
            </w:r>
          </w:p>
        </w:tc>
        <w:tc>
          <w:tcPr>
            <w:tcW w:w="4100" w:type="dxa"/>
            <w:vAlign w:val="bottom"/>
            <w:gridSpan w:val="9"/>
          </w:tcPr>
          <w:p>
            <w:pPr>
              <w:spacing w:after="0"/>
              <w:rPr>
                <w:sz w:val="21"/>
                <w:szCs w:val="21"/>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412"/>
        </w:trPr>
        <w:tc>
          <w:tcPr>
            <w:tcW w:w="20" w:type="dxa"/>
            <w:vAlign w:val="bottom"/>
          </w:tcPr>
          <w:p>
            <w:pPr>
              <w:spacing w:after="0"/>
              <w:rPr>
                <w:sz w:val="24"/>
                <w:szCs w:val="24"/>
                <w:color w:val="auto"/>
              </w:rPr>
            </w:pPr>
          </w:p>
        </w:tc>
        <w:tc>
          <w:tcPr>
            <w:tcW w:w="2140" w:type="dxa"/>
            <w:vAlign w:val="bottom"/>
            <w:gridSpan w:val="5"/>
          </w:tcPr>
          <w:p>
            <w:pPr>
              <w:spacing w:after="0"/>
              <w:rPr>
                <w:sz w:val="20"/>
                <w:szCs w:val="20"/>
                <w:color w:val="auto"/>
              </w:rPr>
            </w:pPr>
            <w:r>
              <w:rPr>
                <w:rFonts w:ascii="Calibri" w:cs="Calibri" w:eastAsia="Calibri" w:hAnsi="Calibri"/>
                <w:sz w:val="20"/>
                <w:szCs w:val="20"/>
                <w:b w:val="1"/>
                <w:bCs w:val="1"/>
                <w:color w:val="007DC6"/>
              </w:rPr>
              <w:t>SIGNATURES</w:t>
            </w:r>
          </w:p>
        </w:tc>
        <w:tc>
          <w:tcPr>
            <w:tcW w:w="6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16"/>
                <w:szCs w:val="16"/>
                <w:color w:val="auto"/>
              </w:rPr>
              <w:t>114</w:t>
            </w:r>
          </w:p>
        </w:tc>
      </w:tr>
      <w:tr>
        <w:trPr>
          <w:trHeight w:val="1567"/>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7DC6"/>
              <w:bottom w:val="single" w:sz="8" w:color="9A9A9A"/>
            </w:tcBorders>
          </w:tcPr>
          <w:p>
            <w:pPr>
              <w:spacing w:after="0"/>
              <w:rPr>
                <w:sz w:val="24"/>
                <w:szCs w:val="24"/>
                <w:color w:val="auto"/>
              </w:rPr>
            </w:pPr>
          </w:p>
        </w:tc>
        <w:tc>
          <w:tcPr>
            <w:tcW w:w="60" w:type="dxa"/>
            <w:vAlign w:val="bottom"/>
            <w:tcBorders>
              <w:top w:val="single" w:sz="8" w:color="007DC6"/>
              <w:bottom w:val="single" w:sz="8" w:color="9A9A9A"/>
            </w:tcBorders>
          </w:tcPr>
          <w:p>
            <w:pPr>
              <w:spacing w:after="0"/>
              <w:rPr>
                <w:sz w:val="24"/>
                <w:szCs w:val="24"/>
                <w:color w:val="auto"/>
              </w:rPr>
            </w:pPr>
          </w:p>
        </w:tc>
        <w:tc>
          <w:tcPr>
            <w:tcW w:w="60" w:type="dxa"/>
            <w:vAlign w:val="bottom"/>
            <w:tcBorders>
              <w:top w:val="single" w:sz="8" w:color="007DC6"/>
              <w:bottom w:val="single" w:sz="8" w:color="9A9A9A"/>
            </w:tcBorders>
          </w:tcPr>
          <w:p>
            <w:pPr>
              <w:spacing w:after="0"/>
              <w:rPr>
                <w:sz w:val="24"/>
                <w:szCs w:val="24"/>
                <w:color w:val="auto"/>
              </w:rPr>
            </w:pPr>
          </w:p>
        </w:tc>
        <w:tc>
          <w:tcPr>
            <w:tcW w:w="420" w:type="dxa"/>
            <w:vAlign w:val="bottom"/>
            <w:tcBorders>
              <w:top w:val="single" w:sz="8" w:color="007DC6"/>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ind w:left="934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36"/>
          <w:szCs w:val="36"/>
          <w:color w:val="auto"/>
        </w:rPr>
        <w:t>PART I</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 – BUSINESS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General</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Martn Marieta Materials, Inc. (the Company or Martn Marieta) is a natural resource-based building materials company. The Company supplies aggregates (crushed stone, sand and gravel) through its network of approximately 390 quarries, mines and distributon yards in 28 states, Canada and The Bahamas. In 2024, aggregates gross proft accounted for 76% of the Company’s total reportable segment gross proft. Martn Marieta also provides cement and downstream products, namely, ready mixed concrete, asphalt and paving services, in targeted markets where the Company has a leading aggregates positon. The Company’s heavy-side building materials are used in infrastructure, nonresidental and residental constructon projects. Aggregates are also used in agricultural, utlity and environmental applicatons and as railroad ballast. The aggregates, cement, ready mixed concrete, asphalt and paving operatons are reported collectvely as the “Building Materials business”. The Company also operates a Magnesia Specialtes business with producton facilites in Michigan and Ohio. The Magnesia Specialtes business produces magnesia-based chemical products that are used in industrial, agricultural and environmental applicatons. It also produces dolomitc lime sold primarily to customers for steel producton and soil stabilizaton. Magnesia Specialtes’ products are shipped to customers domestcally and worldwide.</w:t>
      </w:r>
    </w:p>
    <w:p>
      <w:pPr>
        <w:spacing w:after="0" w:line="6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was formed in 1993 as a North Carolina corporaton to serve as successor to the operatons of the materials group of the organizaton that is now Lockheed Martn Corporaton. An inital public ofering of a porton of the Company’s common stock was completed in 1994, followed by a tax-free exchange transacton in 1996 that resulted in 100% of the Company’s common stock being publicly traded. The Company completed over 100 acquisitons, as well as a number of strategic dispositons, from the tme of its inital public ofering untl the present, which allowed the Company to enhance and expand its aggregates-led presence in the building materials marketplace.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January 12, 2024, the Company acquired Albert Frei &amp; Sons, Inc., a leading aggregates producer in Colorado. This acquisiton provides more than 60 years (at current producton levels) of high-quality, hard rock reserves to beter serve new and existng customers and enhances the Company's aggregates platorm in the Denver metropolitan area.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9, 2024, the Company completed the sale of its South Texas cement business and certain of its related ready mixed concrete operatons to CRH Americas Materials, Inc., a subsidiary of CRH plc, for $2.1 billion in cash. Specifcally, the divested facilites included the Hunter cement plant in New Braunfels, Texas, related cement distributon terminals and 20 ready mixed concrete plants that served the Austn and San Antonio region. This divestture optmized the Company's portolio and product mix and provided proceeds the Company used to consummate the Blue Water Industries LLC acquisiton discussed below. The transacton resulted in a pretax gain of $1.3 billion.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April 5, 2024, the Company completed the acquisiton of 20 actve aggregates operatons in Alabama, South Carolina, South Florida, Tennessee and Virginia from afliates of Blue Water Industries LLC (BWI Southeast) for $2.05 billion in cash. The BWI Southeast acquisiton complements Martn Marieta’s existng geographic footprint in the southeast region by expanding into new growth platorms in target markets, including Tennessee and South Florida.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October 2024, the Company acquired pure aggregates assets in South Florida and Southern California. In December 2024, the Company completed an aggregates-led, bolt-on acquisiton in West Texas.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Business Segment Informaton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conducts its Building Materials business through two reportable segments, organized by geography: East Group and West Group. The East Group provides aggregates and asphalt products. The West Group provides aggregates, cement, downstream products and paving services. The Company’s Magnesia Specialtes business is reported as a separate segment and includes its magnesia-based chemicals and dolomitc lime businesses. For more informaton on the organizaton and geographic area of the Company’s business segments, see </w:t>
      </w:r>
      <w:r>
        <w:rPr>
          <w:rFonts w:ascii="Calibri" w:cs="Calibri" w:eastAsia="Calibri" w:hAnsi="Calibri"/>
          <w:sz w:val="18"/>
          <w:szCs w:val="18"/>
          <w:u w:val="single" w:color="auto"/>
          <w:color w:val="007DC6"/>
        </w:rPr>
        <w:t>Note A: Accountng Policies</w:t>
      </w:r>
      <w:r>
        <w:rPr>
          <w:rFonts w:ascii="Calibri" w:cs="Calibri" w:eastAsia="Calibri" w:hAnsi="Calibri"/>
          <w:sz w:val="18"/>
          <w:szCs w:val="18"/>
          <w:color w:val="auto"/>
        </w:rPr>
        <w:t xml:space="preserve"> and </w:t>
      </w:r>
      <w:r>
        <w:rPr>
          <w:rFonts w:ascii="Calibri" w:cs="Calibri" w:eastAsia="Calibri" w:hAnsi="Calibri"/>
          <w:sz w:val="18"/>
          <w:szCs w:val="18"/>
          <w:u w:val="single" w:color="auto"/>
          <w:color w:val="007DC6"/>
        </w:rPr>
        <w:t>Note O: Segments</w:t>
      </w:r>
      <w:r>
        <w:rPr>
          <w:rFonts w:ascii="Calibri" w:cs="Calibri" w:eastAsia="Calibri" w:hAnsi="Calibri"/>
          <w:sz w:val="18"/>
          <w:szCs w:val="18"/>
          <w:color w:val="auto"/>
        </w:rPr>
        <w:t xml:space="preserve"> of the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007DC6"/>
        </w:rPr>
        <w:t xml:space="preserve"> </w:t>
      </w:r>
      <w:r>
        <w:rPr>
          <w:rFonts w:ascii="Calibri" w:cs="Calibri" w:eastAsia="Calibri" w:hAnsi="Calibri"/>
          <w:sz w:val="18"/>
          <w:szCs w:val="18"/>
          <w:color w:val="000000"/>
        </w:rPr>
        <w:t>of the Company’s consolidated fnancial statements, which appear in</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8, Financial Statements and Supplementary Data</w:t>
      </w:r>
      <w:r>
        <w:rPr>
          <w:rFonts w:ascii="Calibri" w:cs="Calibri" w:eastAsia="Calibri" w:hAnsi="Calibri"/>
          <w:sz w:val="18"/>
          <w:szCs w:val="18"/>
          <w:color w:val="007DC6"/>
        </w:rPr>
        <w:t xml:space="preserve"> </w:t>
      </w:r>
      <w:r>
        <w:rPr>
          <w:rFonts w:ascii="Calibri" w:cs="Calibri" w:eastAsia="Calibri" w:hAnsi="Calibri"/>
          <w:sz w:val="18"/>
          <w:szCs w:val="18"/>
          <w:color w:val="000000"/>
        </w:rPr>
        <w:t>of</w:t>
      </w:r>
      <w:r>
        <w:rPr>
          <w:rFonts w:ascii="Calibri" w:cs="Calibri" w:eastAsia="Calibri" w:hAnsi="Calibri"/>
          <w:sz w:val="18"/>
          <w:szCs w:val="18"/>
          <w:color w:val="007DC6"/>
        </w:rPr>
        <w:t xml:space="preserve"> </w:t>
      </w:r>
      <w:r>
        <w:rPr>
          <w:rFonts w:ascii="Calibri" w:cs="Calibri" w:eastAsia="Calibri" w:hAnsi="Calibri"/>
          <w:sz w:val="18"/>
          <w:szCs w:val="18"/>
          <w:color w:val="000000"/>
        </w:rPr>
        <w:t>this Annual Report on Form 10-K (this Form 10-K), which informaton is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4462145</wp:posOffset>
            </wp:positionH>
            <wp:positionV relativeFrom="paragraph">
              <wp:posOffset>-290195</wp:posOffset>
            </wp:positionV>
            <wp:extent cx="2350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01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13563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-153035</wp:posOffset>
            </wp:positionV>
            <wp:extent cx="2454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54275" cy="8890"/>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Building Materials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proftability of the Building Materials business, which serves customers in the constructon marketplace, is sensitve to natonal, regional and local economic conditons and constructon cyclicality, which are in turn afected by fuctuatons in levels of public-sector infrastructure funding; interest rates; access to capital markets; and demographic, geographic, employment and populaton dynamics. The heavy-side constructon business is conducted outdoors, as are much of the Building Materials business’ operatons. Therefore, erratc weather paterns, seasonal changes and other weather-related conditons, including precipitaton, fooding, hurricanes, snowstorms, extreme temperatures, wildfres, earthquakes and droughts, can signifcantly afect producton schedules, shipments, costs, efciencies and proftability. Generally, the fnancial results for the frst and fourth quarters are subject to the impacts of winter weather, while the second and third quarters are subject to the impacts of heavy precipitaton.</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Building Materials business markets its products primarily to the constructon industry, with 37% of its 2024 aggregates shipments sold to customers in connecton with highway and other public infrastructure projects and the balance of its shipments sold primarily to customers for nonresidental and residental constructon projects. The Company believes the business’ mix of public sector-related shipments lessens the impacts of fuctuatons in nonresidental and residental, or private-sector, constructon spending.</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Funding of public infrastructure, historically the Company’s largest end-use market, is discussed in greater detail under </w:t>
      </w:r>
      <w:r>
        <w:rPr>
          <w:rFonts w:ascii="Calibri" w:cs="Calibri" w:eastAsia="Calibri" w:hAnsi="Calibri"/>
          <w:sz w:val="18"/>
          <w:szCs w:val="18"/>
          <w:u w:val="single" w:color="auto"/>
          <w:color w:val="007DC6"/>
        </w:rPr>
        <w:t>Building Materials Business’ Key</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Consideratons—Public Infrastructure</w:t>
      </w:r>
      <w:r>
        <w:rPr>
          <w:rFonts w:ascii="Calibri" w:cs="Calibri" w:eastAsia="Calibri" w:hAnsi="Calibri"/>
          <w:sz w:val="18"/>
          <w:szCs w:val="18"/>
          <w:color w:val="007DC6"/>
        </w:rPr>
        <w:t xml:space="preserve"> </w:t>
      </w:r>
      <w:r>
        <w:rPr>
          <w:rFonts w:ascii="Calibri" w:cs="Calibri" w:eastAsia="Calibri" w:hAnsi="Calibri"/>
          <w:sz w:val="18"/>
          <w:szCs w:val="18"/>
          <w:color w:val="000000"/>
        </w:rPr>
        <w:t>in</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7, Management’s Discussion and Analysis of Financial Conditon 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5633720</wp:posOffset>
            </wp:positionH>
            <wp:positionV relativeFrom="paragraph">
              <wp:posOffset>-155575</wp:posOffset>
            </wp:positionV>
            <wp:extent cx="1501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17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6145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45530" cy="8255"/>
                    </a:xfrm>
                    <a:prstGeom prst="rect">
                      <a:avLst/>
                    </a:prstGeom>
                    <a:noFill/>
                  </pic:spPr>
                </pic:pic>
              </a:graphicData>
            </a:graphic>
          </wp:anchor>
        </w:drawing>
      </w:r>
    </w:p>
    <w:p>
      <w:pPr>
        <w:spacing w:after="0" w:line="90"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 Building Materials business covers a wide geographic area. The ten largest revenue-generatng states (Texas, North Carolina, Colorado, California, Georgia, Florida, Minnesota, Arizona, South Carolina and Iowa) accounted for 81% of the Building Materials business’ revenues in 2024. The Building Materials business is accordingly afected by the economies in these regions and has been adversely afected in part by episodic recessions and weaknesses in these economies and may be afected by future declines in economic conditons, such as recessions, economic downturns or infatonary conditons.</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Aggregates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Aggregates, consistng of crushed stone, sand and gravel, are an engineered, granular material that is manufactured to specifc sizes, grades and chemistry for use primarily in constructon applicatons. The Company’s operatons consist primarily of open pit quarries; however, the Company is the largest operator of underground aggregates mines in the United States, with 14 actve underground mines located in the East Group.</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Natural aggregates sources can be found in relatvely homogeneous deposits in certain areas of the United States. Proximity of quarry facilites to customers’ plants, constructon sites or long-haul transportaton corridors is an important factor in competton for the sale of aggregates products. Generally, the distance shipments travel by truck from a given quarry is limited because the cost of transportng processed aggregates to customers is high in relaton to the price of the product itself. The Company’s distributon system mainly uses trucks, but also has access to rail and waterborne networks where the per-mile unit costs of transportng aggregates are lower.</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distributon network moves aggregates materials from certain domestc and ofshore sources via its long-haul rail and waterborne distributon network to markets where aggregates supply is limited. The Company’s rail network primarily serves its Texas, Southeast and Gulf Coast markets, while the Company’s locatons in The Bahamas and Nova Scota transport materials via oceangoing ships. The Company’s strategic focus includes expanding inland and ofshore capacity and acquiring distributon facilites and port locatons to ofoad and sell transported material. As of December 31, 2024, the Company’s aggregates distributon facilites consisted of 78 distributon yards. The Company’s rail-based distributon network, coupled with the extensive use of rail service, increases the Company’s dependence on and exposure to railroad performance, including track congeston, crew availability, railcar availability, locomotve availability and the ability to negotate favorable railroad shipping contracts. The waterborne distributon network also increases the Company’s exposure to certain risks, including, among other items, meetng minimum tonnage requirements of shipping contracts, demurrage costs, fuel costs, ship availability and weather disruptons. The Company has agreements with shipping companies to provide vessels to transport its aggregates to various coastal ports.</w:t>
      </w:r>
    </w:p>
    <w:p>
      <w:pPr>
        <w:spacing w:after="0" w:line="13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 w:name="page5"/>
    <w:bookmarkEnd w:id="4"/>
    <w:p>
      <w:pPr>
        <w:ind w:left="934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generally acquires contguous property around existng quarry locatons. Such parcels can serve as bufer property or additonal mineral reserves, assuming the underlying geology supports economical aggregates mining. In either instance, the acquisiton of additonal property around an existng quarry typically allows the expansion of the quarry footprint and extension of quarry life. Some locatons having limited reserves may be unable to expand.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the nature of the indigenous aggregates supply in the midwestern United States, a long-term capital focus for the Company is underground limestone aggregates mines. Producton costs are generally higher at underground mines than surface quarries because the depth of the aggregates deposits and the access to the reserves result in higher costs related to development, explosives and depreciaton costs. However, these locatons ofen possess marketplace transportaton advantages that can lead to higher average selling prices than more distant surface quarries.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constructon aggregates industry has been consolidatng, and the Company has actvely partcipated in the industry’s consolidaton. The Company’s Board of Directors and management contnue to review and monitor the Company’s long-term strategic plans, commonly referred to as SOAR (</w:t>
      </w:r>
      <w:r>
        <w:rPr>
          <w:rFonts w:ascii="Calibri" w:cs="Calibri" w:eastAsia="Calibri" w:hAnsi="Calibri"/>
          <w:sz w:val="18"/>
          <w:szCs w:val="18"/>
          <w:u w:val="single" w:color="auto"/>
          <w:color w:val="auto"/>
        </w:rPr>
        <w:t>S</w:t>
      </w:r>
      <w:r>
        <w:rPr>
          <w:rFonts w:ascii="Calibri" w:cs="Calibri" w:eastAsia="Calibri" w:hAnsi="Calibri"/>
          <w:sz w:val="18"/>
          <w:szCs w:val="18"/>
          <w:color w:val="auto"/>
        </w:rPr>
        <w:t xml:space="preserve">trategic </w:t>
      </w:r>
      <w:r>
        <w:rPr>
          <w:rFonts w:ascii="Calibri" w:cs="Calibri" w:eastAsia="Calibri" w:hAnsi="Calibri"/>
          <w:sz w:val="18"/>
          <w:szCs w:val="18"/>
          <w:u w:val="single" w:color="auto"/>
          <w:color w:val="auto"/>
        </w:rPr>
        <w:t>O</w:t>
      </w:r>
      <w:r>
        <w:rPr>
          <w:rFonts w:ascii="Calibri" w:cs="Calibri" w:eastAsia="Calibri" w:hAnsi="Calibri"/>
          <w:sz w:val="18"/>
          <w:szCs w:val="18"/>
          <w:color w:val="auto"/>
        </w:rPr>
        <w:t xml:space="preserve">peratng </w:t>
      </w:r>
      <w:r>
        <w:rPr>
          <w:rFonts w:ascii="Calibri" w:cs="Calibri" w:eastAsia="Calibri" w:hAnsi="Calibri"/>
          <w:sz w:val="18"/>
          <w:szCs w:val="18"/>
          <w:u w:val="single" w:color="auto"/>
          <w:color w:val="auto"/>
        </w:rPr>
        <w:t>A</w:t>
      </w:r>
      <w:r>
        <w:rPr>
          <w:rFonts w:ascii="Calibri" w:cs="Calibri" w:eastAsia="Calibri" w:hAnsi="Calibri"/>
          <w:sz w:val="18"/>
          <w:szCs w:val="18"/>
          <w:color w:val="auto"/>
        </w:rPr>
        <w:t xml:space="preserve">nalysis and </w:t>
      </w:r>
      <w:r>
        <w:rPr>
          <w:rFonts w:ascii="Calibri" w:cs="Calibri" w:eastAsia="Calibri" w:hAnsi="Calibri"/>
          <w:sz w:val="18"/>
          <w:szCs w:val="18"/>
          <w:u w:val="single" w:color="auto"/>
          <w:color w:val="auto"/>
        </w:rPr>
        <w:t>R</w:t>
      </w:r>
      <w:r>
        <w:rPr>
          <w:rFonts w:ascii="Calibri" w:cs="Calibri" w:eastAsia="Calibri" w:hAnsi="Calibri"/>
          <w:sz w:val="18"/>
          <w:szCs w:val="18"/>
          <w:color w:val="auto"/>
        </w:rPr>
        <w:t>eview), which include assessing portolio optmizaton strategies such as business combinatons and arrangements with other companies engaged in similar businesses, investng in internal expansion projects in high-growth markets, divestng businesses or nonoperatng assets that are not core or do not further management’s strategy and pursuing new opportunites in the Company’s existng markets or new markets. Acquisiton opportunites include public companies, public company carve-outs and private sponsor-owned and family-owned businesses, as well as asset swaps and divesttures from companies executng their strategic plans, ratonalizing non-core assets and repairing fnancially-constrained balance sheets. When acquired, new locatons sometmes do not satsfy the Company’s internal safety, maintenance, pit development or other standards, and may require additonal investments before benefts of the acquisitons are fully realized.</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believes its aggregates reserves are sufcient to permit producton at present operatonal levels for the foreseeable future. The Company does not antcipate any signifcant difculty in accessing reserves used for producton. The Company’s aggregates reserves average more than 85 years, based on the 2024 annual producton level. However, certain locatons may be subject to limited reserves and may not be able to expand. Moreover, environmental, zoning and land use regulatons will likely make it more difcult for the Company to expand its existng quarries or develop new quarry operatons. Although it cannot be predicted what policies will be adopted in the future by federal, state and local governmental bodies regarding these maters, the Company antcipates that future restrictons will likely make zoning and permitng more difcult, thereby potentally enhancing the value of the Company’s existng mineral reserves.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generally sells its aggregates upon receipt of customer orders or requests. The Company generally maintains inventories of aggregates products in sufcient quanttes to meet customer requirements.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Cement and Downstream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is the basic agent used to bind aggregates, sand and water in the producton of ready mixed concrete. Similar to aggregates, cement is used in infrastructure projects, nonresidental and residental constructon, and the railroad, agricultural, utlity and environmental industries. Consequently, the cement industry is cyclical and dependent on the strength of the constructon sector. As of December 31, 2024, the Company has one producton facility in Midlothian, Texas, south of Dallas/Fort Worth, which produces Portland and specialty cements. Clinker is the intermediate product in cement producton, and the Texas producton facility has an annual clinker capacity of 2.4 million tons. The Company completed a fnishing capacity expansion project at the Midlothian plant in August 2024, which will provide 0.45 million tons of incremental annual cement producton capacity. Further, the Company has converted its Midlothian plant to manufacture a less carbon-intensive Portland limestone cement, known as Type 1L, which has been approved by the Texas Department of Transportaton and allows the producton of more cement with less clinker.</w:t>
      </w:r>
    </w:p>
    <w:p>
      <w:pPr>
        <w:spacing w:after="0" w:line="11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Calcium carbonate in the form of limestone is the principal raw material used in the producton of cement. Management believes that its reserves of limestone are sufcient to permit producton at its cement plant at the current operatonal levels for the foreseeable future.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consumpton is dependent on the tme of year and prevalent weather conditons. According to the Portland Cement Associaton, nearly two-thirds of U.S. cement consumpton occurs in the six months between May and October. Approximately 70% to 75% of all cement shipments are sent to ready mixed concrete operators. The remainder is shipped to manufacturers of concrete-related products, contractors, materials dealers and oil well/mining/drilling companies. The Company's cement operaton generally delivers its products upon receipt of customer orders or requests. Inventory for products is generally maintained in sufcient quanttes to meet customers' rapid delivery requirements.</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 w:name="page6"/>
    <w:bookmarkEnd w:id="5"/>
    <w:p>
      <w:pPr>
        <w:ind w:left="934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Ready mixed concrete is measured in cubic yards and specifcally batched or produced for customers’ constructon projects and then typically transported by mixer trucks and poured at the project site. The aggregate used for ready mixed concrete is a washed material with limited amounts of fnes (such as dirt and clay). As of December 31, 2024, the Company operated 72 ready mixed concrete plants in Arizona and Texas. Asphalt is most commonly used in surfacing roads and parking lots and consists of liquid asphalt, or bitumen (the binding medium), and aggregates. Similar to ready mixed concrete, each asphalt batch is produced to customer specifcatons. As of December 31, 2024, the Company operated 38 asphalt plants in Arizona, California, Colorado and Minnesota. The Company also ofers paving services in California and Colorado. Market dynamics for these downstream product lines include a highly compettve environment and lower barriers to entry compared with aggregates and cement.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cement and downstream operatons results are afected by volatle factors, including energy-related costs, operatng efciencies and weather, to a greater extent than the Company’s aggregates operatons. Liquid asphalt and cement serve as key raw materials in the producton of hot mix asphalt and ready mixed concrete, respectvely. Therefore, fuctuatons in prices for these raw materials directly afect the Company’s operatng results.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Magnesia Specialtes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produces and sells dolomitc lime from its Woodville, Ohio facility and manufactures magnesia-based chemical products for industrial, agricultural and environmental applicatons at its Manistee, Michigan facility. These magnesia-based chemical products have varying uses, including fame retardants, wastewater treatment, pulp and paper producton and other applicatons. In 2024, 59% of Magnesia Specialtes’ revenues were atributable to chemical products, 40% to lime, and 1% to stone sold as constructon materials.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Magnesia Specialtes generally delivers its products upon receipt of customer orders or requests. Inventory for products is generally maintained in sufcient quanttes to meet customers' rapid delivery requirements. Dolomitc lime products sold to external customers are used primarily by the steel industry. Accordingly, a porton of the revenues and proftability of the Magnesia Specialtes business is afected by the steel industry's producton and inventory trends. These trends are guided by the rate of consumer consumpton, the fow of ofshore imports and other economic factors.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principal raw materials used in the Magnesia Specialtes business are dolomitc limestone and magnesium-rich brine. Management believes that its reserves of dolomitc limestone and brine are sufcient to permit producton at the current operatonal levels for the foreseeable future.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Magnesia Specialtes business, a signifcant porton of costs is of a fxed or semi-fxed nature. The producton process requires the use of natural gas, coal and petroleum coke. Therefore, fuctuatons in their pricing directly afect operatng results.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Given high fxed costs, low capacity utlizaton can negatvely afect the segment’s results from operatons. Management has shifed the strategic focus of the magnesia-based business to grow and diversify the specialty chemicals product portolio to reliably produce at volume levels that support efcient operatons. Accordingly, these products are less dependent on the steel industry than the dolomitc lime product line. Management expects future organic proft growth to result from increased pricing, commercializaton of new products, entry into new or adjacent markets and optmizaton of overall product mix.</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Magnesia Specialtes business is highly dependent on rail transportaton, partcularly for movement of dolomitc lime from Woodville to Manistee and direct customer shipments of dolomitc lime and magnesia chemicals products from both Woodville and Manistee. The segment can be afected by the specifc transportaton and other risks and uncertaintes outlined under </w:t>
      </w:r>
      <w:r>
        <w:rPr>
          <w:rFonts w:ascii="Calibri" w:cs="Calibri" w:eastAsia="Calibri" w:hAnsi="Calibri"/>
          <w:sz w:val="18"/>
          <w:szCs w:val="18"/>
          <w:u w:val="single" w:color="auto"/>
          <w:color w:val="007DC6"/>
        </w:rPr>
        <w:t>Item 1A, Risk Factors</w:t>
      </w:r>
      <w:r>
        <w:rPr>
          <w:rFonts w:ascii="Calibri" w:cs="Calibri" w:eastAsia="Calibri" w:hAnsi="Calibri"/>
          <w:sz w:val="18"/>
          <w:szCs w:val="18"/>
          <w:color w:val="auto"/>
        </w:rPr>
        <w:t xml:space="preserve">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-17780</wp:posOffset>
            </wp:positionV>
            <wp:extent cx="9448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Patents and Trademarks</w:t>
      </w:r>
    </w:p>
    <w:p>
      <w:pPr>
        <w:spacing w:after="0" w:line="5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As of January 31, 2025, the Company owns, has the right to use, or has pending applicatons for patents pending or granted by the United States and various countries and trademarks related to its business. The Company believes that its rights under its existng patents, patent applicatons and trademarks are of value to its operatons, but no one patent or trademark or group of patents or trademarks is material to the conduct of the Company’s business as a whole.</w:t>
      </w: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Customers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products are sold principally to commercial customers in private industry. Although large amounts of constructon materials are used in public works projects, relatvely insignifcant sales are made directly to federal, state, county or municipal governments, or agencies thereof. No material part of the business as a whole, or of any segment of the Company,</w:t>
      </w:r>
    </w:p>
    <w:p>
      <w:pPr>
        <w:spacing w:after="0" w:line="12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 w:name="page7"/>
    <w:bookmarkEnd w:id="6"/>
    <w:p>
      <w:pPr>
        <w:ind w:left="934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is dependent upon a single customer or upon a few customers. The loss of any single customer would not have a material adverse efect on the Company.</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Competton</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nature of the Company’s competton varies among its products due to the widely difering amounts of capital necessary to build and maintain producton facilites. Crushed stone producton from quarries or mines and sand and gravel producton by dredging or otherwise are moderately capital intensive. Constructon of cement producton facilites is highly capital intensive and requires long lead tmes to complete engineering design, obtain regulatory permits, acquire equipment and construct a plant. Most domestc cement producers are subsidiaries of large multnatonal companies that operate in multple internatonal markets. Many of these producers maintain the capability to import cement from foreign producton facilites. Producing ready mixed concrete involves relatvely low capital investment to build a concrete batching plant and acquire delivery trucks. Accordingly, economics can lead to lower barriers to entry in some concrete markets. As a result, depending on the local market, the Company may face competton from small producers as well as large, vertcally-integrated companies with facilites in many markets.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operates in a highly fragmented industry, including large, public companies and a signifcant number of small privately-held companies. In 2024, other publicly traded companies among the ten-largest U.S. aggregates producers included the following:</w:t>
      </w:r>
    </w:p>
    <w:p>
      <w:pPr>
        <w:spacing w:after="0" w:line="64" w:lineRule="exact"/>
        <w:rPr>
          <w:sz w:val="20"/>
          <w:szCs w:val="20"/>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Arcosa, Inc.</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CEMEX S.A.B. de C.V.</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CRH plc</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Heidelberg Materials AG</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Holcim Ltd.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Knife River Corporaton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Summit Materials, Inc.</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Vulcan Materials Company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the localized nature of the industry resultng from the high cost of transportaton relatve to the price of the product, the Building Materials business primarily operates in smaller distnct areas that can vary from one another. The Company believes that its ability to transport materials by rail and waterborne vessels has enhanced its ability to compete in the building materials industry.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competes with various companies in diferent geographic and product areas principally on the basis of quality, price, technological advances and technical support for its products. While the revenues of the Magnesia Specialtes business in 2024 were predominantly domestc, a porton was derived from customers located outside the United States.</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Environmental and Governmental Regulatons</w:t>
      </w:r>
    </w:p>
    <w:p>
      <w:pPr>
        <w:spacing w:after="0" w:line="1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Overview</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operatons are subject to and afected by federal, state and local laws, rules and regulatons relatng to zoning, land use, mining, air emissions (including carbon dioxide and other greenhouse gases), water use, allocaton and discharges, waste management, noise and dust exposure control, reclamaton and other environmental, health and safety, and regulatory maters. Certain of the Company’s operatons may occasionally involve the use of substances that are classifed as toxic or hazardous within the meaning of these laws and regulatons. Environmental operatng permits are, or may be, required for certain of the Company’s operatons, and such permits are subject to modifcaton, renewal and revocaton.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Environmental Compliance and Costs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regularly monitors and reviews its operatons, procedures and policies for compliance with existng laws, rules and regulatons, changes in interpretatons of existng laws and enforcement policies, new laws that are adopted and new laws that the Company antcipates will be adopted that could afect its operatons, including with respect to climate change. The Company has a full-tme team of environmental engineers and managers that perform these responsibilites. The direct costs</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 w:name="page8"/>
    <w:bookmarkEnd w:id="7"/>
    <w:p>
      <w:pPr>
        <w:ind w:left="934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 ongoing environmental compliance were approximately $58 million in 2024 and $45 million in 2023 and are related to the Company’s environmental staf, ongoing monitoring costs for various maters (including those maters disclosed in this Form 10-K) and asset retrement costs. Capitalized costs related to environmental control facilites were $32 million in 2024 and are expected to be approximately $35 million in both 2025 and 2026. The Company’s capital expenditures for environmental maters were not material to its results of operatons or fnancial conditon in 2024 and 2023. However, the Company’s expenditures for environmental maters generally have increased over tme and are likely to increase in the future. Despite the Company’s compliance eforts, the risk of environmental liability is inherent in the Company’s businesses, and environmental liabilites could have a material adverse efect on the Company in the future. Complying with governmental and environmental regulatons did not have and is not expected to have a material efect on the Company’s capital expenditures, earnings and compettve positon, other than as discussed in this secton.</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Many of the applicable requirements of environmental laws are satsfed by procedures that the Company adopts as best practces in the ordinary course of its business. For example, plant equipment that is used to crush aggregates products may, in the ordinary course of operatons, have an atached water spray bar that is used to clean the stone. The water spray bar also serves as a dust control mechanism that complies with applicable environmental laws. Moreover, the Company does not separate the porton of the cost, depreciaton and other fnancial informaton relatng to the water spray bar that is atributable only to environmental purposes, because such an allocaton would be arbitrary. The incremental porton of such operatng costs that is atributable to environmental compliance rather than best operatng practces is impractcal to quantfy. Accordingly, the Company records costs in that category when incurred as operatng expenses.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Consistent with other cement producers, the Company’s cement operaton produces varying quanttes of cement kiln dust (CKD). This producton by-product consists of fne-grained, solid, highly alkaline material removed from cement kiln exhaust gas by air polluton control devices. Because much of the CKD is unreacted raw materials, it is generally permissible to recycle the CKD back into the producton process, and large amounts ofen are treated in such manner. CKD that is not returned to the producton process or sold as a separate product is disposed in landflls. CKD is currently exempted from federal hazardous waste regulatons under Subttle C of the Resource Conservaton and Recovery Act.</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environmental accruals recorded by the Company are based on internal studies of the required remediaton costs and estmates of potental costs that arise from tme to tme under federal, state and/or local environmental protecton laws. Many of these laws and their atendant regulatons are complex and are subject to challenges and new interpretatons by regulators and the courts. In additon, new laws are also enacted from tme to tme. It is ofen difcult to accurately and fully quantfy the costs to comply with new rules untl it is determined to which type of operatons they will apply and the manner in which they will be implemented is more accurately defned. This process typically takes years to fnalize, and the rules ofen change signifcantly from the tme they are proposed to the tme they are fnal. The Company typically has several appropriate alternatves available to satsfy compliance requirements, which could range from nominal costs to some alternatves that may be satsfed in conjuncton with equipment replacement or expansion that also beneft operatng efciencies or capacites and carry signifcantly higher costs.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Management believes that its current accrual for environmental costs is reasonable, although those amounts may increase or decrease depending on the impact of applicable rules as they are fnalized or amended from tme to tme and changes in facts and circumstances. The Company believes that its operatons and facilites, both owned or leased, are in substantal compliance with applicable laws and regulatons and any potental noncompliance is not likely to have a material adverse efect on the Company’s operatons or fnancial conditon. See </w:t>
      </w:r>
      <w:r>
        <w:rPr>
          <w:rFonts w:ascii="Calibri" w:cs="Calibri" w:eastAsia="Calibri" w:hAnsi="Calibri"/>
          <w:sz w:val="18"/>
          <w:szCs w:val="18"/>
          <w:u w:val="single" w:color="auto"/>
          <w:color w:val="007DC6"/>
        </w:rPr>
        <w:t>Legal Proceedings</w:t>
      </w:r>
      <w:r>
        <w:rPr>
          <w:rFonts w:ascii="Calibri" w:cs="Calibri" w:eastAsia="Calibri" w:hAnsi="Calibri"/>
          <w:sz w:val="18"/>
          <w:szCs w:val="18"/>
          <w:color w:val="auto"/>
        </w:rPr>
        <w:t xml:space="preserve"> under Item 3 of this Form 10-K, </w:t>
      </w:r>
      <w:r>
        <w:rPr>
          <w:rFonts w:ascii="Calibri" w:cs="Calibri" w:eastAsia="Calibri" w:hAnsi="Calibri"/>
          <w:sz w:val="18"/>
          <w:szCs w:val="18"/>
          <w:u w:val="single" w:color="auto"/>
          <w:color w:val="007DC6"/>
        </w:rPr>
        <w:t>Note 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Commitments and Contngencies</w:t>
      </w:r>
      <w:r>
        <w:rPr>
          <w:rFonts w:ascii="Calibri" w:cs="Calibri" w:eastAsia="Calibri" w:hAnsi="Calibri"/>
          <w:sz w:val="18"/>
          <w:szCs w:val="18"/>
          <w:color w:val="007DC6"/>
        </w:rPr>
        <w:t xml:space="preserve"> </w:t>
      </w:r>
      <w:r>
        <w:rPr>
          <w:rFonts w:ascii="Calibri" w:cs="Calibri" w:eastAsia="Calibri" w:hAnsi="Calibri"/>
          <w:sz w:val="18"/>
          <w:szCs w:val="18"/>
          <w:color w:val="000000"/>
        </w:rPr>
        <w:t>of the</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007DC6"/>
        </w:rPr>
        <w:t xml:space="preserve"> </w:t>
      </w:r>
      <w:r>
        <w:rPr>
          <w:rFonts w:ascii="Calibri" w:cs="Calibri" w:eastAsia="Calibri" w:hAnsi="Calibri"/>
          <w:sz w:val="18"/>
          <w:szCs w:val="18"/>
          <w:color w:val="000000"/>
        </w:rPr>
        <w:t>of the Company’s consolidated fnancial statements included under</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8, Financial</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Statements and Supplemental Data</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and the</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Environmental Regulaton and Litgaton</w:t>
      </w:r>
      <w:r>
        <w:rPr>
          <w:rFonts w:ascii="Calibri" w:cs="Calibri" w:eastAsia="Calibri" w:hAnsi="Calibri"/>
          <w:sz w:val="18"/>
          <w:szCs w:val="18"/>
          <w:color w:val="007DC6"/>
        </w:rPr>
        <w:t xml:space="preserve"> </w:t>
      </w:r>
      <w:r>
        <w:rPr>
          <w:rFonts w:ascii="Calibri" w:cs="Calibri" w:eastAsia="Calibri" w:hAnsi="Calibri"/>
          <w:sz w:val="18"/>
          <w:szCs w:val="18"/>
          <w:color w:val="000000"/>
        </w:rPr>
        <w:t>secton included under</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7, Management’s</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Discussion and Analysis of Financial Conditon 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However, future events, such as changes in or modifed</w:t>
      </w:r>
      <w:r>
        <w:rPr>
          <w:rFonts w:ascii="Calibri" w:cs="Calibri" w:eastAsia="Calibri" w:hAnsi="Calibri"/>
          <w:sz w:val="18"/>
          <w:szCs w:val="18"/>
          <w:color w:val="007DC6"/>
        </w:rPr>
        <w:t xml:space="preserve"> </w:t>
      </w:r>
      <w:r>
        <w:rPr>
          <w:rFonts w:ascii="Calibri" w:cs="Calibri" w:eastAsia="Calibri" w:hAnsi="Calibri"/>
          <w:sz w:val="18"/>
          <w:szCs w:val="18"/>
          <w:color w:val="000000"/>
        </w:rPr>
        <w:t>interpretatons of existng laws and regulatons or enforcement policies, or further investgaton or evaluaton of the potental health hazards of certain products or business actvites, may give rise to additonal compliance and other costs that could have a material adverse efect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4434205</wp:posOffset>
            </wp:positionH>
            <wp:positionV relativeFrom="paragraph">
              <wp:posOffset>-700405</wp:posOffset>
            </wp:positionV>
            <wp:extent cx="810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890"/>
                    </a:xfrm>
                    <a:prstGeom prst="rect">
                      <a:avLst/>
                    </a:prstGeom>
                    <a:noFill/>
                  </pic:spPr>
                </pic:pic>
              </a:graphicData>
            </a:graphic>
          </wp:anchor>
        </w:drawing>
        <w:drawing>
          <wp:anchor simplePos="0" relativeHeight="251657728" behindDoc="1" locked="0" layoutInCell="0" allowOverlap="1">
            <wp:simplePos x="0" y="0"/>
            <wp:positionH relativeFrom="column">
              <wp:posOffset>6771005</wp:posOffset>
            </wp:positionH>
            <wp:positionV relativeFrom="paragraph">
              <wp:posOffset>-700405</wp:posOffset>
            </wp:positionV>
            <wp:extent cx="35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3218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18180" cy="8255"/>
                    </a:xfrm>
                    <a:prstGeom prst="rect">
                      <a:avLst/>
                    </a:prstGeom>
                    <a:noFill/>
                  </pic:spPr>
                </pic:pic>
              </a:graphicData>
            </a:graphic>
          </wp:anchor>
        </w:drawing>
        <w:drawing>
          <wp:anchor simplePos="0" relativeHeight="251657728" behindDoc="1" locked="0" layoutInCell="0" allowOverlap="1">
            <wp:simplePos x="0" y="0"/>
            <wp:positionH relativeFrom="column">
              <wp:posOffset>6376035</wp:posOffset>
            </wp:positionH>
            <wp:positionV relativeFrom="paragraph">
              <wp:posOffset>-563245</wp:posOffset>
            </wp:positionV>
            <wp:extent cx="7607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0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1656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6080" cy="825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-426085</wp:posOffset>
            </wp:positionV>
            <wp:extent cx="1875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75790" cy="825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-426085</wp:posOffset>
            </wp:positionV>
            <wp:extent cx="1067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7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34645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Mine Safety and Land Reclamaton</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general, mining, producton and distributon facilites for aggregates, cement, ready mixed concrete and asphalt must comply with air quality, water quality and other environmental regulatons, zoning and special use permitng requirements, applicable mining regulatons, and federal health and safety requirements. As the Company locates and acquires new producton and distributon facilites, the Company works closely with local authorites during the zoning and permitng processes to design new quarries, mines, producton and distributon facilites in such a way as to minimize disturbances. The Company frequently</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 w:name="page9"/>
    <w:bookmarkEnd w:id="8"/>
    <w:p>
      <w:pPr>
        <w:ind w:left="934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acquires large tracts of land so that quarry, mine, producton and distributon facilites can be situated at a substantal distance from surrounding property owners. Also, in certain markets, the Company’s ability to transport material by rail or water allows it to locate its facilites further away from residental areas. The Company has established policies designed to minimize disturbances to surrounding property owners from its operatons.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is the case with other similarly situated companies, some of the Company’s products contain varying amounts of crystalline silica, a common mineral also known as quartz. Excessive, prolonged inhalaton of very small-sized partcles of crystalline silica has been associated with lung diseases, including silicosis, and several scientfc organizatons and some states, such as California, have reported that crystalline silica can cause lung cancer. The Mine Safety and Health Administraton (MSHA) and the Occupatonal Safety and Health Administraton (OSHA) have established occupatonal thresholds for crystalline silica exposure as respirable dust. The Company monitors occupatonal exposures at its facilites and implements dust control procedures and/or makes available appropriate respiratory protectve equipment to maintain the occupatonal exposures at or below the required levels. The Company, through safety informaton sheets and other means, also communicates appropriate warnings and cautons its employees and customers about the risks associated with excessive, prolonged inhalaton of mineral dust in general and crystalline silica in partcular.</w:t>
      </w:r>
    </w:p>
    <w:p>
      <w:pPr>
        <w:spacing w:after="0" w:line="115"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The Company is generally required by state or local laws or pursuant to the terms of an applicable lease to reclaim quarry sites afer use. Future reclamaton costs are estmated using statutory reclamaton requirements and management’s experience and knowledge in the industry, and are discounted to their present value using a credit-adjusted, risk-free interest rate. The future reclamaton costs are not ofset by potental recoveries. For additonal informaton regarding compliance with legal requirements, see </w:t>
      </w:r>
      <w:r>
        <w:rPr>
          <w:rFonts w:ascii="Calibri" w:cs="Calibri" w:eastAsia="Calibri" w:hAnsi="Calibri"/>
          <w:sz w:val="17"/>
          <w:szCs w:val="17"/>
          <w:u w:val="single" w:color="auto"/>
          <w:color w:val="007DC6"/>
        </w:rPr>
        <w:t>Note N: Commitments and Contngencies</w:t>
      </w:r>
      <w:r>
        <w:rPr>
          <w:rFonts w:ascii="Calibri" w:cs="Calibri" w:eastAsia="Calibri" w:hAnsi="Calibri"/>
          <w:sz w:val="17"/>
          <w:szCs w:val="17"/>
          <w:color w:val="auto"/>
        </w:rPr>
        <w:t xml:space="preserve"> of the </w:t>
      </w:r>
      <w:r>
        <w:rPr>
          <w:rFonts w:ascii="Calibri" w:cs="Calibri" w:eastAsia="Calibri" w:hAnsi="Calibri"/>
          <w:sz w:val="17"/>
          <w:szCs w:val="17"/>
          <w:u w:val="single" w:color="auto"/>
          <w:color w:val="007DC6"/>
        </w:rPr>
        <w:t>Notes to Financial Statements</w:t>
      </w:r>
      <w:r>
        <w:rPr>
          <w:rFonts w:ascii="Calibri" w:cs="Calibri" w:eastAsia="Calibri" w:hAnsi="Calibri"/>
          <w:sz w:val="17"/>
          <w:szCs w:val="17"/>
          <w:color w:val="auto"/>
        </w:rPr>
        <w:t xml:space="preserve"> of the Company’s consolidated fnancial statements included in </w:t>
      </w:r>
      <w:r>
        <w:rPr>
          <w:rFonts w:ascii="Calibri" w:cs="Calibri" w:eastAsia="Calibri" w:hAnsi="Calibri"/>
          <w:sz w:val="17"/>
          <w:szCs w:val="17"/>
          <w:u w:val="single" w:color="auto"/>
          <w:color w:val="007DC6"/>
        </w:rPr>
        <w:t>Item 8, Financial Statements and Supplemental Data</w:t>
      </w:r>
      <w:r>
        <w:rPr>
          <w:rFonts w:ascii="Calibri" w:cs="Calibri" w:eastAsia="Calibri" w:hAnsi="Calibri"/>
          <w:sz w:val="17"/>
          <w:szCs w:val="17"/>
          <w:color w:val="auto"/>
        </w:rPr>
        <w:t xml:space="preserve"> of this Form 10-K. The Company performs actvites on an ongoing basis, as an integral part of the normal quarrying process, that may reduce the ultmate reclamaton obligatons. For example, the perimeter and interior walls of an open pit quarry are sloped and benched as they are developed to prevent erosion and provide stabilizaton. This sloping and benching meets both safety regulatons required by MSHA for ongoing operatons as well as fnal reclamaton requirements. Therefore, these types of actvites are included in normal operatng costs and are not a part of the asset retrement obligaton. Reclaimed quarry sites owned by the Company are from tme to tme available for sale, typically for commercial development or use as water reservoirs, or have been converted for recreatonal use by the local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-843280</wp:posOffset>
            </wp:positionV>
            <wp:extent cx="37820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82060" cy="8255"/>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-706120</wp:posOffset>
            </wp:positionV>
            <wp:extent cx="2390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Sustainability Risks and Opportunites</w:t>
      </w:r>
    </w:p>
    <w:p>
      <w:pPr>
        <w:spacing w:after="0" w:line="111"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auto"/>
        </w:rPr>
        <w:t>The Board and management have identfed certain risks related to a lower-carbon economy, risks related to the physical impacts of climate change and other climate-related opportunites.</w:t>
      </w:r>
    </w:p>
    <w:p>
      <w:pPr>
        <w:spacing w:after="0" w:line="118" w:lineRule="exact"/>
        <w:rPr>
          <w:sz w:val="20"/>
          <w:szCs w:val="20"/>
          <w:color w:val="auto"/>
        </w:rPr>
      </w:pPr>
    </w:p>
    <w:p>
      <w:pPr>
        <w:jc w:val="both"/>
        <w:spacing w:after="0" w:line="246" w:lineRule="auto"/>
        <w:rPr>
          <w:sz w:val="20"/>
          <w:szCs w:val="20"/>
          <w:color w:val="auto"/>
        </w:rPr>
      </w:pPr>
      <w:r>
        <w:rPr>
          <w:rFonts w:ascii="Calibri" w:cs="Calibri" w:eastAsia="Calibri" w:hAnsi="Calibri"/>
          <w:sz w:val="20"/>
          <w:szCs w:val="20"/>
          <w:i w:val="1"/>
          <w:iCs w:val="1"/>
          <w:color w:val="00B0F0"/>
        </w:rPr>
        <w:t xml:space="preserve">Board Oversight and the Role of Management </w:t>
      </w:r>
      <w:r>
        <w:rPr>
          <w:rFonts w:ascii="Calibri" w:cs="Calibri" w:eastAsia="Calibri" w:hAnsi="Calibri"/>
          <w:sz w:val="17"/>
          <w:szCs w:val="17"/>
          <w:color w:val="000000"/>
        </w:rPr>
        <w:t>The Board of Directors has an essental role in determining the Company's strategic priorites, and</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sustainability maters are an integral part of its governance and oversight of the business. In 1994, the Company established an Ethics, Environment, Safety and Health (EESH) Commitee, which currently meets at least four tmes annually. The EESH Commitee receives reports directly from management relatng to environmental, safety, ethics and other sustainability maters, including greenhouse gas (GHG) emissions, reviews input and engagement with investors on these maters, and monitors the Company's compliance with environmental, health and safety laws and regulatons, as well as its public reportng and disclosure with respect to sustainability risks and opportunites and other environmental issues. The EESH Commitee reports to the full Board. A number of other Board commitees have overlapping responsibility for sustainability maters, including the Audit Commitee, which reviews the Company's signifcant environmental maters and assesses the potental risks and liabilites they may pose to its business, and the Management Development and Compensaton Commitee, which reviews management's performance with regard to its sustainability goals and considers those achievements in determining incentve pay. While the Board oversees Martn Marieta's risk management, the executve ofcers are responsible for the day-to-day risk management processes, and management receives at least quarterly updates from operatng personnel directly responsible for compliance relatng to EESH maters. Management believes this division of responsibilites is the most efectve approach for addressing the risks facing the Company. The Company also has a Head of Sustainability, who reports directly to the General Counsel on environmental and other sustainability maters. The Company believes the above approach has been efectve in integratng sustainability as a core element of its corporate governance.</w:t>
      </w:r>
    </w:p>
    <w:p>
      <w:pPr>
        <w:spacing w:after="0" w:line="12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 w:name="page10"/>
    <w:bookmarkEnd w:id="9"/>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Transiton Risks</w:t>
      </w:r>
    </w:p>
    <w:p>
      <w:pPr>
        <w:spacing w:after="0" w:line="111"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b w:val="1"/>
          <w:bCs w:val="1"/>
          <w:color w:val="auto"/>
        </w:rPr>
        <w:t>The Company's sustainability risk management framework is designed to identfy various transiton risks, including policy and legal risks, technology risks, market risks and reputaton risks, associated with a lower-carbon economy.</w:t>
      </w:r>
    </w:p>
    <w:p>
      <w:pPr>
        <w:spacing w:after="0" w:line="118" w:lineRule="exact"/>
        <w:rPr>
          <w:sz w:val="20"/>
          <w:szCs w:val="20"/>
          <w:color w:val="auto"/>
        </w:rPr>
      </w:pPr>
    </w:p>
    <w:p>
      <w:pPr>
        <w:jc w:val="both"/>
        <w:spacing w:after="0" w:line="243" w:lineRule="auto"/>
        <w:rPr>
          <w:sz w:val="20"/>
          <w:szCs w:val="20"/>
          <w:color w:val="auto"/>
        </w:rPr>
      </w:pPr>
      <w:r>
        <w:rPr>
          <w:rFonts w:ascii="Calibri" w:cs="Calibri" w:eastAsia="Calibri" w:hAnsi="Calibri"/>
          <w:sz w:val="20"/>
          <w:szCs w:val="20"/>
          <w:i w:val="1"/>
          <w:iCs w:val="1"/>
          <w:color w:val="00B0F0"/>
        </w:rPr>
        <w:t xml:space="preserve">Policy and Legal Risks </w:t>
      </w:r>
      <w:r>
        <w:rPr>
          <w:rFonts w:ascii="Calibri" w:cs="Calibri" w:eastAsia="Calibri" w:hAnsi="Calibri"/>
          <w:sz w:val="17"/>
          <w:szCs w:val="17"/>
          <w:color w:val="000000"/>
        </w:rPr>
        <w:t>A number of governmental bodies, including U.S. regulatory agencies and various U.S. states, have proposed, enacted or are</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contemplatng legislatve and regulatory changes to mitgate or address the potental impacts of climate change, including provisions for GHG emissions reportng or reductons, the use of alternatve fuels, carbon credits (such as a cap-and-trade system) and a carbon tax. For example, in the United States, the United States Environmental Protecton Agency (USEPA) promulgated a rule mandatng that companies considered to be large emiters of GHGs report those emissions. The manufacturing operatons of the Company’s Magnesia Specialtes business release carbon dioxide, methane and nitrous oxides during the producton of lime, magnesium oxide and hydroxide products. The Company’s two magnesia-based chemicals facilites, as well as its cement plant in Texas, fle annual reports of their GHG emissions in accordance with the USEPA reportng rule. The primary business and operatons of the Company, however, including its aggregates, ready mixed concrete and asphalt and paving product lines, are not considered “major” sources of GHG emissions subject to the USEPA reportng rule. Most of the GHG emissions from aggregates plant operatons are tailpipe emissions from mobile sources, such as heavy constructon and earth-moving equipment.</w:t>
      </w:r>
    </w:p>
    <w:p>
      <w:pPr>
        <w:spacing w:after="0" w:line="33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Company’s cement plant and its Magnesia Specialtes plants are strictly regulated with respect to GHG emissions and hold Title V Permits, and each (other than the Manistee, Michigan facility) is also subject to the U.S. Clean Air Act's Preventon of Signifcant Deterioraton (PSD) requirements, which require a permit program for certain new or modifed sources of emissions. Although several large-scale projects for carbon capture are in the development phase, no technologies or methods of operaton for reducing or capturing GHGs have yet been proven successful in large-scale applicatons, other than improvements in fuel efciency. If future modifcatons to the Company's facilites require PSD review for other pollutants, GHG permitng requirements may be triggered and may require signifcant additonal costs, which the Company expects would be passed on to customers. It is not currently possible to estmate the cost of any such future requirements. In additon, the USEPA and the U.S. Supreme Court have taken diferent positons with respect to the USEPA's authority to make rules in these and other areas which could create uncertainty regarding regulatory compliance on these maters in the future.</w:t>
      </w:r>
    </w:p>
    <w:p>
      <w:pPr>
        <w:spacing w:after="0" w:line="10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Various states where the Company has operatons have enacted or are considering climate change initatves that apply to the Company. In October 2023, California adopted its California Climate Accountability Package which includes annual reportng of Scope 1, Scope 2 and Scope 3 emissions on a phased-in implementaton schedule, climate-related risk reportng for certain companies and heightened disclosure standards around net zero emissions claims, carbon-neutral claims or signifcant GHG emissions reducton claims and the purchase or use of voluntary carbon ofsets used to achieve those claims. These and other state or federal climate-related or ant-climate, social and governance regulatons may result in signifcantly higher compliance costs and risks.</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cement operaton, like those of other cement producers, requires combuston of signifcant amounts of fuel to generate high kiln temperatures and create carbon dioxide as a product of the calcinaton process, which is presently an unavoidable step in making clinker, the essental component for cement producton. Accordingly, the Company contnues to closely monitor GHG regulatons and legislaton and its potental impact on the Company's cement business, fnancial conditon and product demand. The Company antcipates that any increased operatng costs or taxes relatng to GHG emission limitatons at the Woodville lime plant or Midlothian cement plant would be passed on to customers. The magnesium oxide products produced at the Manistee operaton, however, compete against other products that, due to the form and/or structure of the source material, require less energy in the calcinaton process, resultng in the generaton of fewer GHGs per ton of producton. The Manistee facility may be required to absorb additonal costs, including for taxes or capital investments, in order to maintain compettve pricing in that market. In additon, the cement produced by the Company’s cement operaton, like other U.S. producers, is subject to strict limits set by the U.S. Department of Transportaton (USDOT) and other agencies, including those relatng to “clinker substtuton”, or the replacement of ground clinker in cement with alternate materials such as pozzolan, slag and fy ash, which has implicatons for the Company’s fuel use and eforts to reduce GHG emissions from its cement operatons. For example, various industry associatons are engaged in an efort requestng the USDOT and other agencies to further revise their standards allowing for greater rates of clinker substtuton, similar to the rates currently permited for European cement producers. If higher rates of substtuton and blending are, in fact, permited in the future, the result is likely to be both reduced clinker and power consumpton in cement producton, which would, in turn, reduce GHGs emited in connecton with each ton of cement produced in the United States. The Company has contnued its rollout of Portland</w:t>
      </w:r>
    </w:p>
    <w:p>
      <w:pPr>
        <w:spacing w:after="0" w:line="13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 w:name="page11"/>
    <w:bookmarkEnd w:id="10"/>
    <w:p>
      <w:pPr>
        <w:ind w:left="934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Limestone Cement (PLC cement) with more than 90% of its Type I/II customers converted to the PLC product. PLC cement has reduced the GHG footprint of the Company's cement product line by greater than 10%.</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light of the various regulatory uncertaintes, the Company cannot presently reasonably predict the costs of any future compliance requirements. Nonetheless, the Company does not believe it will have a material adverse efect on the fnancial conditon or results of the operatons of either the Magnesia Specialtes business or Building Materials business.</w:t>
      </w:r>
    </w:p>
    <w:p>
      <w:pPr>
        <w:spacing w:after="0" w:line="109" w:lineRule="exact"/>
        <w:rPr>
          <w:sz w:val="20"/>
          <w:szCs w:val="20"/>
          <w:color w:val="auto"/>
        </w:rPr>
      </w:pPr>
    </w:p>
    <w:p>
      <w:pPr>
        <w:jc w:val="both"/>
        <w:spacing w:after="0" w:line="249" w:lineRule="auto"/>
        <w:rPr>
          <w:sz w:val="20"/>
          <w:szCs w:val="20"/>
          <w:color w:val="auto"/>
        </w:rPr>
      </w:pPr>
      <w:r>
        <w:rPr>
          <w:rFonts w:ascii="Calibri" w:cs="Calibri" w:eastAsia="Calibri" w:hAnsi="Calibri"/>
          <w:sz w:val="20"/>
          <w:szCs w:val="20"/>
          <w:i w:val="1"/>
          <w:iCs w:val="1"/>
          <w:color w:val="00B0F0"/>
        </w:rPr>
        <w:t xml:space="preserve">Technology Risks </w:t>
      </w:r>
      <w:r>
        <w:rPr>
          <w:rFonts w:ascii="Calibri" w:cs="Calibri" w:eastAsia="Calibri" w:hAnsi="Calibri"/>
          <w:sz w:val="17"/>
          <w:szCs w:val="17"/>
          <w:color w:val="000000"/>
        </w:rPr>
        <w:t>Consideraton of the impact of technology is integrated into the Company’s risk management process. The Company has adopted a</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corporate-wide sustainability risk management strategy, which has resulted in multple initatves to identfy and implement or evaluate GHG reducton processes and technologies that also improve operatonal efciencies, including: using alternatve fuels such as biodiesel; reducing overall fuel use by convertng from quarry trucks to conveyor systems; right-sizing quarry trucks to match the appropriately sized truck with the size of producton to reduce the number of required trips; replacing older railcars with more efcient, high-capacity models that reduce the number of required trips; adding rail capacity in lieu of truck movements; and installing state-of-the-art emissions control equipment at the Company’s magnesia plant and tre processing systems for fuel at the Company’s cement plant. The Company’s Midlothian cement plant has been recognized by the USEPA as a high-performing, energy-efcient facility following investments in innovatve air polluton control technologies and usage of alternatve fuels. The road to Net Zero for the Company and others in its industry requires operatonal changes, investments in sustainable energy, and in some cases, technology that is not yet available. The Company contnues to monitor various pilot projects being conducted relatng to the development of carbon capture technology; however, no technologies or methods of operaton for reducing or capturing GHGs from cement manufacture have yet been proven successful in a full producton environment, other than improvements in fuel efciency. While awaitng further development of carbon capture technology, the Company has invested heavily and contnues to look for opportunites to invest in its sustainability practces.</w:t>
      </w:r>
    </w:p>
    <w:p>
      <w:pPr>
        <w:spacing w:after="0" w:line="321" w:lineRule="exact"/>
        <w:rPr>
          <w:sz w:val="20"/>
          <w:szCs w:val="20"/>
          <w:color w:val="auto"/>
        </w:rPr>
      </w:pPr>
    </w:p>
    <w:p>
      <w:pPr>
        <w:jc w:val="both"/>
        <w:spacing w:after="0" w:line="245" w:lineRule="auto"/>
        <w:rPr>
          <w:sz w:val="20"/>
          <w:szCs w:val="20"/>
          <w:color w:val="auto"/>
        </w:rPr>
      </w:pPr>
      <w:r>
        <w:rPr>
          <w:rFonts w:ascii="Calibri" w:cs="Calibri" w:eastAsia="Calibri" w:hAnsi="Calibri"/>
          <w:sz w:val="20"/>
          <w:szCs w:val="20"/>
          <w:i w:val="1"/>
          <w:iCs w:val="1"/>
          <w:color w:val="00B0F0"/>
        </w:rPr>
        <w:t xml:space="preserve">Market Risks </w:t>
      </w:r>
      <w:r>
        <w:rPr>
          <w:rFonts w:ascii="Calibri" w:cs="Calibri" w:eastAsia="Calibri" w:hAnsi="Calibri"/>
          <w:sz w:val="17"/>
          <w:szCs w:val="17"/>
          <w:color w:val="000000"/>
        </w:rPr>
        <w:t>The nature of the Company’s competton varies among its products due to the difering amounts of capital necessary to build and maintain</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producton facilites and can be infuenced by sustainability risks and opportunites partcularly with respect to the Company’s small-but-strategic heritage cement business. Most domestc cement producers are owned by large non-U.S. companies operatng in multple internatonal markets that report their results (including sustainability and emissions-related metrics) on a world-wide consolidated basis. The Company is subject to U.S. environmental regulatons and there are critcal regulatory diferences between the U.S. and the European Union and difering calculaton methodologies for carbon intensity calculatons, blending and fuel choice that result in meaningful diferences in the makeup of corresponding end-products and reported emissions metrics. Those diferences, in turn, make like-for-like comparisons of the emissions performance of non-U.S. companies with the performance of the Company's heritage cement business challenging. To the extent that investors or consumers decide to use world-wide comparisons of these metrics in making investment and purchase decisions, the Company could be at a compettve disadvantage. Geography is critcally important when assessing market atractveness and growth opportunites for the Company. Atractve geographies generally exhibit (a) populaton growth and/or high populaton density, both of which are drivers of heavy-side building materials consumpton; (b) business and employment diversity, drivers of greater economic stability, and (c) a superior state fnancial positon, a driver of public infrastructure investment. All of these factors can be and are infuenced by weather paterns and physical risk and opportunites.</w:t>
      </w:r>
    </w:p>
    <w:p>
      <w:pPr>
        <w:spacing w:after="0" w:line="326" w:lineRule="exact"/>
        <w:rPr>
          <w:sz w:val="20"/>
          <w:szCs w:val="20"/>
          <w:color w:val="auto"/>
        </w:rPr>
      </w:pPr>
    </w:p>
    <w:p>
      <w:pPr>
        <w:jc w:val="both"/>
        <w:spacing w:after="0" w:line="249" w:lineRule="auto"/>
        <w:rPr>
          <w:sz w:val="20"/>
          <w:szCs w:val="20"/>
          <w:color w:val="auto"/>
        </w:rPr>
      </w:pPr>
      <w:r>
        <w:rPr>
          <w:rFonts w:ascii="Calibri" w:cs="Calibri" w:eastAsia="Calibri" w:hAnsi="Calibri"/>
          <w:sz w:val="20"/>
          <w:szCs w:val="20"/>
          <w:i w:val="1"/>
          <w:iCs w:val="1"/>
          <w:color w:val="00B0F0"/>
        </w:rPr>
        <w:t xml:space="preserve">Reputaton </w:t>
      </w:r>
      <w:r>
        <w:rPr>
          <w:rFonts w:ascii="Calibri" w:cs="Calibri" w:eastAsia="Calibri" w:hAnsi="Calibri"/>
          <w:sz w:val="17"/>
          <w:szCs w:val="17"/>
          <w:color w:val="000000"/>
        </w:rPr>
        <w:t>Disruptons to the Company’s operatons and to its customers' transportaton actvites by weather-related risks could impact the Company’s</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reputaton and result in additonal costs to the Company. Any failure or perceived failure to achieve or accurately report on the Company's current or future sustainability commitments, including its GHG reducton and net zero ambiton and targets, and any diferences between its commitments and those of any companies to which the Company is compared, could harm the Company's reputaton, adversely afect its ability to efectvely compete (including as a result of disclosure of proprietary informaton regarding its plants or changes in its ability to raise capital), adversely afect its recruitment and retenton eforts or expose the Company to potental legal liability. In additon, while the Company is commited to pursuing its sustainability objectves, there is no assurance that it will achieve any of its sustainability goals or commitments, that low- or non-carbon-based energy sources and technologies required to meet long-term emissions reductons in some of the sectors in which it operates will be available at scale in the United States on an economically feasible basis or that its suppliers can meet sustainability, emissions reductons and other standards that are required by current or future laws or established by its investors and other stakeholders. Failure to meet these commitments could result in reputatonal harm to the Company and changes regarding sustainability risk management and practces may result in higher regulatory and compliance risks and costs. Any violatons of law (including environmental law) or improper conduct could damage the Company's reputaton.</w:t>
      </w:r>
    </w:p>
    <w:p>
      <w:pPr>
        <w:spacing w:after="0" w:line="34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 w:name="page12"/>
    <w:bookmarkEnd w:id="11"/>
    <w:p>
      <w:pPr>
        <w:ind w:left="934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2" w:lineRule="exact"/>
        <w:rPr>
          <w:sz w:val="20"/>
          <w:szCs w:val="20"/>
          <w:color w:val="auto"/>
        </w:rPr>
      </w:pPr>
    </w:p>
    <w:p>
      <w:pPr>
        <w:jc w:val="both"/>
        <w:spacing w:after="0" w:line="246" w:lineRule="auto"/>
        <w:rPr>
          <w:sz w:val="20"/>
          <w:szCs w:val="20"/>
          <w:color w:val="auto"/>
        </w:rPr>
      </w:pPr>
      <w:r>
        <w:rPr>
          <w:rFonts w:ascii="Calibri" w:cs="Calibri" w:eastAsia="Calibri" w:hAnsi="Calibri"/>
          <w:sz w:val="20"/>
          <w:szCs w:val="20"/>
          <w:i w:val="1"/>
          <w:iCs w:val="1"/>
          <w:color w:val="00B0F0"/>
        </w:rPr>
        <w:t xml:space="preserve">Physical Impacts </w:t>
      </w:r>
      <w:r>
        <w:rPr>
          <w:rFonts w:ascii="Calibri" w:cs="Calibri" w:eastAsia="Calibri" w:hAnsi="Calibri"/>
          <w:sz w:val="17"/>
          <w:szCs w:val="17"/>
          <w:color w:val="000000"/>
        </w:rPr>
        <w:t>In additon to impacts from increased regulaton, weather paterns may result in physical impacts that could have adverse efects on the</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Company’s operatons or fnancial conditon. Physical impacts may include disruptons in producton and/or regional supply or product distributon networks due to major storm events and shifs in regional rainfall and temperature paterns and intensites, as well as fooding from sea level changes. In additon, producton and shipment levels for the Building Materials business correlate with general constructon actvity, which occurs outdoors and, as a result, is afected by erratc weather paterns, seasonal changes and other unusual or unexpected weather-related conditons, which can signifcantly afect that business. In the Company's cement and downstream operatons, the physical impacts of weather may result in disruptons to its operatons or its customers’ transportaton actvites, including impacts on producton capabilites and capacites, supply chain interruptons and project delays that can impact the Company's reputaton and result in additonal costs to the Company. Excessive rainfall and other severe weather jeopardize producton, shipments and proftability in all markets served by the Company in its Building Materials business. In additon, inclement weather can reduce the useful life of an asset. In partcular, the Company’s operatons near the Atlantc Ocean and Gulf Coast regions of the United States and The Bahamas are at risk for hurricane actvity, most notably in August, September and October. The Company is also at risk for Pacifc Ocean storm actvity. The last several years brought an unprecedented amount of precipitaton to the United States and partcularly to Texas and the southeastern United States, notably the Carolinas, Florida and Georgia, where it impacted the Company’s facilites. In additon, the Company's California operatons are at risk for wildfres and water use restrictons in the event of severe drought conditons. An insufcient supply of water for the Company's operatons in those areas could impact producton. While reconstructon actvites may ofset some or most of the fnancial impacts on sales and demand, any of these events could have a material adverse efect on the Company’s business and operatons.</w:t>
      </w:r>
    </w:p>
    <w:p>
      <w:pPr>
        <w:spacing w:after="0" w:line="32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the Company's footprint of quarries and aggregates facilites has grown natonwide, management believes it has bolstered resilience in its operatons by maintaining a geographically diverse business and distributon network that is increasingly able to adjust to local disruptons and source materials from diferent facilites. In additon, because the Company transports aggregates products by various methods, including rail and water, it may be able to mitgate supply or transportaton issues in any locaton caused by severe weather or disruptons in any transport modality.</w:t>
      </w:r>
    </w:p>
    <w:p>
      <w:pPr>
        <w:spacing w:after="0" w:line="109" w:lineRule="exact"/>
        <w:rPr>
          <w:sz w:val="20"/>
          <w:szCs w:val="20"/>
          <w:color w:val="auto"/>
        </w:rPr>
      </w:pPr>
    </w:p>
    <w:p>
      <w:pPr>
        <w:jc w:val="both"/>
        <w:spacing w:after="0" w:line="249" w:lineRule="auto"/>
        <w:rPr>
          <w:sz w:val="20"/>
          <w:szCs w:val="20"/>
          <w:color w:val="auto"/>
        </w:rPr>
      </w:pPr>
      <w:r>
        <w:rPr>
          <w:rFonts w:ascii="Calibri" w:cs="Calibri" w:eastAsia="Calibri" w:hAnsi="Calibri"/>
          <w:sz w:val="20"/>
          <w:szCs w:val="20"/>
          <w:i w:val="1"/>
          <w:iCs w:val="1"/>
          <w:color w:val="00B0F0"/>
        </w:rPr>
        <w:t xml:space="preserve">Sustainability Opportunites </w:t>
      </w:r>
      <w:r>
        <w:rPr>
          <w:rFonts w:ascii="Calibri" w:cs="Calibri" w:eastAsia="Calibri" w:hAnsi="Calibri"/>
          <w:sz w:val="17"/>
          <w:szCs w:val="17"/>
          <w:color w:val="000000"/>
        </w:rPr>
        <w:t>Notwithstanding the foregoing risks and uncertaintes relatng to climate change, there may also be opportunites for the</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Company to increase its business or revenues through sustainability opportunites. For example, warm and/or moderate temperatures in March and November allow the constructon season to start earlier and end later, respectvely, which could have meaningfully positve impacts on the Company’s frst-and fourth-quarter results, respectvely. From a regulatory standpoint, the Infrastructure Investment and Jobs Act (IIJ Act), which was signed into law in November 2021, provides billions of dollars in new funding for roads, bridges and other major infrastructure projects which require aggregates and cement for constructon. New public transit and clean energy projects that address climate change may also result in increased demand for the Company's products. Other opportunites are likely to result from the passing of the $1.2 trillion IIJ Act, the Cornyn-Padilla Amendment that allows $104 billion of unused COVID-19 dollars to be directed to infrastructure projects, and $41 billion of voter-approved state and local transportaton-related 2024 ballot initatves, all of which will fund infrastructure growth, repair and development. In additon, the Company’s magnesium hydroxide products are used to increase fuel efciency in various industries, including both coal- and gas-fred electricity generaton, which has a direct impact on reducing energy use and GHG emissions by more GHG-intense companies. Finally, the desire for sustainable building solutons has led to greater recogniton of the benefts of concrete constructon in the efort to move to a circular economy through innovatve products, longevity and recyclability, and increased demand for green constructon projects would have a direct impact on the Company’s cement and concrete business.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Land Management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owns approximately 170,000 acres of land, the vast majority of which is used in connecton with actve facilites. The Company regularly reviews its land holdings to determine their highest and best use based on its management expertse. Land holdings that do not have economically recoverable reserves for current or future mining or are otherwise not in locatons that complement the Company’s operatng facilites are considered candidates for sale or development for sale.</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Human Capital Resources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January 31, 2025, the Company has approximately 9,400 employees, of which approximately 7,000 are hourly employees and approximately 2,400 are salaried employees. Approximately 1,200 hourly employees (13% of the Company’s employees) are represented by labor unions, representng 14% of the Building Materials business’ hourly employees and 100% of the Magnesia Specialtes segment’s hourly employees. The Company’s principal union contracts for the Magnesia Specialtes</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 w:name="page13"/>
    <w:bookmarkEnd w:id="12"/>
    <w:p>
      <w:pPr>
        <w:ind w:left="934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business cover employees at the Manistee, Michigan, magnesia-based chemicals plant and the Woodville, Ohio, lime plant. The Woodville and Manistee collectve bargaining agreements expire in June 2026 and August 2027, respectvely. The Company believes it has good relatons with its employees, including its unionized workforce.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believes the Company’s success depends on its ability to atract, develop and retain key personnel. Martn Marieta ofers a comprehensive benefts package that includes:</w:t>
      </w:r>
    </w:p>
    <w:p>
      <w:pPr>
        <w:spacing w:after="0" w:line="64" w:lineRule="exact"/>
        <w:rPr>
          <w:sz w:val="20"/>
          <w:szCs w:val="20"/>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Compettve compensaton;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401(k) with Company match;</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Company-funded pension plan;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Medical (PPO and HDHP/HSA plan optons);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Dental and vision coverage;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Prescripton drug coverage;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Flexible spending accounts;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Paid holidays and generous paid tme of;</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Educatonal/tuiton assistance plan (described in more detail below);</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Employee discount program;</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Adopton assistance program;</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Life, AD&amp;D and disability insurance;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Employee assistance program;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Wellness programs.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signifcantly enhanced company-provided benefts for its hourly employees in 2022 and 2023. The Company increased the beneft value for hourly employees in its currently fully funded pension plan by 76% in 2022. In conjuncton with this increase, the Company embarked on a comprehensive educaton campaign to help employees beter understand their retrement benefts and how that impacts their individual decisions to save for retrement. Additonally, in 2023, the Company added Company-paid, long-term disability insurance for its hourly employees and implemented a more robust paid tme of (PTO) policy, which increased PTO benefts for the vast majority of employees.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management oversees various employee initatves to develop its employees and the Management Development and Compensaton Commitee regularly reviews the compensaton and development programs to achieve those objectves. The Company ofers many training and development opportunites, including the following:</w:t>
      </w:r>
    </w:p>
    <w:p>
      <w:pPr>
        <w:spacing w:after="0" w:line="70" w:lineRule="exact"/>
        <w:rPr>
          <w:sz w:val="20"/>
          <w:szCs w:val="20"/>
          <w:color w:val="auto"/>
        </w:rPr>
      </w:pPr>
    </w:p>
    <w:p>
      <w:pPr>
        <w:ind w:left="800" w:hanging="397"/>
        <w:spacing w:after="0" w:line="235" w:lineRule="auto"/>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On-the-job training in the feld and through the Company's Martn Marieta University, an interactve learning management system that serves as the gateway to a variety of valuable learning resources that support employee development;</w:t>
      </w:r>
    </w:p>
    <w:p>
      <w:pPr>
        <w:spacing w:after="0" w:line="69" w:lineRule="exact"/>
        <w:rPr>
          <w:rFonts w:ascii="Times New Roman" w:cs="Times New Roman" w:eastAsia="Times New Roman" w:hAnsi="Times New Roman"/>
          <w:sz w:val="18"/>
          <w:szCs w:val="18"/>
          <w:color w:val="auto"/>
        </w:rPr>
      </w:pPr>
    </w:p>
    <w:p>
      <w:pPr>
        <w:jc w:val="both"/>
        <w:ind w:left="800" w:hanging="397"/>
        <w:spacing w:after="0" w:line="235" w:lineRule="auto"/>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management associate program which provides entry-level opportunites for fnance, human resources, engineering, geology or STEM graduates in the aggregates industry. This is a 12-to-18-month on-the-job training that allows recent college graduates to jump-start their career by gaining cross-functonal experience and developing transferable skills at an accelerated pace. The program includes job rotatons, training and executve mentorship.</w:t>
      </w:r>
    </w:p>
    <w:p>
      <w:pPr>
        <w:spacing w:after="0" w:line="70"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Educatonal Assistance Program available for undergraduate and graduate degrees as well as individual vocatonal, undergraduate or graduate courses specifcally related to an employee’s feld;</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partnership with the University of North Carolina to provide a Leadership Program for senior managers and executves;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partnership with North Carolina State University to provide a Leadership Program for managers;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internal job board, as well as communicatons, reminding employees about this resource;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robust performance review process.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believes that a diverse employee base strengthens its talent pipeline and increases employee engagement and retenton. The Company completed an associated awareness communicatons campaign helping managers and employees beter understand how inclusion and engagement are ingrained in Martn Marieta’s culture and values. The campaign supports the Company's employer brand — </w:t>
      </w:r>
      <w:r>
        <w:rPr>
          <w:rFonts w:ascii="Calibri" w:cs="Calibri" w:eastAsia="Calibri" w:hAnsi="Calibri"/>
          <w:sz w:val="18"/>
          <w:szCs w:val="18"/>
          <w:color w:val="007DC6"/>
        </w:rPr>
        <w:t>ONE</w:t>
      </w:r>
      <w:r>
        <w:rPr>
          <w:rFonts w:ascii="Calibri" w:cs="Calibri" w:eastAsia="Calibri" w:hAnsi="Calibri"/>
          <w:sz w:val="18"/>
          <w:szCs w:val="18"/>
          <w:color w:val="auto"/>
        </w:rPr>
        <w:t>, which brings together its employees’ unique perspectves, experiences and talents to</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3" w:name="page14"/>
    <w:bookmarkEnd w:id="13"/>
    <w:p>
      <w:pPr>
        <w:ind w:left="9340"/>
        <w:spacing w:after="0"/>
        <w:rPr>
          <w:sz w:val="20"/>
          <w:szCs w:val="20"/>
          <w:color w:val="auto"/>
        </w:rPr>
      </w:pPr>
      <w:r>
        <w:rPr>
          <w:rFonts w:ascii="MS PGothic" w:cs="MS PGothic" w:eastAsia="MS PGothic" w:hAnsi="MS PGothic"/>
          <w:sz w:val="17"/>
          <w:szCs w:val="17"/>
          <w:color w:val="auto"/>
        </w:rPr>
        <w:t xml:space="preserve">Part I </w:t>
      </w:r>
      <w:r>
        <w:rPr>
          <w:rFonts w:ascii="Arial" w:cs="Arial" w:eastAsia="Arial" w:hAnsi="Arial"/>
          <w:sz w:val="22"/>
          <w:szCs w:val="22"/>
          <w:color w:val="0070C0"/>
        </w:rPr>
        <w:t>♦</w:t>
      </w:r>
      <w:r>
        <w:rPr>
          <w:rFonts w:ascii="MS PGothic" w:cs="MS PGothic" w:eastAsia="MS PGothic" w:hAnsi="MS PGothic"/>
          <w:sz w:val="17"/>
          <w:szCs w:val="17"/>
          <w:color w:val="auto"/>
        </w:rPr>
        <w:t xml:space="preserve"> Item 1 – Business</w:t>
      </w:r>
    </w:p>
    <w:p>
      <w:pPr>
        <w:spacing w:after="0" w:line="201"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auto"/>
        </w:rPr>
        <w:t>evolve a shared vision and future. The Company ofers three employee resource groups — Military and Veterans Community, Multcultural Employee Resource Group (MERGE) and Women Who Build — that provide opportunites for all employees to share their varied perspectves and experiences, grow their internal networks, develop their careers and give back to their communites. The Company also has expanded its academic outreach by partnering with Shaw University, a historically black university in Raleigh, North Carolina.</w:t>
      </w:r>
    </w:p>
    <w:p>
      <w:pPr>
        <w:spacing w:after="0" w:line="63" w:lineRule="exact"/>
        <w:rPr>
          <w:sz w:val="20"/>
          <w:szCs w:val="20"/>
          <w:color w:val="auto"/>
        </w:rPr>
      </w:pPr>
    </w:p>
    <w:p>
      <w:pPr>
        <w:jc w:val="both"/>
        <w:spacing w:after="0" w:line="326" w:lineRule="auto"/>
        <w:rPr>
          <w:sz w:val="20"/>
          <w:szCs w:val="20"/>
          <w:color w:val="auto"/>
        </w:rPr>
      </w:pPr>
      <w:r>
        <w:rPr>
          <w:rFonts w:ascii="MS PGothic" w:cs="MS PGothic" w:eastAsia="MS PGothic" w:hAnsi="MS PGothic"/>
          <w:sz w:val="17"/>
          <w:szCs w:val="17"/>
          <w:color w:val="auto"/>
        </w:rPr>
        <w:t>Workplace health and safety is one of the Company’s core values. The Guardian Angel safety program provides that every employee has the right, and the obligaton, to stop any unsafe conditon and that zero safety incidents is achievable. It includes the noton that every employee acts as a wingman for other employees, to observe and act on any situaton that potentally creates unsafe circumstances. The Company-wide safety performance achieved the eighth consecutve year of world class or beter lost-tme incident rate and the fourth consecutve year for total injury incidence rate.</w:t>
      </w:r>
    </w:p>
    <w:p>
      <w:pPr>
        <w:spacing w:after="0" w:line="15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Available Informaton</w:t>
      </w:r>
    </w:p>
    <w:p>
      <w:pPr>
        <w:spacing w:after="0" w:line="59" w:lineRule="exact"/>
        <w:rPr>
          <w:sz w:val="20"/>
          <w:szCs w:val="20"/>
          <w:color w:val="auto"/>
        </w:rPr>
      </w:pPr>
    </w:p>
    <w:p>
      <w:pPr>
        <w:jc w:val="both"/>
        <w:spacing w:after="0" w:line="312" w:lineRule="auto"/>
        <w:rPr>
          <w:sz w:val="20"/>
          <w:szCs w:val="20"/>
          <w:color w:val="auto"/>
        </w:rPr>
      </w:pPr>
      <w:r>
        <w:rPr>
          <w:rFonts w:ascii="MS PGothic" w:cs="MS PGothic" w:eastAsia="MS PGothic" w:hAnsi="MS PGothic"/>
          <w:sz w:val="17"/>
          <w:szCs w:val="17"/>
          <w:color w:val="auto"/>
        </w:rPr>
        <w:t>The Company maintains an internet address at www.martnmarieta.com. The Company makes available free of charge through its internet website its Annual Report on Form 10‑K, Quarterly Reports on Form 10‑Q, Current Reports on Form 8‑K, and amendments to those reports, if any, fled or furnished pursuant to Secton 13(a) or 15(d) of the Securites Exchange Act of 1934, as amended (Exchange Act), which are available as soon as reasonably possible afer they are submited to the Securites and Exchange Commission (SEC). You can access the Company’s flings with the SEC through the SEC website at www.sec.gov or through the Company's website, and the Company strongly encourages you to do so. Martn Marieta routnely posts informaton that may be important to investors on its website at www.ir.martnmarieta.com, and it uses this website address as a means of disclosing material informaton to the public in a broad, non-exclusionary manner for purposes of the SEC’s Regulaton Fair Disclosure (Reg FD). The contents of the Company's website are not incorporated by reference in this Form 10-K and shall not be deemed “fled” under the Securites Exchange Act of 1934, as amended. The Company undertakes no obligaton to update any statements herein for revisions or changes afer the fling date of this Form 10-K other than as required by law.</w:t>
      </w:r>
    </w:p>
    <w:p>
      <w:pPr>
        <w:spacing w:after="0" w:line="63" w:lineRule="exact"/>
        <w:rPr>
          <w:sz w:val="20"/>
          <w:szCs w:val="20"/>
          <w:color w:val="auto"/>
        </w:rPr>
      </w:pPr>
    </w:p>
    <w:p>
      <w:pPr>
        <w:jc w:val="both"/>
        <w:spacing w:after="0" w:line="280" w:lineRule="auto"/>
        <w:rPr>
          <w:sz w:val="20"/>
          <w:szCs w:val="20"/>
          <w:color w:val="auto"/>
        </w:rPr>
      </w:pPr>
      <w:r>
        <w:rPr>
          <w:rFonts w:ascii="MS PGothic" w:cs="MS PGothic" w:eastAsia="MS PGothic" w:hAnsi="MS PGothic"/>
          <w:sz w:val="18"/>
          <w:szCs w:val="18"/>
          <w:color w:val="auto"/>
        </w:rPr>
        <w:t xml:space="preserve">The Company has adopted a </w:t>
      </w:r>
      <w:r>
        <w:rPr>
          <w:rFonts w:ascii="Calibri" w:cs="Calibri" w:eastAsia="Calibri" w:hAnsi="Calibri"/>
          <w:sz w:val="18"/>
          <w:szCs w:val="18"/>
          <w:i w:val="1"/>
          <w:iCs w:val="1"/>
          <w:color w:val="auto"/>
        </w:rPr>
        <w:t>Code of Ethical Business Conduct</w:t>
      </w:r>
      <w:r>
        <w:rPr>
          <w:rFonts w:ascii="MS PGothic" w:cs="MS PGothic" w:eastAsia="MS PGothic" w:hAnsi="MS PGothic"/>
          <w:sz w:val="18"/>
          <w:szCs w:val="18"/>
          <w:color w:val="auto"/>
        </w:rPr>
        <w:t xml:space="preserve"> that applies to all of its Board of Directors, ofcers and employees. The Company’s code of ethics is available on the Company’s website www.martnmarieta.com. The Company will disclose on its internet website any waivers of or amendments to its code of ethics as it applies to its directors and executve ofcers.</w:t>
      </w:r>
    </w:p>
    <w:p>
      <w:pPr>
        <w:spacing w:after="0" w:line="80" w:lineRule="exact"/>
        <w:rPr>
          <w:sz w:val="20"/>
          <w:szCs w:val="20"/>
          <w:color w:val="auto"/>
        </w:rPr>
      </w:pPr>
    </w:p>
    <w:p>
      <w:pPr>
        <w:jc w:val="both"/>
        <w:spacing w:after="0" w:line="263" w:lineRule="auto"/>
        <w:rPr>
          <w:sz w:val="20"/>
          <w:szCs w:val="20"/>
          <w:color w:val="auto"/>
        </w:rPr>
      </w:pPr>
      <w:r>
        <w:rPr>
          <w:rFonts w:ascii="MS PGothic" w:cs="MS PGothic" w:eastAsia="MS PGothic" w:hAnsi="MS PGothic"/>
          <w:sz w:val="18"/>
          <w:szCs w:val="18"/>
          <w:color w:val="auto"/>
        </w:rPr>
        <w:t xml:space="preserve">The Company has adopted a set of </w:t>
      </w:r>
      <w:r>
        <w:rPr>
          <w:rFonts w:ascii="Calibri" w:cs="Calibri" w:eastAsia="Calibri" w:hAnsi="Calibri"/>
          <w:sz w:val="18"/>
          <w:szCs w:val="18"/>
          <w:i w:val="1"/>
          <w:iCs w:val="1"/>
          <w:color w:val="auto"/>
        </w:rPr>
        <w:t>Corporate Governance Guidelines</w:t>
      </w:r>
      <w:r>
        <w:rPr>
          <w:rFonts w:ascii="MS PGothic" w:cs="MS PGothic" w:eastAsia="MS PGothic" w:hAnsi="MS PGothic"/>
          <w:sz w:val="18"/>
          <w:szCs w:val="18"/>
          <w:color w:val="auto"/>
        </w:rPr>
        <w:t xml:space="preserve"> to address maters of fundamental importance relatng to the corporate governance of the Company, including director qualifcatons and responsibilites, responsibilites of key board commitees, director compensaton and similar maters. Each of the Audit Commitee, the Management Development and Compensaton Commitee, and the Nominatng and Corporate Governance Commitee of the Board of Directors has adopted a writen charter addressing various maters of importance relatng to each commitee, including the commitee’s purposes and responsibilites, an annual performance evaluaton of each commitee and similar maters. These </w:t>
      </w:r>
      <w:r>
        <w:rPr>
          <w:rFonts w:ascii="Calibri" w:cs="Calibri" w:eastAsia="Calibri" w:hAnsi="Calibri"/>
          <w:sz w:val="18"/>
          <w:szCs w:val="18"/>
          <w:i w:val="1"/>
          <w:iCs w:val="1"/>
          <w:color w:val="auto"/>
        </w:rPr>
        <w:t>Corporate Governance Guidelines</w:t>
      </w:r>
      <w:r>
        <w:rPr>
          <w:rFonts w:ascii="MS PGothic" w:cs="MS PGothic" w:eastAsia="MS PGothic" w:hAnsi="MS PGothic"/>
          <w:sz w:val="18"/>
          <w:szCs w:val="18"/>
          <w:color w:val="auto"/>
        </w:rPr>
        <w:t>, and the charters of each of these commitees, are available on the Company’s website at www.martnmarieta.com.</w:t>
      </w:r>
    </w:p>
    <w:p>
      <w:pPr>
        <w:spacing w:after="0" w:line="90"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auto"/>
        </w:rPr>
        <w:t>The Company’s Chief Executve Ofcer and Chief Financial Ofcer are required to fle with the SEC each quarter and each year certfcatons regarding the quality of the Company’s public disclosure of its fnancial conditon. The annual certfcatons are included as exhibits to this Form 10‑K. The Company’s Chief Executve Ofcer is also required to certfy to the New York Stock Exchange each year that he is not aware of any violaton by the Company of the New York Stock Exchange corporate governance listng standards.</w:t>
      </w:r>
    </w:p>
    <w:p>
      <w:pPr>
        <w:spacing w:after="0" w:line="81"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-164465</wp:posOffset>
            </wp:positionV>
            <wp:extent cx="32575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4" w:name="page15"/>
    <w:bookmarkEnd w:id="14"/>
    <w:p>
      <w:pPr>
        <w:jc w:val="right"/>
        <w:spacing w:after="0"/>
        <w:rPr>
          <w:sz w:val="20"/>
          <w:szCs w:val="20"/>
          <w:color w:val="auto"/>
        </w:rPr>
      </w:pPr>
      <w:r>
        <w:rPr>
          <w:rFonts w:ascii="MS PGothic" w:cs="MS PGothic" w:eastAsia="MS PGothic" w:hAnsi="MS PGothic"/>
          <w:sz w:val="18"/>
          <w:szCs w:val="18"/>
          <w:color w:val="auto"/>
        </w:rPr>
        <w:t xml:space="preserve">Part I </w:t>
      </w:r>
      <w:r>
        <w:rPr>
          <w:rFonts w:ascii="Arial" w:cs="Arial" w:eastAsia="Arial" w:hAnsi="Arial"/>
          <w:sz w:val="23"/>
          <w:szCs w:val="23"/>
          <w:color w:val="0070C0"/>
        </w:rPr>
        <w:t>♦</w:t>
      </w:r>
      <w:r>
        <w:rPr>
          <w:rFonts w:ascii="MS PGothic" w:cs="MS PGothic" w:eastAsia="MS PGothic" w:hAnsi="MS PGothic"/>
          <w:sz w:val="18"/>
          <w:szCs w:val="18"/>
          <w:color w:val="auto"/>
        </w:rPr>
        <w:t xml:space="preserve"> Item 1A – Risk Factors</w:t>
      </w:r>
    </w:p>
    <w:p>
      <w:pPr>
        <w:spacing w:after="0" w:line="22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1A – RISK FACTORS</w:t>
      </w:r>
    </w:p>
    <w:p>
      <w:pPr>
        <w:spacing w:after="0" w:line="64"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auto"/>
        </w:rPr>
        <w:t>An investment in Martn Marieta common stock or debt securites involves risks and uncertaintes. You should consider the following factors carefully, in additon to the other informaton contained in this Form 10-K, before deciding to purchase or otherwise trade the Company’s securites.</w:t>
      </w:r>
    </w:p>
    <w:p>
      <w:pPr>
        <w:spacing w:after="0" w:line="39" w:lineRule="exact"/>
        <w:rPr>
          <w:sz w:val="20"/>
          <w:szCs w:val="20"/>
          <w:color w:val="auto"/>
        </w:rPr>
      </w:pPr>
    </w:p>
    <w:p>
      <w:pPr>
        <w:jc w:val="both"/>
        <w:spacing w:after="0" w:line="315" w:lineRule="auto"/>
        <w:rPr>
          <w:sz w:val="20"/>
          <w:szCs w:val="20"/>
          <w:color w:val="auto"/>
        </w:rPr>
      </w:pPr>
      <w:r>
        <w:rPr>
          <w:rFonts w:ascii="MS PGothic" w:cs="MS PGothic" w:eastAsia="MS PGothic" w:hAnsi="MS PGothic"/>
          <w:sz w:val="17"/>
          <w:szCs w:val="17"/>
          <w:color w:val="auto"/>
        </w:rPr>
        <w:t>This Form 10-K and other writen reports and oral statements made from tme to tme by the Company contain statements that, to the extent they are not recitatons of historical fact, consttute forward-looking statements within the meaning of federal securites law. Investors are cautoned that all forward-looking statements involve risks and uncertaintes, and are based on assumptons that the Company believes in good faith are reasonable, but which may be materially diferent from actual results. Investors can identfy these statements by the fact that they do not relate only to historic or current facts. The words “may,” “will,” “could,” “should,” “antcipate,” “believe,” “estmate,” “expect,” “forecast,” “intend,” “outlook,” “plan,” “project,” “scheduled,” and similar expressions in connecton with future events or future operatng or fnancial performance are intended to identfy forward-looking statements. Any or all of the Company’s forward-looking statements in this Form 10‑K and in other publicatons may turn out to be wrong.</w:t>
      </w:r>
    </w:p>
    <w:p>
      <w:pPr>
        <w:spacing w:after="0" w:line="58"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auto"/>
        </w:rPr>
        <w:t>Statements and assumptons on future revenues, income and cash fows, performance, economic trends, the outcome of litgaton, regulatory compliance, and environmental remediaton cost estmates are examples of forward-looking statements. Numerous factors, including potentally the risk factors described in this secton, could afect the Company's forward-looking statements and actual performance.</w:t>
      </w:r>
    </w:p>
    <w:p>
      <w:pPr>
        <w:spacing w:after="0" w:line="56" w:lineRule="exact"/>
        <w:rPr>
          <w:sz w:val="20"/>
          <w:szCs w:val="20"/>
          <w:color w:val="auto"/>
        </w:rPr>
      </w:pPr>
    </w:p>
    <w:p>
      <w:pPr>
        <w:jc w:val="both"/>
        <w:spacing w:after="0" w:line="317" w:lineRule="auto"/>
        <w:rPr>
          <w:sz w:val="20"/>
          <w:szCs w:val="20"/>
          <w:color w:val="auto"/>
        </w:rPr>
      </w:pPr>
      <w:r>
        <w:rPr>
          <w:rFonts w:ascii="MS PGothic" w:cs="MS PGothic" w:eastAsia="MS PGothic" w:hAnsi="MS PGothic"/>
          <w:sz w:val="17"/>
          <w:szCs w:val="17"/>
          <w:color w:val="auto"/>
        </w:rPr>
        <w:t>Investors are also cautoned that it is not possible to predict or identfy all such factors. Consequently, the reader should not consider any such list to be a complete statement of all potental risks or uncertaintes. Other factors besides those listed may also adversely afect the Company and may be material to the Company. The Company has listed the known material risks it considers relevant in evaluatng the Company and its operatons. The forward-looking statements in this document are intended to be subject to the safe harbor protecton provided by Secton 27A of the Securites Act of 1933 and Secton 21E of the Exchange Act. These forward-looking statements are made as of the date hereof based on management’s current expectatons, and the Company does not undertake an obligaton to update such statements, whether as a result of new informaton, future events, or otherwise, other than as required by law.</w:t>
      </w:r>
    </w:p>
    <w:p>
      <w:pPr>
        <w:spacing w:after="0" w:line="57"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auto"/>
        </w:rPr>
        <w:t xml:space="preserve">For a discussion identfying some important factors that could cause actual results to vary materially from those antcipated in the forward-looking statements, see the factors listed below, along with the discussion of </w:t>
      </w:r>
      <w:r>
        <w:rPr>
          <w:rFonts w:ascii="MS PGothic" w:cs="MS PGothic" w:eastAsia="MS PGothic" w:hAnsi="MS PGothic"/>
          <w:sz w:val="18"/>
          <w:szCs w:val="18"/>
          <w:u w:val="single" w:color="auto"/>
          <w:color w:val="007DC6"/>
        </w:rPr>
        <w:t>Competton</w:t>
      </w:r>
      <w:r>
        <w:rPr>
          <w:rFonts w:ascii="MS PGothic" w:cs="MS PGothic" w:eastAsia="MS PGothic" w:hAnsi="MS PGothic"/>
          <w:sz w:val="18"/>
          <w:szCs w:val="18"/>
          <w:color w:val="auto"/>
        </w:rPr>
        <w:t xml:space="preserve"> under Item 1 of this Form 10-K, </w:t>
      </w:r>
      <w:r>
        <w:rPr>
          <w:rFonts w:ascii="MS PGothic" w:cs="MS PGothic" w:eastAsia="MS PGothic" w:hAnsi="MS PGothic"/>
          <w:sz w:val="18"/>
          <w:szCs w:val="18"/>
          <w:u w:val="single" w:color="auto"/>
          <w:color w:val="007DC6"/>
        </w:rPr>
        <w:t>Management’s Discussion and Analysis of</w:t>
      </w:r>
      <w:r>
        <w:rPr>
          <w:rFonts w:ascii="MS PGothic" w:cs="MS PGothic" w:eastAsia="MS PGothic" w:hAnsi="MS PGothic"/>
          <w:sz w:val="18"/>
          <w:szCs w:val="18"/>
          <w:color w:val="auto"/>
        </w:rPr>
        <w:t xml:space="preserve"> </w:t>
      </w:r>
      <w:r>
        <w:rPr>
          <w:rFonts w:ascii="MS PGothic" w:cs="MS PGothic" w:eastAsia="MS PGothic" w:hAnsi="MS PGothic"/>
          <w:sz w:val="18"/>
          <w:szCs w:val="18"/>
          <w:u w:val="single" w:color="auto"/>
          <w:color w:val="007DC6"/>
        </w:rPr>
        <w:t>Financial Conditon and Results of Operatons</w:t>
      </w:r>
      <w:r>
        <w:rPr>
          <w:rFonts w:ascii="MS PGothic" w:cs="MS PGothic" w:eastAsia="MS PGothic" w:hAnsi="MS PGothic"/>
          <w:sz w:val="18"/>
          <w:szCs w:val="18"/>
          <w:color w:val="007DC6"/>
        </w:rPr>
        <w:t xml:space="preserve"> </w:t>
      </w:r>
      <w:r>
        <w:rPr>
          <w:rFonts w:ascii="MS PGothic" w:cs="MS PGothic" w:eastAsia="MS PGothic" w:hAnsi="MS PGothic"/>
          <w:sz w:val="18"/>
          <w:szCs w:val="18"/>
          <w:color w:val="000000"/>
        </w:rPr>
        <w:t>under Item 7 of this Form 10-K, and</w:t>
      </w:r>
      <w:r>
        <w:rPr>
          <w:rFonts w:ascii="MS PGothic" w:cs="MS PGothic" w:eastAsia="MS PGothic" w:hAnsi="MS PGothic"/>
          <w:sz w:val="18"/>
          <w:szCs w:val="18"/>
          <w:color w:val="007DC6"/>
        </w:rPr>
        <w:t xml:space="preserve"> </w:t>
      </w:r>
      <w:r>
        <w:rPr>
          <w:rFonts w:ascii="MS PGothic" w:cs="MS PGothic" w:eastAsia="MS PGothic" w:hAnsi="MS PGothic"/>
          <w:sz w:val="18"/>
          <w:szCs w:val="18"/>
          <w:u w:val="single" w:color="auto"/>
          <w:color w:val="007DC6"/>
        </w:rPr>
        <w:t>Note A: Accountng Policies</w:t>
      </w:r>
      <w:r>
        <w:rPr>
          <w:rFonts w:ascii="MS PGothic" w:cs="MS PGothic" w:eastAsia="MS PGothic" w:hAnsi="MS PGothic"/>
          <w:sz w:val="18"/>
          <w:szCs w:val="18"/>
          <w:color w:val="007DC6"/>
        </w:rPr>
        <w:t xml:space="preserve"> </w:t>
      </w:r>
      <w:r>
        <w:rPr>
          <w:rFonts w:ascii="MS PGothic" w:cs="MS PGothic" w:eastAsia="MS PGothic" w:hAnsi="MS PGothic"/>
          <w:sz w:val="18"/>
          <w:szCs w:val="18"/>
          <w:color w:val="000000"/>
        </w:rPr>
        <w:t>and</w:t>
      </w:r>
      <w:r>
        <w:rPr>
          <w:rFonts w:ascii="MS PGothic" w:cs="MS PGothic" w:eastAsia="MS PGothic" w:hAnsi="MS PGothic"/>
          <w:sz w:val="18"/>
          <w:szCs w:val="18"/>
          <w:color w:val="007DC6"/>
        </w:rPr>
        <w:t xml:space="preserve"> </w:t>
      </w:r>
      <w:r>
        <w:rPr>
          <w:rFonts w:ascii="MS PGothic" w:cs="MS PGothic" w:eastAsia="MS PGothic" w:hAnsi="MS PGothic"/>
          <w:sz w:val="18"/>
          <w:szCs w:val="18"/>
          <w:u w:val="single" w:color="auto"/>
          <w:color w:val="007DC6"/>
        </w:rPr>
        <w:t>Note N: Commitments and Contngencies</w:t>
      </w:r>
      <w:r>
        <w:rPr>
          <w:rFonts w:ascii="MS PGothic" w:cs="MS PGothic" w:eastAsia="MS PGothic" w:hAnsi="MS PGothic"/>
          <w:sz w:val="18"/>
          <w:szCs w:val="18"/>
          <w:color w:val="007DC6"/>
        </w:rPr>
        <w:t xml:space="preserve"> </w:t>
      </w:r>
      <w:r>
        <w:rPr>
          <w:rFonts w:ascii="MS PGothic" w:cs="MS PGothic" w:eastAsia="MS PGothic" w:hAnsi="MS PGothic"/>
          <w:sz w:val="18"/>
          <w:szCs w:val="18"/>
          <w:color w:val="000000"/>
        </w:rPr>
        <w:t xml:space="preserve">of the </w:t>
      </w:r>
      <w:r>
        <w:rPr>
          <w:rFonts w:ascii="MS PGothic" w:cs="MS PGothic" w:eastAsia="MS PGothic" w:hAnsi="MS PGothic"/>
          <w:sz w:val="18"/>
          <w:szCs w:val="18"/>
          <w:u w:val="single" w:color="auto"/>
          <w:color w:val="007DC6"/>
        </w:rPr>
        <w:t>Notes to Financial Statements</w:t>
      </w:r>
      <w:r>
        <w:rPr>
          <w:rFonts w:ascii="MS PGothic" w:cs="MS PGothic" w:eastAsia="MS PGothic" w:hAnsi="MS PGothic"/>
          <w:sz w:val="18"/>
          <w:szCs w:val="18"/>
          <w:color w:val="000000"/>
        </w:rPr>
        <w:t xml:space="preserve"> of the Company’s consolidated fnancial statements included under </w:t>
      </w:r>
      <w:r>
        <w:rPr>
          <w:rFonts w:ascii="MS PGothic" w:cs="MS PGothic" w:eastAsia="MS PGothic" w:hAnsi="MS PGothic"/>
          <w:sz w:val="18"/>
          <w:szCs w:val="18"/>
          <w:u w:val="single" w:color="auto"/>
          <w:color w:val="007DC6"/>
        </w:rPr>
        <w:t>Item 8, Financial Statements and Supplemental Data</w:t>
      </w:r>
      <w:r>
        <w:rPr>
          <w:rFonts w:ascii="MS PGothic" w:cs="MS PGothic" w:eastAsia="MS PGothic" w:hAnsi="MS PGothic"/>
          <w:sz w:val="18"/>
          <w:szCs w:val="18"/>
          <w:color w:val="000000"/>
        </w:rPr>
        <w:t xml:space="preserve">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-457200</wp:posOffset>
            </wp:positionV>
            <wp:extent cx="5626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610" cy="825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-457200</wp:posOffset>
            </wp:positionV>
            <wp:extent cx="18916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916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20643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6438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-320040</wp:posOffset>
            </wp:positionV>
            <wp:extent cx="3370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7058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-182880</wp:posOffset>
            </wp:positionV>
            <wp:extent cx="13563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5636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-182880</wp:posOffset>
            </wp:positionV>
            <wp:extent cx="23729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Industry Risk Factors</w:t>
      </w:r>
    </w:p>
    <w:p>
      <w:pPr>
        <w:spacing w:after="0" w:line="1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 depends on actvity within the constructon industry, which can be cyclical.</w:t>
      </w:r>
    </w:p>
    <w:p>
      <w:pPr>
        <w:spacing w:after="0" w:line="61" w:lineRule="exact"/>
        <w:rPr>
          <w:sz w:val="20"/>
          <w:szCs w:val="20"/>
          <w:color w:val="auto"/>
        </w:rPr>
      </w:pPr>
    </w:p>
    <w:p>
      <w:pPr>
        <w:jc w:val="both"/>
        <w:spacing w:after="0" w:line="320" w:lineRule="auto"/>
        <w:rPr>
          <w:sz w:val="20"/>
          <w:szCs w:val="20"/>
          <w:color w:val="auto"/>
        </w:rPr>
      </w:pPr>
      <w:r>
        <w:rPr>
          <w:rFonts w:ascii="MS PGothic" w:cs="MS PGothic" w:eastAsia="MS PGothic" w:hAnsi="MS PGothic"/>
          <w:sz w:val="17"/>
          <w:szCs w:val="17"/>
          <w:color w:val="auto"/>
        </w:rPr>
        <w:t>Economic and politcal uncertainty can impede growth in the markets in which we operate. Demand for our products, partcularly in the private nonresidental and residental constructon markets, could decline if companies and consumers are unable to obtain credit for constructon projects or if an economic slowdown causes delays or cancellatons of capital projects. State and federal budget issues sometmes undermine the funding available for infrastructure spending. The lack of available credit may limit the ability of states to issue bonds to fnance constructon projects. As a result of these issues, several of our top revenue-generatng states, from tme to tme, stop bidding or slow bid projects in their transportaton departments.</w:t>
      </w:r>
    </w:p>
    <w:p>
      <w:pPr>
        <w:spacing w:after="0" w:line="55" w:lineRule="exact"/>
        <w:rPr>
          <w:sz w:val="20"/>
          <w:szCs w:val="20"/>
          <w:color w:val="auto"/>
        </w:rPr>
      </w:pPr>
    </w:p>
    <w:p>
      <w:pPr>
        <w:jc w:val="both"/>
        <w:spacing w:after="0" w:line="294" w:lineRule="auto"/>
        <w:rPr>
          <w:sz w:val="20"/>
          <w:szCs w:val="20"/>
          <w:color w:val="auto"/>
        </w:rPr>
      </w:pPr>
      <w:r>
        <w:rPr>
          <w:rFonts w:ascii="MS PGothic" w:cs="MS PGothic" w:eastAsia="MS PGothic" w:hAnsi="MS PGothic"/>
          <w:sz w:val="18"/>
          <w:szCs w:val="18"/>
          <w:color w:val="auto"/>
        </w:rPr>
        <w:t>We sell most of our aggregates (our primary business) and our cement products to the constructon industry and, therefore, our results depend on that industry’s strength. Since our businesses depend on constructon spending, which can be cyclical, our profts are sensitve to natonal, regional and local economic conditons and the intensity of the underlying spending on aggregates and cement products. Constructon spending is afected by economic conditons, changes in interest rates, infaton, employment levels, demographic and populaton shifs, and changes in constructon budgets by federal, state and local governments. If economic conditons worsen, a recession in the constructon industry may occur and afect the demand for our products. The recession of the late 2000s (the Great Recession) and contnued decline in constructon spending in the early 2010s were examples, and our shipment volumes were signifcantly reduced and remain below peak shipment levels, excluding the contributon of acquisitons. Constructon spending can also be disrupted by terrorist actvity and armed conficts.</w:t>
      </w:r>
    </w:p>
    <w:p>
      <w:pPr>
        <w:spacing w:after="0" w:line="90"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-164465</wp:posOffset>
            </wp:positionV>
            <wp:extent cx="325755"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5" w:name="page16"/>
    <w:bookmarkEnd w:id="15"/>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our business operatons cover a wide geographic area, our earnings depend on the strength of the local economies in which we operate due to the high cost to transport our products relatve to their selling price. If economic conditons and constructon spending decline signifcantly in one or more areas, partcularly in our Building Materials business’ top ten revenue-generatng states of Texas, North Carolina, Colorado, California, Georgia, Florida, Minnesota, Arizona, South Carolina and Iowa, our proftability will decrease. We experienced this situaton during the Great Recession.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Demand for aggregates products, partcularly in the infrastructure constructon market, is afected by federal, state and local budget and defcit issues. Remote working trends or other factors that reduce vehicle miles driven can have a negatve impact on various revenue streams that fund roadway projects. Further, delays or cancellatons of projects in the nonresidental and residental constructon markets, which combined accounted for 58% of aggregates shipments in 2024, could occur if companies and consumers are unable to obtain fnancing for constructon projects or if consumer confdence contnues to be eroded by economic uncertainty.</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Building Materials business is seasonal and subject to the weather, which can signifcantly impact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heavy-side constructon business is conducted outdoors. Accordingly, erratc weather paterns, seasonal changes and other weather-related conditons afect our business. Adverse weather conditons, including hurricanes and tropical storms, extreme temperatures, snow, heavy or sustained rainfall, wildfres and earthquakes, reduce constructon actvity, restrict the demand for our products and impede our ability to efciently transport material. Adverse weather conditons also increase our costs and reduce our producton output as a result of power loss, needed plant and equipment repairs, tme required to remove water from fooded operatons and similar events. Severe drought conditons can restrict available water supplies and restrict producton. Producton and shipment levels of the Building Materials business’ products follow actvity in the constructon industry, which typically is strongest in the spring, summer and fall. Because of the weather’s efect on the constructon industry’s actvity, the producton and shipment levels for our Building Materials business, including all of our aggregates-related downstream operatons, vary by quarter. The second and third quarters are generally subject to heavy precipitaton, and, thus, are more proftable if precipitaton is lighter. The frst and fourth quarters, which are subject to the impacts of winter weather, are generally the least proftable, but can be more proftable if the impact of winter weather is less. Our operatons near the Atlantc Ocean and Gulf Coast regions of the United States and The Bahamas are at risk for hurricane actvity, most notably in August, September and October. Our California operatons are at risk for Pacifc Ocean storms, wildfre actvity and water use restrictons in the event of severe drought conditons. These weather events and conditons may be exacerbated by climate change in the near and long term.</w:t>
      </w:r>
    </w:p>
    <w:p>
      <w:pPr>
        <w:spacing w:after="0" w:line="19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Competton and Growth Risk Factors</w:t>
      </w:r>
    </w:p>
    <w:p>
      <w:pPr>
        <w:spacing w:after="0" w:line="12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Our Building Materials business depends on the availability of quality aggregates reserves or deposits and our ability to mine them economically.</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challenge is to fnd quality aggregates deposits that we can mine economically, with appropriate permits, near either growing markets or long-haul transportaton corridors that can economically serve applicable markets. As communites in many of our geographic markets have grown, they have setled in and around atractve quarrying locatons and have imposed restrictons on mining. We try to meet this challenge by identfying and permitng sites prior to economic expansion, buying more land around our existng quarries to increase our mineral reserves, developing underground mines and expanding a distributon network that transports aggregates products by various methods, including rail and water. While our distributon network allows us to transport our products longer distances than would normally be considered economical, we can give no assurances that we will contnue to be successful at this strategy.</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businesses face many compettors.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businesses have many compettors, some of which are larger and have more resources than we do. Some of our compettors operate on a worldwide basis. Our results are afected by the number of compettors in a market, the producton capacity that a partcular market can accommodate, the pricing practces of other compettors and the entry of new compettors in a market. We also face competton for some of our products from alternatve products. For example, our Magnesia Specialtes business competes with other chemical products that could be used instead of our magnesia-based products. In additon, our aggregates, ready mixed concrete, asphalt and paving businesses compete with recycled asphalt and concrete products that could be used in certain applicatons instead of new products and our cement operatons compete with</w:t>
      </w:r>
    </w:p>
    <w:p>
      <w:pPr>
        <w:spacing w:after="0" w:line="13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6" w:name="page17"/>
    <w:bookmarkEnd w:id="16"/>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internatonal compettors who import products into the United States from jurisdictons with lower producton and regulatory costs and burdens.</w:t>
      </w:r>
    </w:p>
    <w:p>
      <w:pPr>
        <w:spacing w:after="0" w:line="225"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future growth depends in part on acquiring other businesses in our industry, and we have the ability to acquire businesses by paying all or in part with shares of our common stock.</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expect to contnue to grow, in part, by acquiring other businesses. In the past, we have made acquisitons to strengthen our existng locatons, expand our operatons and enter new geographic markets. We will contnue to pursue selectve acquisitons, joint ventures or other business arrangements we believe will help our Company grow. However, the contnued success of our acquisiton program will depend on our ability to fnd and buy other atractve businesses at an appropriate price and our ability to integrate acquired businesses into our existng operatons. We cannot assume there will contnue to be atractve acquisiton opportunites for sale at reasonable prices that we can successfully integrate into our operatons.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the ability to pay all or part of the purchase price of any future acquisiton with shares of our common stock. We also have the ability to use our stock to make strategic investments in other companies to complement and expand our operatons. If we use our common stock in this way, the ownership interests of our existng shareholders at that tme will be diluted and the price of our stock could decline. We operate our businesses with the objectve of maximizing long-term shareholder return.</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integraton of the acquisiton or business combinaton with other businesses may not be as successful as projected.</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 successful history of business combinatons and integraton of these businesses into our heritage operatons. However, in connecton with the integraton of any other business that we acquire, there is a risk that we will not be able to achieve such integraton in a successful manner or on the tme schedule we have projected or in a way that will achieve the level of synergies, cost savings or operatng efciencies we forecast from the acquisiton.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signifcant business acquisiton or combinaton we might choose to undertake may require that we devote signifcant management atenton and resources to preparing for and then integratng our business practces and operatons. Based on our history, we believe we would be successful in this integraton process. Nevertheless, we may fail to realize some of the antcipated benefts of any potental acquisiton or other business combinaton that we pursue in the future if the integraton process takes longer or is more costly than expected. Potental difcultes we may encounter in the integraton process include the following:</w:t>
      </w:r>
    </w:p>
    <w:p>
      <w:pPr>
        <w:spacing w:after="0" w:line="72" w:lineRule="exact"/>
        <w:rPr>
          <w:sz w:val="20"/>
          <w:szCs w:val="20"/>
          <w:color w:val="auto"/>
        </w:rPr>
      </w:pPr>
    </w:p>
    <w:p>
      <w:pPr>
        <w:jc w:val="both"/>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inability to successfully combine operatons in a manner that permits us to achieve the synergies antcipated to result from the proposed acquisiton or business combinaton, which would result in the antcipated benefts of the acquisiton or business combinaton not being realized partly or wholly in the antcipated tme frame or at all;</w:t>
      </w:r>
    </w:p>
    <w:p>
      <w:pPr>
        <w:spacing w:after="0" w:line="70"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lost sales and customers as a result of certain customers of either the Company or former customers of the acquired or combined company deciding not to do business with us;</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complexites associated with managing the combined operatons;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integraton of personnel;</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creaton of uniform standards, internal controls, procedures, policies and informaton systems;</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discovery of previously unknown liabilites and unforeseen increased expenses, delays or regulatory issues associated with integratng the remaining operatons; and</w:t>
      </w:r>
    </w:p>
    <w:p>
      <w:pPr>
        <w:spacing w:after="0" w:line="69"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performance shortalls at business units as a result of the diversion of management atenton caused by completng the remaining integraton of the operatons.</w:t>
      </w:r>
    </w:p>
    <w:p>
      <w:pPr>
        <w:spacing w:after="0" w:line="34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7" w:name="page18"/>
    <w:bookmarkEnd w:id="17"/>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acquisitons and divesttures could harm our results of operatons.</w:t>
      </w:r>
    </w:p>
    <w:p>
      <w:pPr>
        <w:spacing w:after="0" w:line="5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pursuing our business strategy, we conduct discussions, evaluate opportunites and enter into acquisiton and divestture agreements. Acquisitons involve signifcant challenges and risks, including risks that:</w:t>
      </w:r>
    </w:p>
    <w:p>
      <w:pPr>
        <w:spacing w:after="0" w:line="64" w:lineRule="exact"/>
        <w:rPr>
          <w:sz w:val="20"/>
          <w:szCs w:val="20"/>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realize a satsfactory return on our investment;</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obtain required regulatory approvals and/or required fnancing on favorable terms;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able to retain key personnel of acquired businesses;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experience difculty in integratng new employees, business systems and technology;</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due diligence process may not identfy compliance issues or other liabilites that are in existence at the tme of our acquisiton;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able to bring the acquired business up to our expected levels of safety standards as quickly as antcipated;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have difculty entering into new geographic markets in which we are not experienced; or</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unable to retain the customers and partners of acquired businesses following the acquisiton.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Divesttures also involve signifcant challenges and risks, including risks that:</w:t>
      </w:r>
    </w:p>
    <w:p>
      <w:pPr>
        <w:spacing w:after="0" w:line="64" w:lineRule="exact"/>
        <w:rPr>
          <w:sz w:val="20"/>
          <w:szCs w:val="20"/>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obtain required regulatory approvals or our counterpartes may not obtain required fnancing on favorable terms;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management tme and atenton may be diverted to businesses held for sale;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have to write of certain assets, including those relatng to goodwill and other intangibles;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experience difcultes in the separaton of operatons;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lose key employees.</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cement and Magnesia Specialtes businesses may become capacity-constrained.</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our cement or Magnesia Specialtes businesses becomes and/or remains capacity-constrained, we may be unable to tmely satsfy the demand for some of our products, and any resultng changes in customers would introduce volatlity to the earnings of these segments. We can address capacity needs by enhancing our manufacturing productvity, increasing the operatonal availability of equipment, reducing machinery down tme and extending machinery useful life. Future demand for our products may require us to expand our manufacturing capacity further, partcularly through the purchase of additonal manufacturing equipment. However, we may not be able to increase our capacity in tme to satsfy increases in demand that may occur from tme to tme. Our Texas cement operaton is capacity constrained from tme to tme, which may prevent us from satsfying customer orders and result in a loss of sales to compettors that are not capacity-constrained. In August 2024, we completed a fnishing capacity expansion project at our Midlothian cement facility that added 0.45 million tons of annual incremental cement producton capacity. However, we may sufer excess capacity if we increase our capacity to meet actual or antcipated demand and that demand decreases or does not materialize in a tmely manner or at all.</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cement business could sufer if cement or clinker imports from other countries signifcantly increase or are sold in the United States in violaton of U.S. fair trade laws.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past, the U.S. cement industry has benefted from antdumping orders imposing dutes on imports of cement and clinker from other countries that violated U.S. fair trade laws. Cement operators with import facilites can purchase cement from other countries, such as those in Latn America and Asia, which could compete with domestc producers. In additon, if environmental regulatons increase the costs of domestc producers compared to foreign producers that are not subject to similar regulatons, imported cement could achieve a signifcant cost advantage over domestcally produced cement. An infux of cement or clinker products from countries not subject to antdumping orders, or sales of imported cement or clinker in violaton of U.S. fair trade laws, could adversely afect our cement product line.</w:t>
      </w:r>
    </w:p>
    <w:p>
      <w:pPr>
        <w:spacing w:after="0" w:line="13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8" w:name="page19"/>
    <w:bookmarkEnd w:id="18"/>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Economic, Politcal and Legal Risk Factors</w:t>
      </w:r>
    </w:p>
    <w:p>
      <w:pPr>
        <w:spacing w:after="0" w:line="126"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4EAD8A"/>
        </w:rPr>
        <w:t>Changes in legal requirements and governmental policies concerning zoning, land use, the environment, health and safety and other areas of the law, as well as litgaton relatng to these maters, afect our businesses. Our operatons expose us to the risk of material environmental liabilites.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Many federal, state and local laws and regulatons relatng to zoning, land use, air emissions (including carbon dioxide and other greenhouse gases), water use, allocaton and discharges, waste management, noise and dust control, mining, land reclamaton and other environmental, health and safety maters govern our operatons. Some of our operatons require permits, which may impose additonal operatng standards and are subject to modifcaton, renewal and revocaton. Certain of our operatons may from tme to tme involve the use of substances that are classifed as toxic or hazardous within the meaning of these laws and regulatons. Despite our extensive eforts to remain in strict compliance at all tmes with all applicable laws and regulatons, the risk of liabilites, partcularly environmental liabilites, is inherent in the operaton of our businesses. These potental liabilites could result in material costs, including fnes or personal injury or damages claims, which could have an adverse impact on our operatons and proftability.</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Future events, including changes in existng laws or regulatons or enforcement policies, or further investgaton or evaluaton of the potental health hazards of some of our products or business actvites may result in additonal or unantcipated compliance and other costs. We could be required to invest in preventve or remedial acton, like polluton control facilites, which could be substantal or which could result in restrictons on our operatons or delays in obtaining required permits or other approvals.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operatons are subject to manufacturing, operatng and handling risks associated with the products we produce and the products we use in our operatons, including the related storage and transportaton of raw materials, explosives, products, hazardous substances and wastes. We are exposed to hazards, including storage tank leaks, explosions, discharges or releases of hazardous substances, exposure to dust, and the operaton of mobile equipment and manufacturing machinery.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risks can subject us to potentally signifcant liabilites relatng to personal injury, death or property damage, and may result in signifcant civil or criminal penaltes, which could damage our productvity or proftability. For example, from tme to tme, we investgate and remediate environmental contaminaton relatng to our prior or current operatons, as well as operatons we have acquired from others, and, in some cases, we have been or could be named as a defendant in litgaton brought by governmental agencies or private partes to investgate or clean up such contaminaton.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involved from tme to tme in litgaton and claims arising from our operatons. While we do not believe the outcome of pending or threatened litgaton will have a material adverse efect on our operatons or our fnancial conditon, an unexpected and material adverse outcome in a pending or future legal acton could potentally have a negatve efect on our Company.</w:t>
      </w:r>
    </w:p>
    <w:p>
      <w:pPr>
        <w:spacing w:after="0" w:line="22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Legislaton or regulatons to address climate change and transiton to a low-carbon economy may adversely impact our business, including fnancial impacts.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number of governmental bodies, including U.S. regulatory agencies and various U.S. states, have proposed, enacted or are contemplatng legislatve and regulatory changes to mitgate or address the potental impacts of climate change, including provisions for greenhouse gas (GHG) emissions reductons or the use of alternatve fuels, carbon credits (such as a cap-and-trade system) and a carbon tax. For example, in the United States, the United States Environmental Protecton Agency (USEPA) promulgated a mandatory reportng rule covering GHG emissions from sources considered to be large emiters. Our cement plant and our Magnesia Specialtes plants are strictly regulated with respect to GHG emissions and hold Title V Permits under USEPA regulatons, and each (other than the Manistee Michigan facility) is also subject to the U.S. Clean Air Act’s Preventon of Signifcant Deterioraton (PSD) requirements which require a permit program for certain new or modifed sources of emissions. If future modifcatons to our Magnesia Specialtes or cement facilites require PSD review for other pollutants, GHG permitng requirements may also be triggered, which could require us to incur signifcant additonal costs. It is not possible, however, to estmate the cost of any future requirements at this tme.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Various states where we have operatons have enacted or are considering climate change initatves as well, and we have been and may contnue to be subject to state regulatons in additon to any federal laws and rules that are passed. For example, California has had a cap-and-trade program for emissions rights since 2012. In additon, in October 2023, California adopted its California Climate Accountability Package which includes annual reportng of Scope 1, Scope 2 and Scope 3 emissions on a</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9" w:name="page20"/>
    <w:bookmarkEnd w:id="19"/>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phased-in implementaton schedule, climate-related risk reportng for certain companies and heightened disclosure standards around net zero emissions claims, carbon-neutral claims or signifcant GHG emissions reducton claims and the purchase or use of voluntary carbon ofsets used to achieve those claims. These and other state climate-related regulatons may result in signifcantly higher compliance costs and risks.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although our aggregates, ready mixed concrete, asphalt and paving operatons are not considered “major” sources of GHG emissions subject to the USEPA reportng rule, any additonal regulatory restrictons on emissions of GHGs imposed by the USEPA would likely impact our magnesia-based chemicals operatons in Woodville, Ohio, and Manistee, Michigan, as well as our cement operaton in Texas, which in 2024 fled annual reports of GHG emissions as required by the USEPA reportng rule. We may not be able to recover any increased operatng costs, taxes or capital investments (other than with respect to any carbon reducton or capture technologies) relatng to GHG emission limitatons at those plants from our customers in order to remain compettve in pricing in the relevant markets. Our businesses also are dependent on reliable sources of energy and fuels. We could incur increased costs or disruptons in our operatons if climate change legislaton and regulaton (including regulatory changes with respect to alternatve fuel use) or severe weather afect the price or availability of purchased energy or fuels or other materials used in our operatons.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we do not currently believe such requirements will have a material adverse efect on the fnancial conditon or results of the operatons of either the Magnesia Specialtes business or Building Materials business, in light of the various regulatory uncertaintes, the Company cannot presently predict the costs of any future compliance requirements. We contnue to monitor GHG regulatons and legislaton and its potental impact on our business, fnancial conditon and product demand.</w:t>
      </w:r>
    </w:p>
    <w:p>
      <w:pPr>
        <w:spacing w:after="0" w:line="10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Weather paterns may result in physical impacts that could have adverse efects on our operatons or fnancial conditon.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Given the nature of our operatons, physical impacts of weather paterns may include disruptons in producton, regional supply or product distributon networks, as well as negatve impacts on the price or availability of purchased energy or fuels, due to major storm events or other severe weather, shifs in regional rainfall and temperature paterns and intensites, and fooding from sea level changes. In additon, producton and shipment demand for our Building Materials business correlate with general constructon actvity and rely on road, rail and water transportaton networks, most of which occurs outdoors and, as a result, is afected by erratc weather paterns, seasonal changes and other unusual or unexpected weather-related conditons, which can signifcantly afect that business. In our cement and downstream businesses, the physical impacts of weather paterns may result in disruptons to our operatons and to our customers’ transportaton actvites, including impacts on producton capabilites and capacites, supply chain interruptons and project delays, which can impact our reputaton and result in additonal costs to our Company. Excessive rainfall and other severe weather events also jeopardize producton, shipments and proftability in all markets served by our Building Materials business. In partcular, our operatons in the Atlantc Ocean and Gulf Coast regions of the United States and The Bahamas are at risk for hurricane actvity, most notably in August, September and October. In additon, our California operatons are at risk for wildfres, which is exacerbated by drought, which may also result in water restrictons. Throughout 2024, unprecedented storms and fooding caused operatonal delays and challenges across much of the Company's geographic footprint. Inclement weather can also reduce the useful life of an asset. These and other weather-related risks, such as a downturn in the constructon sector due to harsh weather, signifcant precipitaton or other changes in weather, could impact our customers, which could lead to reduced demand for our products. We may not be able to pass on to our customers all the costs related to mitgatng these risks.</w:t>
      </w:r>
    </w:p>
    <w:p>
      <w:pPr>
        <w:spacing w:after="0" w:line="22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 is dependent on funding from a combinaton of federal, state and local sources.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products are used in public infrastructure projects, which include the constructon, maintenance and improvement of highways, streets, roads, bridges, schools and similar projects. Accordingly, our business is dependent on the level of federal, state and local government spending on these projects. We cannot be assured, however, of the amount and tming of appropriatons for spending on infrastructure projects.</w:t>
      </w:r>
    </w:p>
    <w:p>
      <w:pPr>
        <w:spacing w:after="0" w:line="12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0" w:name="page21"/>
    <w:bookmarkEnd w:id="20"/>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businesses could be impacted by rising or sustained high interest rates.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operatons are highly dependent upon the interest rate-sensitve constructon and steelmaking industries. Therefore, our business in these industries may experience declines from sustained high or rising interest rates and cost increases.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Notably, demand in the residental constructon market in which we sell our aggregates products is afected by interest rates. While the Federal Reserve lowered interest rates several tmes during 2024, they remain above historical levels. Sustained high interest rates may afect our business in an adverse manner. The residental constructon market accounted for 23% of our 2024 aggregates shipments.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Rising interest rates could also result in disruptons in the credit markets, which could afect our business, as described in greater detail under "</w:t>
      </w:r>
      <w:r>
        <w:rPr>
          <w:rFonts w:ascii="Calibri" w:cs="Calibri" w:eastAsia="Calibri" w:hAnsi="Calibri"/>
          <w:sz w:val="18"/>
          <w:szCs w:val="18"/>
          <w:i w:val="1"/>
          <w:iCs w:val="1"/>
          <w:color w:val="auto"/>
        </w:rPr>
        <w:t>Disruptons in</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the credit markets could afect our business" </w:t>
      </w:r>
      <w:r>
        <w:rPr>
          <w:rFonts w:ascii="Calibri" w:cs="Calibri" w:eastAsia="Calibri" w:hAnsi="Calibri"/>
          <w:sz w:val="18"/>
          <w:szCs w:val="18"/>
          <w:color w:val="auto"/>
        </w:rPr>
        <w:t>risk factor.</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Increases in our efectve income tax rate may harm our results of operatons.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A number of factors may increase our future efectve income tax rate, including:</w:t>
      </w:r>
    </w:p>
    <w:p>
      <w:pPr>
        <w:spacing w:after="0" w:line="64" w:lineRule="exact"/>
        <w:rPr>
          <w:sz w:val="20"/>
          <w:szCs w:val="20"/>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governmental authorites increasing tax rates or eliminatng deductons, partcularly the depleton deducton;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mix of earnings from depletable versus non-depletable businesses;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jurisdictons in which earnings are taxed;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resoluton of issues arising from tax audits with various tax authorites;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the valuaton of our deferred tax assets and liabilites;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adjustments to estmated taxes upon fnalizaton of various tax returns;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the availability of tax credits;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stock-based compensaton;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write-of of nondeductble goodwill resultng from divesttures;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 changes in tax laws;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interpretaton of tax laws and/or administratve practces.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Any signifcant increase in our future efectve income tax rate could reduce our net earnings and free cash fow for future periods.</w:t>
      </w:r>
    </w:p>
    <w:p>
      <w:pPr>
        <w:spacing w:after="0" w:line="11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Investor and stakeholder focus on climate change and sustainability maters and any related reportng obligatons may impact our businesses.</w:t>
      </w:r>
    </w:p>
    <w:p>
      <w:pPr>
        <w:spacing w:after="0" w:line="11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Investors, other stakeholders, and U.S. and internatonal regulators are ofen focused on climate change and sustainability maters. For example, new and proposed laws, regulatons and investor and proxy advisory guidelines relatng to and requiring disclosure of such maters, including those relatng to sustainability, emissions, supply chain, and human capital management, are under consideraton or being adopted, or may be proposed in the future. These requirements have resulted in and may contnue to result in our need to make additonal investments and implement new practces and reportng processes, all entailing management atenton and additonal compliance risk. Any failure or perceived failure to achieve or accurately report on our current or future sustainability-related commitments, including our GHG reducton and net zero ambiton and targets, and any diferences between our commitments and those of any companies to which we are compared, could harm our reputaton, adversely afect our ability to efectvely compete (including as a result of disclosure of proprietary informaton regarding our plants or changes in our ability to raise capital), adversely afect our recruitment and retenton eforts or expose us to potental legal liability. In additon, while we are commited to pursuing our sustainability objectves, there is no assurance that we will achieve any of our sustainability goals or commitments, that low- or non-carbon-based energy sources and technologies required to meet long-term emissions reductons in some of the sectors in which we operate will be available at scale in the United States on an economically feasible basis or that we or our suppliers can meet sustainability, emissions reductons and other standards that are required by current or future laws or established as investment criteria, votng guidelines or actvism triggers by our investors and other stakeholders. Failure to meet these commitments could result in reputatonal harm to our Company and changes regarding climate risk management and practces may result in higher regulatory and compliance risks and costs.</w:t>
      </w:r>
    </w:p>
    <w:p>
      <w:pPr>
        <w:spacing w:after="0" w:line="12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1" w:name="page22"/>
    <w:bookmarkEnd w:id="21"/>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businesses could be adversely afected by outbreak of disease, epidemic or pandemic, or similar public health threat, or fear of such an event and its related economic and societal response.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businesses could be negatvely impacted by the widespread outbreak of an illness or other communicable disease, or any other public health crisis that results in economic and trade disruptons. Public health threats can negatvely impact economic actvity, consumer confdence and discretonary spending, and overall market conditons and these conditons could have an impact on our Company to the extent that they occur in regions where our Building Materials business principally operates. Further, outbreaks of illnesses could negatvely afect the health of our employees, employee productvity, customer purchasing paterns and fulfllment of purchase orders, availability of supplies, pricing for raw materials and the ability to transport materials via the Company’s distributon network. We actvely monitor public health situatons as part of our health and safety measures to comply with federal, state and local mandates and to protect the health and safety of our employees. We may take further actons that alter our business operatons, including any that may be required by federal, state or local authorites or that we determine are in the best interests of our employees, customers, suppliers, vendors, communites and other stakeholders as we adapt to public health events from tme to tme.</w:t>
      </w:r>
    </w:p>
    <w:p>
      <w:pPr>
        <w:spacing w:after="0" w:line="19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Personnel Risks</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Labor disputes could disrupt operatons of our businesses.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Labor unions represented 14% of the hourly employees of our Building Materials business and all of the hourly employees of our Magnesia Specialtes business as of December 31, 2024. Our collectve bargaining agreements for employees of our Magnesia Specialtes business at the Woodville, Ohio, lime plant and the Manistee, Michigan magnesia chemicals plant expire in June 2026 and August 2027,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Disputes with our trade unions, or the inability to renew our labor agreements, could lead to work stoppages or other actons that could disrupt our businesses, raise costs and reduce revenues and earnings from the afected locatons.</w:t>
      </w:r>
    </w:p>
    <w:p>
      <w:pPr>
        <w:spacing w:after="0" w:line="225" w:lineRule="exact"/>
        <w:rPr>
          <w:sz w:val="20"/>
          <w:szCs w:val="20"/>
          <w:color w:val="auto"/>
        </w:rPr>
      </w:pPr>
    </w:p>
    <w:p>
      <w:pPr>
        <w:spacing w:after="0" w:line="235" w:lineRule="auto"/>
        <w:rPr>
          <w:sz w:val="20"/>
          <w:szCs w:val="20"/>
          <w:color w:val="auto"/>
        </w:rPr>
      </w:pPr>
      <w:r>
        <w:rPr>
          <w:rFonts w:ascii="Calibri" w:cs="Calibri" w:eastAsia="Calibri" w:hAnsi="Calibri"/>
          <w:sz w:val="22"/>
          <w:szCs w:val="22"/>
          <w:b w:val="1"/>
          <w:bCs w:val="1"/>
          <w:i w:val="1"/>
          <w:iCs w:val="1"/>
          <w:color w:val="4EAD8A"/>
        </w:rPr>
        <w:t>We depend on the recruitment and retenton of qualifed personnel, and our failure to atract and retain such personnel could adversely afect our business.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success depends to a signifcant degree upon the contnued services of, and on our ability to atract and retain, our key personnel and executve ofcers, including qualifed management, technical, marketng and sales, and support personnel. Competton for such personnel is intense, and we may not be successful in atractng or retaining such qualifed personnel, which could negatvely afect our business. In additon, because of our reliance on our senior management team, the unantcipated departure of any key member could have an adverse efect on our business. Our future success depends, in part, on our ability to identfy and develop or recruit talent to succeed our senior management and other key positons throughout the organizaton. If we fail to identfy and develop or recruit successors, we are at risk of being harmed by the departures of these key employees. Efectve succession planning is also important to our long-term success. Failure to ensure efectve transfer of knowledge and smooth transitons involving key employees could hinder our strategic planning and executon.</w:t>
      </w:r>
    </w:p>
    <w:p>
      <w:pPr>
        <w:spacing w:after="0" w:line="230"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reputaton, ability to do business and results of operatons could be impaired by improper conduct by any of our employees, agents or business partners.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regulaton under a wide variety of U.S. federal and state and some non-U.S. laws, regulatons and policies, including laws related to antcorrupton, antbribery, export and import compliance, anttrust and money laundering, due to our operatons. We cannot provide assurance that our compliance policies and internal controls will always protect us from the improper conduct of our employees, agents and business partners. Any violatons of law or improper conduct could damage our reputaton and, depending on the circumstances, subject us to, among other things, civil and criminal penaltes, material fnes, equitable remedies (including proft disgorgement and injunctons on future conduct), securites litgaton and a general loss of investor confdence, any one of which could have a material adverse impact on our business prospects, fnancial conditon, results of operatons, cash fows and the market value of our stock.</w:t>
      </w:r>
    </w:p>
    <w:p>
      <w:pPr>
        <w:spacing w:after="0" w:line="13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2" w:name="page23"/>
    <w:bookmarkEnd w:id="22"/>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Investment returns on our pension assets may be lower than expected, or interest rates may decline, requiring us to make signifcant additonal cash contributons to our beneft plans.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porton of our current and former employees has accrued benefts under our defned beneft pension plans. Requirements for funding our pension plan liabilites are based on a number of actuarial assumptons, including the expected rate of return on our plan assets and the discount rate applied to our pension plan obligatons. Fluctuatons in equity market returns and changes in long-term interest rates could increase our costs under our defned beneft pension plans and may signifcantly afect future contributon requirements. It is unknown what the actual investment return on our pension assets will be in future years and what interest rates may be at any given point in tme. We cannot therefore provide any assurance of what our actual pension plan costs will be in the future, or whether we will be required under applicable law to make future material plan contributons.</w:t>
      </w:r>
    </w:p>
    <w:p>
      <w:pPr>
        <w:spacing w:after="0" w:line="10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Financial, Accountng and Cost Management Risk Factors</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 is capital intensive.</w:t>
      </w:r>
    </w:p>
    <w:p>
      <w:pPr>
        <w:spacing w:after="0" w:line="5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property and machinery needed to produce our products are very expensive. Therefore, we require large amounts of cash to operate our businesses. We believe that our cash on hand, along with our projected operatng cash fows and our available fnancing resources, is adequate to support our antcipated operatng and capital needs. Our ability to generate sufcient cash fow depends on future performance, which will be subject to general economic conditons, industry cycles and fnancial, business and other factors afectng our operatons, many of which are beyond our control. If we are unable to generate sufcient cash to operate our business, we may be required, among other things, to reduce or delay planned capital or operatng expenditures.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earnings are afected by the applicaton of accountng standards and our critcal accountng policies, which involve subjectve judgments and estmates by our management. Our estmates and assumptons could be wrong.</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accountng standards we use in preparing our fnancial statements are ofen complex and require that we make signifcant estmates and assumptons in interpretng and applying those standards. These estmates and assumptons involve maters that are inherently uncertain and require our subjectve and complex judgments. If we used diferent estmates and assumptons or used diferent ways to determine these estmates, our fnancial results could difer.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While we believe our estmates and assumptons are appropriate, we could be wrong. Accordingly, our fnancial results could be diferent, either higher or lower. We urge you to read </w:t>
      </w:r>
      <w:r>
        <w:rPr>
          <w:rFonts w:ascii="Calibri" w:cs="Calibri" w:eastAsia="Calibri" w:hAnsi="Calibri"/>
          <w:sz w:val="18"/>
          <w:szCs w:val="18"/>
          <w:u w:val="single" w:color="auto"/>
          <w:color w:val="007DC6"/>
        </w:rPr>
        <w:t>Critcal Accountng Policies and Estmates</w:t>
      </w:r>
      <w:r>
        <w:rPr>
          <w:rFonts w:ascii="Calibri" w:cs="Calibri" w:eastAsia="Calibri" w:hAnsi="Calibri"/>
          <w:sz w:val="18"/>
          <w:szCs w:val="18"/>
          <w:color w:val="auto"/>
        </w:rPr>
        <w:t xml:space="preserve"> included under </w:t>
      </w:r>
      <w:r>
        <w:rPr>
          <w:rFonts w:ascii="Calibri" w:cs="Calibri" w:eastAsia="Calibri" w:hAnsi="Calibri"/>
          <w:sz w:val="18"/>
          <w:szCs w:val="18"/>
          <w:u w:val="single" w:color="auto"/>
          <w:color w:val="007DC6"/>
        </w:rPr>
        <w:t>Item 7, Management’s Discussion and Analysis of Financial Conditon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-154940</wp:posOffset>
            </wp:positionV>
            <wp:extent cx="31769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76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11664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The adopton of new accountng standards may afect our fnancial results.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accountng standards we apply in preparing our fnancial statements are reviewed by regulatory bodies and are periodically changed. New or revised accountng standards could, either positvely or negatvely, afect results reported for periods afer adopton of the standards as compared with the prior periods, or require retrospectve applicaton changing results reported for prior periods. We urge you to read about our accountng policies and new accountng pronouncements in </w:t>
      </w:r>
      <w:r>
        <w:rPr>
          <w:rFonts w:ascii="Calibri" w:cs="Calibri" w:eastAsia="Calibri" w:hAnsi="Calibri"/>
          <w:sz w:val="18"/>
          <w:szCs w:val="18"/>
          <w:u w:val="single" w:color="auto"/>
          <w:color w:val="007DC6"/>
        </w:rPr>
        <w:t>Note A: Accountng Policies</w:t>
      </w:r>
      <w:r>
        <w:rPr>
          <w:rFonts w:ascii="Calibri" w:cs="Calibri" w:eastAsia="Calibri" w:hAnsi="Calibri"/>
          <w:sz w:val="18"/>
          <w:szCs w:val="18"/>
          <w:color w:val="auto"/>
        </w:rPr>
        <w:t xml:space="preserve"> of our consolidated fnancial statements included under </w:t>
      </w:r>
      <w:r>
        <w:rPr>
          <w:rFonts w:ascii="Calibri" w:cs="Calibri" w:eastAsia="Calibri" w:hAnsi="Calibri"/>
          <w:sz w:val="18"/>
          <w:szCs w:val="18"/>
          <w:u w:val="single" w:color="auto"/>
          <w:color w:val="007DC6"/>
        </w:rPr>
        <w:t>Item 8, Financial Statements and</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Supplementary Data</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-153670</wp:posOffset>
            </wp:positionV>
            <wp:extent cx="13004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04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-153670</wp:posOffset>
            </wp:positionV>
            <wp:extent cx="15684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9283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spacing w:after="0" w:line="9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Reports from the Public Company Accountng Oversight Board’s (PCAOB) inspectons of public accountng frms contnue to outline fndings and recommendatons that could require these frms to perform additonal work as part of their fnancial statement audits. Our costs to respond to these additonal requirements may increase.</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Impairment charges could have a material adverse efect on our fnancial results.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and other certain acquired intangible assets expected to contribute indefnitely to our cash fows are not amortzed, but must be evaluated for impairment by management at least annually. If the carrying value of a reportng unit exceeds its fair value, the reportng unit's goodwill is considered impaired and a non-cash charge to earnings is recorded for the diference. If the carrying value of an indefnite-lived intangible asset is greater than its fair value, the intangible asset is considered impaired and is reduced to fair value via a non-cash charge to earnings. Future events may occur that would adversely afect the fair value of our goodwill or other acquired intangible assets and require impairment charges. Such events may include,</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3" w:name="page24"/>
    <w:bookmarkEnd w:id="23"/>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but are not limited to, lower-than-forecasted revenues or proftability, constructon growth rates that fall below our assumptons, actons of key customers, increases in interest rates, contnued economic uncertainty, higher levels of unemployment, weak consumer confdence, lower levels of discretonary consumer spending and a decline in the trading price of our common stock. We contnue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Disruptons in the credit markets could afect our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Demand for aggregates products, partcularly in the infrastructure constructon market, has historically been negatvely afected by federal and state budget challenges and the uncertainty over future highway funding levels. Further, delays to or cancellatons of capital projects in the nonresidental and residental constructon markets could occur if companies and consumers are unable to obtain fnancing for constructon projects or if consumer confdence is eroded by economic uncertainty.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recessionary constructon economy can also increase the likelihood we will not be able to collect all our accounts receivable from our customers. While we are protected in part by payment bonds posted by many of our customers or end-users, as well as statutory lien rights, we have experienced delays in payment from some of our customers during downturns especially in the constructon markets and expect that we would experience such delays in the future, which would negatvely afect operatng cash fows.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environment could impact our ability to borrow money in the future. Additonal fnancing or refnancing might not be available and, if available, may not be at economically favorable terms. Further, an increase in leverage could lead to deterioraton in our credit ratngs. A reducton in our credit ratngs, regardless of the cause, could also limit our ability to obtain additonal fnancing and/or increase our cost of obtaining fnancing. There is no guarantee we will be able to access the capital markets at fnancially economical interest rates, which could negatvely afect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be required to obtain fnancing in order to fund certain strategic acquisitons, if they arise, or to refnance our outstanding debt or for other corporate purposes. It is possible a large strategic acquisiton would require that we issue new equity and debt securites in order to maintain our investment-grade credit ratng and could result in a ratngs downgrade notwithstanding our issuance of equity securites to fund the transacton. We are also exposed to risks from tghtening credit markets, through the interest payable on any variable-rate debt, including the interest cost on future borrowings under our credit facilites. While we believe our credit ratngs will remain at a composite investment-grade level, we cannot be assured these ratngs will remain at those levels. Also, while we believe the Company will contnue to have adequate credit available to meet its needs, there can be no assurance that such credit will be available on acceptable terms or on a tmely basis.</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Magnesia Specialtes business faces currency risks from its overseas actvites.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Magnesia Specialtes business sells some of its products outside the United States. Therefore, the operatons of the Magnesia Specialtes business are afected from tme to tme by the fuctuatng values of the currency exchange rates of the countries in which it does business in relaton to the value of the U.S. Dollar. The business tries to mitgate the short-term efects of currency exchange rates by denominatng sales in the U.S. Dollar. This stll leaves the business subject to certain risks, depending on the strength of the U.S. Dollar.</w:t>
      </w:r>
    </w:p>
    <w:p>
      <w:pPr>
        <w:spacing w:after="0" w:line="22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Unexpected equipment failures, catastrophic events and scheduled maintenance may lead to producton curtailments or shutdowns.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manufacturing processes are dependent upon critcal pieces of equipment, such as our kilns and fnishing mills. This equipment, on occasion, is out of service as a result of planned or unplanned maintenance, failures or damage during accidents. In additon to equipment failures, our facilites are also subject to the risk of catastrophic loss due to unantcipated events, such as fres, explosions or violent weather conditons. We have scheduled outages that can range from one to several weeks at least once a year to refurbish our cement and dolomitc lime producton facilites. In 2024, our cement and Magnesia Specialtes operatons incurred shutdown costs of $22 million and $9 million, respectvely. Any signifcant interrupton in producton capability may require us to make signifcant capital expenditures to remedy problems or damage as well as cause us to lose revenue due to lost producton tme.</w:t>
      </w:r>
    </w:p>
    <w:p>
      <w:pPr>
        <w:spacing w:after="0" w:line="13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4" w:name="page25"/>
    <w:bookmarkEnd w:id="24"/>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paving operatons present additonal risks to our business.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paving operatons face challenges when our contracts have penaltes for late completon. In some instances, including many of our fxed-price contracts, we guarantee project completon by a certain date. If we subsequently fail to complete the project as scheduled, we may be held responsible for costs resultng from the delay, generally in the form of contractually agreed-upon liquidated damages. Under these circumstances, the total project cost could exceed our original estmate, and we could experience a lower proft or a loss on the project. In our paving operatons, we also have fxed-price and fxed-unit-price contracts where our profts can be adversely afected by a number of factors beyond our control, which can cause our actual costs to materially exceed the costs estmated at the tme of our original bid. These same issues and risks can also impact some of our contracts in our asphalt and ready mixed concrete operatons. These risks are somewhat mitgated by the fact that a majority of our road paving contracts are for short-term projects.</w:t>
      </w:r>
    </w:p>
    <w:p>
      <w:pPr>
        <w:spacing w:after="0" w:line="22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Our ready mixed concrete and asphalt and paving product lines have lower proft margins and operatng results can be more volatle.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ready mixed concrete and asphalt and paving operatons typically generate lower proft margins than our aggregates and cement operatons due to potentally volatle input costs, highly compettve market dynamics and lower barriers to entry. To reduce our exposure to fuctuatons in raw materials costs, we divested 20 ready mixed concrete plants serving the Austn and San Antonio, Texas regions in February 2024.</w:t>
      </w:r>
    </w:p>
    <w:p>
      <w:pPr>
        <w:spacing w:after="0" w:line="17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Suppliers, Raw Materials and Energy Costs Risk Factors</w:t>
      </w:r>
    </w:p>
    <w:p>
      <w:pPr>
        <w:spacing w:after="0" w:line="1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Short supplies and high costs of fuel, energy and raw materials afect our businesses.</w:t>
      </w:r>
    </w:p>
    <w:p>
      <w:pPr>
        <w:spacing w:after="0" w:line="6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businesses require a contnued supply of diesel fuel, natural gas, coal, petroleum coke and other energy. Our fnancial results have historically been afected by the short supply or high costs of these fuels and energy. Changes in energy costs also afect the prices that we pay for related supplies, including explosives, conveyor beltng and tres. While we can contract for some fuels and sources of energy, such as fxed-price supply contracts for natural gas, coal and petroleum coke, signifcant increases in costs or reduced availability of these items have and may in the future reduce our fnancial results. Moreover, fuctuatons in the supply and costs of these fuels and energy can make planning for our businesses more difcult. Because of the fuctuatng trends in diesel fuel prices, we may enter into fxed-price fuel agreements from tme to tme for a porton of our diesel fuel to reduce our diesel fuel price risk.</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producton requires large amounts of energy, including electricity and fossil fuels. Therefore, the cost of energy is one of our largest expenses. Prices for energy are subject to market forces largely beyond our control and can be volatle. Cost increases that we are unable to pass through to the customer in the form of price increases for our products or disrupton of the uninterrupted supply of fuel and electricity could adversely afect us. Accordingly, energy cost volatlity can adversely afect the fnancial results of our cement business. The Midlothian cement operaton has fxed-price agreements for a porton of its antcipated 2025 coal, electricity and natural gas needs.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Similarly, our downstream operatons also require a contnued supply of liquid asphalt and cement, which serve as key raw materials in the producton of hot mix asphalt and ready mixed concrete, respectvely. Some of these raw materials we produce internally, but most are purchased from third partes. These purchased raw materials are subject to potental supply constraints and signifcant price fuctuatons, which are beyond our control. The fnancial results of our ready mixed concrete and asphalt and paving operatons have been afected by the short supply or high costs of these raw materials. We generally see frequent volatlity in the prices for these raw materials.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Our Magnesia Specialtes business has fxed-price agreements for 43% of its antcipated 2025 coal, petroleum coke and natural gas needs.</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Cement is sensitve to supply and price volatlity.</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competton is ofen based primarily on price, which is highly sensitve to changes in supply and demand. Prices fuctuate signifcantly in response to relatvely minor changes in supply and demand, general economic conditons and other market conditons, which we cannot control. When cement producers increase producton capacity or more cement is imported into the market, an oversupply of cement in the market may occur if supply exceeds demand. In that case, cement prices generally decline. We cannot be assured that prices for our cement products will not decline in the future or that such decline will not have a material adverse efect on our cement product line.</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5" w:name="page26"/>
    <w:bookmarkEnd w:id="25"/>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Magnesia Specialtes business depends in part on the steel industry and the supply of reasonably priced fuels.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Magnesia Specialtes business sells some of its products to companies in the steel industry. Accordingly, this business is dependent, in part, on the strength of the cyclical steel industry. Our Magnesia Specialtes business also requires signifcant amounts of natural gas, coal and petroleum coke, and fnancial results are negatvely afected by increases in fuel prices or shortages.</w:t>
      </w:r>
    </w:p>
    <w:p>
      <w:pPr>
        <w:spacing w:after="0" w:line="17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Cyber and Informaton Security Risk Factors</w:t>
      </w:r>
    </w:p>
    <w:p>
      <w:pPr>
        <w:spacing w:after="0" w:line="126"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We are dependent on informaton technology and our systems and infrastructure face certain risks, including cybersecurity risks and data leakage risks.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rely on informaton technology systems and networks, some of which are managed by third-party vendors, including cloud-based systems and managed service providers, to operate our business and to securely process, store and transmit confdental, sensitve and proprietary informaton relatng to our business operatons including sensitve informaton about our customers and employees. Cyber threats are rapidly evolving as threat actors have become increasingly sophistcated and carry out direct large-scale, complex atacks against a company and are reportedly using artfcial intelligence to increase the virulence of atacks. In additon, we have relied on our informaton technology infrastructure to support remote work from tme to tme and may need to do so in the future, which can increase cyber risks. We are not able to antcipate or prevent all such atacks and could be held liable for any resultng material security breach or data loss. In additon, it is not always possible to deter or detect misconduct by employees or third-party vendors.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we have experienced atacks to breach the security of our informaton technology systems, we are not aware that we have experienced a material cybersecurity incident during the 2024 fscal year. Breaches of our technology systems, or those of our vendors and customers, whether from circumventon of security systems, denial-of-service atacks or other cyber-atacks, hacking, “phishing” or "quishing" atacks, computer viruses, ransomware or malware, employee or insider error, malfeasance, social engineering, vendor sofware supply chain compromises, physical breaches or other actons, may result in manipulaton or corrupton of sensitve data, material interruptons or malfunctons in our Company’s or such vendors’ and customers’ websites, applicatons, data processing and certain products and services, or disrupton of other business operatons. Furthermore, any such breaches could compromise the confdentality and integrity of material informaton held by our Company (including informaton about our business, employees or customers), as well as sensitve personally identfable informaton, the disclosure of which could lead to identty thef and liability under data privacy laws. Breaches of our products that rely on technology and internet connectvity can expose our Company to product and other liability risk and reputatonal harm. Measures that we take to avoid, detect, mitgate or recover from material incidents may be insufcient, circumvented, or may become inefectve.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invested and contnue to invest in risk management and informaton security and data privacy measures in order to protect our systems and data, including employee training, organizatonal investments, incident response plans, table top exercises and technical defenses. The cost and operatonal consequences of implementng, maintaining and enhancing further data or system protecton measures could increase signifcantly to overcome increasingly intense, complex and sophistcated global cyber threats. Despite our best eforts, we are not fully insulated from data breaches and system disruptons. In additon, we are subject to complex and evolving laws, rules and regulatons related to cybersecurity. These laws or regulatons may be subject to uncertain or inconsistent interpretatons and enforcement.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material breaches of cybersecurity, including the accidental loss, inadvertent disclosure or unapproved disseminaton of proprietary informaton or sensitve or confdental data, or failure or perceived failure by us to comply with applicable laws, rules, or regulatons, or any media reports of perceived security vulnerabilites to our systems, products and services or those of third partes relied upon by our Company could cause us to experience reputatonal harm, loss of customers and revenue, fnes, regulatory actons and scrutny, sanctons or other statutory penaltes, litgaton, liability for failure to safeguard our customers’ informaton or fnancial losses that are either not insured against or not fully covered through any insurance maintained by our Company. The report, rumor or assumpton regarding a potental breach may have similar results, even if no breach has been atempted or occurred. Any of the foregoing may have a material adverse efect on our business, operatng results and fnancial conditon.</w:t>
      </w:r>
    </w:p>
    <w:p>
      <w:pPr>
        <w:spacing w:after="0" w:line="13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6" w:name="page27"/>
    <w:bookmarkEnd w:id="26"/>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Other Risk Factors</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Delays or interruptons in shipping products of our businesses could afect our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Transportaton logistcs play an important role in allowing us to supply products to our customers, whether by road, rail or water. We also rely heavily on third-party truck and rail transportaton to ship coal, natural gas and other fuels to our plants. Any signifcant delays, disruptons or the non-availability of our transportaton support system could negatvely afect our operatons. Transportaton operatons are subject to capacity constraints, high fuel costs and various hazards, including extreme weather conditons and slowdowns due to labor strikes and other work stoppages. In Texas, we compete for third-party trucking services with operatons in the oil and gas felds, which can signifcantly constrain the availability of those services to us. If there are material changes in the availability or cost of transportaton services, we may not be able to arrange alternatve and tmely means to transport our products or fuels at a reasonable cost, which could lead to interruptons or slowdowns in our businesses or increases in our costs.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availability of railcars can also afect our ability to transport our products. Railcars can be used to transport many diferent types of products across all of our segments. If owners sell or lease railcars for use in other industries, we may not have enough railcars to transport our products.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agreements with shipping companies to provide ships to transport our aggregates products from our Bahamas and Nova Scota operatons to various coastal ports that expire in 2026 and 2027, respectvely. Our inability to renew these agreements or enter into new ones with other shipping companies could afect our ability to transport our products.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Some of our products are distributed by barges along rivers in Ohio and West Virginia. We may experience, to a lesser degree, risks associated with distributng our products by barges, including signifcant delays, disruptons or the non-availability of our barge transportaton system that could negatvely afect our operatons, water levels that could afect our ability to transport our products by barge, and barges that may not be available in quanttes that we might need from tme to tme to support our operatons.</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artcles of incorporaton and bylaws and North Carolina law may inhibit a change in control that you may favor.</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restated artcles of incorporaton and restated bylaws and North Carolina law contain provisions that may delay, deter or inhibit a future acquisiton of us not approved by our Board of Directors. This could occur even if our shareholders are ofered an atractve value for their shares or if many or even a majority of our shareholders believe the takeover is in their best interest. These provisions are intended to encourage any person interested in acquiring us to negotate with and obtain the approval of our Board of Directors in connecton with the transacton. Provisions that could delay, deter or inhibit a future acquisiton include the following:</w:t>
      </w:r>
    </w:p>
    <w:p>
      <w:pPr>
        <w:spacing w:after="0" w:line="67" w:lineRule="exact"/>
        <w:rPr>
          <w:sz w:val="20"/>
          <w:szCs w:val="20"/>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our Board of Directors to establish the terms of, and issue, preferred stock without shareholder approval;</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requirement that our shareholders may remove directors only for cause;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inability of our shareholders to call special meetngs of shareholders;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super-majority shareholder approval requirements for business combinaton transactons with certain fve percent shareholders; and</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 notce requirements for nominatons for electon to our board or for proposing maters that can be acted upon by our shareholders at shareholder meetngs.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Additonally, the occurrence of certain change-of-control events could result in an event of default under certain of our existng or future debt instruments.</w:t>
      </w:r>
    </w:p>
    <w:p>
      <w:pPr>
        <w:spacing w:after="0" w:line="22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1B – UNRESOLVED STAFF COMMENTS</w:t>
      </w:r>
    </w:p>
    <w:p>
      <w:pPr>
        <w:spacing w:after="0" w:line="1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are no unresolved writen comments that were received from the staf of the SEC one hundred and eighty (180) days or more before the end of the Company's fscal year relatng to its periodic or current reports under the Exchange Act.</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7" w:name="page28"/>
    <w:bookmarkEnd w:id="27"/>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1C – Cybersecurity</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1C – CYBERSECURITY</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Risk Management and Strategy</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Martn Marieta prioritzes the management of cybersecurity risk and the protecton of informaton across the enterprise by embedding data protecton and cybersecurity risk management in its operatons. The Company’s processes for assessing, identfying and managing material risks from cybersecurity threats have been integrated into the Company’s overall risk management system and processes.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foundaton of this approach, the Company has implemented a layered governance framework designed to assess, identfy and manage cybersecurity risks. Martn Marieta’s cybersecurity policies encompass incident response procedures and informaton security. To develop these policies and procedures, the Company monitors privacy and cybersecurity laws, regulatons and guidance applicable thereto, as well as proposed privacy and cybersecurity laws, regulatons, guidance and emerging risks. The Company partners with leading cybersecurity frms and organizatons, utlizing third-party technology and expertse, to monitor and evaluate the performance and efectveness of its cybersecurity controls and defenses and to supplement the expertse that the Company’s security managers possess. Furthermore, the Company conducts assessments of informaton technology and cybersecurity third-party providers during the inital review process and periodically thereafer.</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described in </w:t>
      </w:r>
      <w:r>
        <w:rPr>
          <w:rFonts w:ascii="Calibri" w:cs="Calibri" w:eastAsia="Calibri" w:hAnsi="Calibri"/>
          <w:sz w:val="18"/>
          <w:szCs w:val="18"/>
          <w:u w:val="single" w:color="auto"/>
          <w:color w:val="0563C1"/>
        </w:rPr>
        <w:t>Item 1A, Risk Factors</w:t>
      </w:r>
      <w:r>
        <w:rPr>
          <w:rFonts w:ascii="Calibri" w:cs="Calibri" w:eastAsia="Calibri" w:hAnsi="Calibri"/>
          <w:sz w:val="18"/>
          <w:szCs w:val="18"/>
          <w:color w:val="auto"/>
        </w:rPr>
        <w:t xml:space="preserve"> of this Form 10-K, the Company faces risks from cybersecurity threats that could have material adverse efect on its business including its business strategy, results of operatons or fnancial conditon. While the Company has experienced atacks on the security of its informaton technology systems to date, management is not aware that the Company has experienced a material cybersecurity incident during the 2024 fscal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-428625</wp:posOffset>
            </wp:positionV>
            <wp:extent cx="9702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Governance</w:t>
      </w:r>
    </w:p>
    <w:p>
      <w:pPr>
        <w:spacing w:after="0" w:line="59"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As part of its overall risk management approach, the Company prioritzes the identfcaton and management of cybersecurity risk at several levels, including Board oversight, day-to-day executve risk management and employee training. The Audit Commitee, comprised of independent directors from the Board, oversees the Board’s responsibilites relatng to the operatonal (including informaton technology risks, business contnuity and data security) risk afairs of the Company. The Audit Commitee is informed of such risks through quarterly reports from the Senior Vice President, Chief Informaton Ofcer (CIO), who oversees the implementaton and compliance of informaton security standards and mitgaton of cybersecurity related risks, assesses and manages the cyber risk management program, determines when third-party cybersecurity experts should be consulted, informs senior management regarding the preventon, detecton, mitgaton and remediaton of cybersecurity incidents with the support of the cybersecurity incident management team and supervises such eforts. The Company’s cybersecurity incident management team has decades of experience selectng, deploying and operatng cybersecurity technologies, initatves and processes as well as managing enterprise risk. The Incident Response Leadership Commitee, which includes senior executves across the Company, is alerted as appropriate to cybersecurity incidents, and the CIO is responsible for communicatng to the Audit Commitee regarding the actvites of the Incident Response Leadership Commitee, as appropriate. The CIO has over 20 years of experience in informaton technology and business operatons. He holds a Master of Business Administraton and a Bachelor of Engineering as well as various business and strategic leadership certfcates. The Company's Vice President (VP), Infrastructure and Security, who reports directly to the CIO, is responsible for day-to-day assessment and management of cybersecurity risk and the Company’s cybersecurity incident management team and acts as a chief informaton security ofcer. The VP, Infrastructure and Security has 38 years of informaton technology experience including 22 years of experience in informaton security. Additonally, he holds various informaton technology certfcates, including Certfed Informaton Systems Security Professional and Certfed Informaton Security Manager certfcates.</w:t>
      </w:r>
    </w:p>
    <w:p>
      <w:pPr>
        <w:spacing w:after="0" w:line="10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holds annual employee trainings on cybersecurity, conducts phishing tests and generally seeks to promote awareness of cybersecurity risk through communicaton and educaton of its employees.</w:t>
      </w:r>
    </w:p>
    <w:p>
      <w:pPr>
        <w:spacing w:after="0" w:line="12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8" w:name="page29"/>
    <w:bookmarkEnd w:id="28"/>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2 – PROPERTIES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Building Materials Business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the Company processed or shipped aggregates from 389 quarries, mines and distributon yards in 28 states, Canada and The Bahamas. No individual quarry or mine is material to the Company’s business or fnancial conditon. The Company’s aggregates reserves, on average, represent more than 85 years at the 2024 annual producton level. However, certain locatons may be subject to more limited reserves and may not be able to expand. As of December 31, 2024, the Company operated 78 aggregates distributon yards. In total, aggregates locatons (quarries, mines and distributon yards) include 191 located on land owned by the Company free of major encumbrances, 121 on leased land, 64 on land owned in part and leased in part and 13 on facilites neither owned nor leased where raw materials are removed under an agreement. In additon, as of December 31, 2024, the Company processed and shipped ready mixed concrete and asphalt products from 110 propertes in fve states, of which 84 are located on land owned by the Company free of major encumbrances, 22 are on leased land and 4 are on land owned in part and leased in part.</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An overview of the Company’s quarrying and mining operatons is included in </w:t>
      </w:r>
      <w:r>
        <w:rPr>
          <w:rFonts w:ascii="Calibri" w:cs="Calibri" w:eastAsia="Calibri" w:hAnsi="Calibri"/>
          <w:sz w:val="18"/>
          <w:szCs w:val="18"/>
          <w:u w:val="single" w:color="auto"/>
          <w:color w:val="007DC6"/>
        </w:rPr>
        <w:t>Business—Building Materials Business</w:t>
      </w:r>
      <w:r>
        <w:rPr>
          <w:rFonts w:ascii="Calibri" w:cs="Calibri" w:eastAsia="Calibri" w:hAnsi="Calibri"/>
          <w:sz w:val="18"/>
          <w:szCs w:val="18"/>
          <w:color w:val="auto"/>
        </w:rPr>
        <w:t xml:space="preserve"> and </w:t>
      </w:r>
      <w:r>
        <w:rPr>
          <w:rFonts w:ascii="Calibri" w:cs="Calibri" w:eastAsia="Calibri" w:hAnsi="Calibri"/>
          <w:sz w:val="18"/>
          <w:szCs w:val="18"/>
          <w:u w:val="single" w:color="auto"/>
          <w:color w:val="007DC6"/>
        </w:rPr>
        <w:t>Business—Environmental and</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Governmental Regulatons</w:t>
      </w:r>
      <w:r>
        <w:rPr>
          <w:rFonts w:ascii="Calibri" w:cs="Calibri" w:eastAsia="Calibri" w:hAnsi="Calibri"/>
          <w:sz w:val="18"/>
          <w:szCs w:val="18"/>
          <w:color w:val="007DC6"/>
        </w:rPr>
        <w:t xml:space="preserve"> </w:t>
      </w:r>
      <w:r>
        <w:rPr>
          <w:rFonts w:ascii="Calibri" w:cs="Calibri" w:eastAsia="Calibri" w:hAnsi="Calibri"/>
          <w:sz w:val="18"/>
          <w:szCs w:val="18"/>
          <w:color w:val="000000"/>
        </w:rPr>
        <w:t>included in</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1, Business</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which is incorporated herein by reference. The following map presents the</w:t>
      </w:r>
      <w:r>
        <w:rPr>
          <w:rFonts w:ascii="Calibri" w:cs="Calibri" w:eastAsia="Calibri" w:hAnsi="Calibri"/>
          <w:sz w:val="18"/>
          <w:szCs w:val="18"/>
          <w:color w:val="007DC6"/>
        </w:rPr>
        <w:t xml:space="preserve"> </w:t>
      </w:r>
      <w:r>
        <w:rPr>
          <w:rFonts w:ascii="Calibri" w:cs="Calibri" w:eastAsia="Calibri" w:hAnsi="Calibri"/>
          <w:sz w:val="18"/>
          <w:szCs w:val="18"/>
          <w:color w:val="000000"/>
        </w:rPr>
        <w:t>locatons of these quarries and underground mines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1685" cy="45091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1685" cy="450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Mineral reserves and mineral resources for the Company’s aggregates and cement businesses have been prepared in accordance with the disclosure requirements of subpart 1300 of U.S. Securites and Exchange Commission Regulaton S-K. Mineral resources represent concentratons or occurrences of material of economic interest in or on the Earth's crust in such form, grade or quality, and quantty that there are reasonable prospects for economic extracton. A mineral resource is a</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9" w:name="page30"/>
    <w:bookmarkEnd w:id="29"/>
    <w:p>
      <w:pPr>
        <w:ind w:left="92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reasonable estmate of mineralizaton, taking into account relevant factors such as cut-of grade, likely mining dimensions, locaton or contnuity, that, with the assumed and justfable technical and economic conditons, is likely to, in whole or in part, become economically extractable. A measured mineral resource is that part of the mineral resource for which quantty and grade or quality are estmated on the basis of conclusive geological evidence and sampling in sufcient detail to support detailed extracton planning and fnal evaluaton of the economic viability of the deposit to be quarried or mined. An indicated mineral resource is that part of a mineral resource for which quantty and grade or quality are estmated on the basis of adequate geological evidence and sampling in sufcient detail to support mine planning and evaluaton of the economic viability of the deposit of the material to be quarried or mined. Inferred mineral resources are that part of a mineral resource for which quantty and grade or quality are estmated on the basis of limited geological evidence and sampling.</w:t>
      </w:r>
    </w:p>
    <w:p>
      <w:pPr>
        <w:spacing w:after="0" w:line="14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mineral reserve is an estmate of tonnage and grade or quality of indicated and measured mineral resources that, in the opinion of the qualifed person, can be the basis of an economically viable project. More specifcally, it is the economically mineable part of a measured or indicated mineral resource, which includes dilutng materials and allowances for losses that may occur when the material is mined or extracted. A probable mineral reserve is the economically mineable part of an indicated and, in some cases, a measured mineral resource. A proven mineral reserve is the economically mineable part of a measured mineral resource and can only result from the conversion of a measured mineral resource. The Company estmates proven and probable mineral reserves based on the results of drilling and testng completed by or under the supervision of qualifed persons.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uses various exploratory drilling methods, depending on the type of deposit, to estmate mineral reserves that are economically mineable. The extent of drilling varies depending on the complexity of the mineral deposit and whether the locaton is a potental new site (greensite), an existng locaton or a potental acquisiton. More extensive drilling is performed for potental greensites and acquisitons, and, in certain cases, the Company may rely on existng geological data or results of prior drilling by reputable third partes. Subsequent to drilling, selected drill samples are tested by an accredited laboratory for soundness, abrasion resistance and other physical propertes relevant to the aggregates industry. If the mineral reserves meet the Company’s standards and are economically mineable, they are either leased or purchased. Once in operaton, routne quality control testng is performed to ensure the quality grade of aggregates contnues to meet specifcatons.</w:t>
      </w:r>
    </w:p>
    <w:p>
      <w:pPr>
        <w:spacing w:after="0" w:line="114"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 xml:space="preserve">In determining the amount of reserves, evaluatons are completed by or under the supervision of qualifed Company personnel using industry best practces and internal controls defned by the Company. Reserve estmates represent net tons afer consideraton of applicable losses incurred during mining and plant processing. The Company’s policy is to exclude from reserve estmates the portons of a mineral deposit that are not available due to property boundaries, set-backs and plant confguratons, as deemed appropriate when estmatng reserves. The Company uses the same methods of analysis to evaluate and estmate the amount of its mineral reserves used in the cement manufacturing process for its cement operatons as it does for its aggregates operatons. For additonal informaton on the Company’s assessment of reserves, see </w:t>
      </w:r>
      <w:r>
        <w:rPr>
          <w:rFonts w:ascii="Calibri" w:cs="Calibri" w:eastAsia="Calibri" w:hAnsi="Calibri"/>
          <w:sz w:val="17"/>
          <w:szCs w:val="17"/>
          <w:u w:val="single" w:color="auto"/>
          <w:color w:val="007DC6"/>
        </w:rPr>
        <w:t>Management’s Discussion and Analysis of Financial Conditon and 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-16510</wp:posOffset>
            </wp:positionV>
            <wp:extent cx="3964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64305" cy="8255"/>
                    </a:xfrm>
                    <a:prstGeom prst="rect">
                      <a:avLst/>
                    </a:prstGeom>
                    <a:noFill/>
                  </pic:spPr>
                </pic:pic>
              </a:graphicData>
            </a:graphic>
          </wp:anchor>
        </w:drawing>
      </w:r>
    </w:p>
    <w:p>
      <w:pPr>
        <w:jc w:val="both"/>
        <w:spacing w:after="0" w:line="235" w:lineRule="auto"/>
        <w:rPr>
          <w:sz w:val="20"/>
          <w:szCs w:val="20"/>
          <w:color w:val="auto"/>
        </w:rPr>
      </w:pPr>
      <w:r>
        <w:rPr>
          <w:rFonts w:ascii="Calibri" w:cs="Calibri" w:eastAsia="Calibri" w:hAnsi="Calibri"/>
          <w:sz w:val="18"/>
          <w:szCs w:val="18"/>
          <w:u w:val="single" w:color="auto"/>
          <w:color w:val="007DC6"/>
        </w:rPr>
        <w:t>– Other Financial Informaton - Critcal Accountng Policies and Estmates - Property, Plant and Equipment</w:t>
      </w:r>
      <w:r>
        <w:rPr>
          <w:rFonts w:ascii="Calibri" w:cs="Calibri" w:eastAsia="Calibri" w:hAnsi="Calibri"/>
          <w:sz w:val="18"/>
          <w:szCs w:val="18"/>
          <w:color w:val="007DC6"/>
        </w:rPr>
        <w:t xml:space="preserve"> </w:t>
      </w:r>
      <w:r>
        <w:rPr>
          <w:rFonts w:ascii="Calibri" w:cs="Calibri" w:eastAsia="Calibri" w:hAnsi="Calibri"/>
          <w:sz w:val="18"/>
          <w:szCs w:val="18"/>
          <w:color w:val="000000"/>
        </w:rPr>
        <w:t>included under</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7, Management’s Discussion</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and Analysis of Financial Conditon 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While the mineral reserve and resource classifcaton categories (proven and</w:t>
      </w:r>
      <w:r>
        <w:rPr>
          <w:rFonts w:ascii="Calibri" w:cs="Calibri" w:eastAsia="Calibri" w:hAnsi="Calibri"/>
          <w:sz w:val="18"/>
          <w:szCs w:val="18"/>
          <w:color w:val="007DC6"/>
        </w:rPr>
        <w:t xml:space="preserve"> </w:t>
      </w:r>
      <w:r>
        <w:rPr>
          <w:rFonts w:ascii="Calibri" w:cs="Calibri" w:eastAsia="Calibri" w:hAnsi="Calibri"/>
          <w:sz w:val="18"/>
          <w:szCs w:val="18"/>
          <w:color w:val="000000"/>
        </w:rPr>
        <w:t>probable) identfy relatve confdence of reserve estmates, there is inherent risk associated with such estmates. The Company bases estmates on the informaton known at the tme of determinaton and regularly reevaluates reserves whenever new informaton indicates a material change in reserves at one of the Company’s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297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9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27768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76855" cy="8255"/>
                    </a:xfrm>
                    <a:prstGeom prst="rect">
                      <a:avLst/>
                    </a:prstGeom>
                    <a:noFill/>
                  </pic:spPr>
                </pic:pic>
              </a:graphicData>
            </a:graphic>
          </wp:anchor>
        </w:drawing>
      </w:r>
    </w:p>
    <w:p>
      <w:pPr>
        <w:spacing w:after="0" w:line="9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general, quarry and mining facilites must comply with air quality, water quality, noise regulatons, zoning and special-use permitng requirements, applicable mining regulatons, and federal health and safety requirements. As new quarry and mining sites are located and acquired, the Company works closely with local authorites during the zoning and permitng processes to design new quarries and mines in such a way as to minimize disturbances. The Company frequently acquires large tracts of land so that quarry, mine and producton facilites can be situated substantal distances from surrounding property owners.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Set forth in the tables below are the Company’s estmates as of December 31, 2024 of proven and probable mineral reserves of aggregates (crushed stone and sand and gravel) and measured, indicated and inferred mineral resources of aggregates (exclusive of proven and probable reserves), shown on a geographic division basis. The East Division includes Alabama, Florida, Georgia, Maryland, North Carolina, Pennsylvania, South Carolina, Tennessee, Virginia, Canada and The Bahamas. The Central Division includes Indiana, Iowa, Kansas, Kentucky, Minnesota, Missouri, Nebraska, Ohio, Tennessee and West Virginia. The Southwest Division includes Arkansas, Louisiana, Oklahoma and Texas. The West Division includes Arizona, California, Colorado, Utah, Washington and Wyoming. The reserve estmates shown were determined to be economically mineable using a reasonable and justfable price for salable product based on the average selling price for the year ended December 31, 2023</w:t>
      </w:r>
    </w:p>
    <w:p>
      <w:pPr>
        <w:spacing w:after="0" w:line="13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0" w:name="page31"/>
    <w:bookmarkEnd w:id="30"/>
    <w:p>
      <w:pPr>
        <w:ind w:left="92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173" w:lineRule="exact"/>
        <w:rPr>
          <w:sz w:val="20"/>
          <w:szCs w:val="20"/>
          <w:color w:val="auto"/>
        </w:rPr>
      </w:pPr>
    </w:p>
    <w:p>
      <w:pPr>
        <w:jc w:val="both"/>
        <w:ind w:firstLine="45"/>
        <w:spacing w:after="0" w:line="258" w:lineRule="auto"/>
        <w:rPr>
          <w:sz w:val="20"/>
          <w:szCs w:val="20"/>
          <w:color w:val="auto"/>
        </w:rPr>
      </w:pPr>
      <w:r>
        <w:rPr>
          <w:rFonts w:ascii="Calibri" w:cs="Calibri" w:eastAsia="Calibri" w:hAnsi="Calibri"/>
          <w:sz w:val="17"/>
          <w:szCs w:val="17"/>
          <w:color w:val="auto"/>
        </w:rPr>
        <w:t>with respect to each division for each product category of aggregates resources. The Company’s estmate of resources and reserves of aggregates shown in the tables below includes resources and reserves that would be devoted for use in the Company’s cement product line and Magnesia Specialtes business.</w:t>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FFFFFF"/>
        </w:rPr>
        <w:t>Summary Mineral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3346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jc w:val="center"/>
        <w:spacing w:after="0" w:line="202" w:lineRule="auto"/>
        <w:rPr>
          <w:sz w:val="20"/>
          <w:szCs w:val="20"/>
          <w:color w:val="auto"/>
        </w:rPr>
      </w:pPr>
      <w:r>
        <w:rPr>
          <w:rFonts w:ascii="Calibri" w:cs="Calibri" w:eastAsia="Calibri" w:hAnsi="Calibri"/>
          <w:sz w:val="14"/>
          <w:szCs w:val="14"/>
          <w:b w:val="1"/>
          <w:bCs w:val="1"/>
          <w:color w:val="FFFFFF"/>
        </w:rPr>
        <w:t>At End of Fiscal Year Ended December 31, 2024</w:t>
      </w:r>
      <w:r>
        <w:rPr>
          <w:rFonts w:ascii="Calibri" w:cs="Calibri" w:eastAsia="Calibri" w:hAnsi="Calibri"/>
          <w:sz w:val="19"/>
          <w:szCs w:val="19"/>
          <w:b w:val="1"/>
          <w:bCs w:val="1"/>
          <w:color w:val="FFFFFF"/>
          <w:vertAlign w:val="superscript"/>
        </w:rPr>
        <w:t>1,2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Borders>
              <w:right w:val="single" w:sz="8" w:color="007CBA"/>
            </w:tcBorders>
            <w:shd w:val="clear" w:color="auto" w:fill="007CBA"/>
          </w:tcPr>
          <w:p>
            <w:pPr>
              <w:spacing w:after="0"/>
              <w:rPr>
                <w:sz w:val="14"/>
                <w:szCs w:val="14"/>
                <w:color w:val="auto"/>
              </w:rPr>
            </w:pPr>
          </w:p>
        </w:tc>
        <w:tc>
          <w:tcPr>
            <w:tcW w:w="2280" w:type="dxa"/>
            <w:vAlign w:val="bottom"/>
            <w:gridSpan w:val="2"/>
          </w:tcPr>
          <w:p>
            <w:pPr>
              <w:ind w:left="260"/>
              <w:spacing w:after="0"/>
              <w:rPr>
                <w:sz w:val="20"/>
                <w:szCs w:val="20"/>
                <w:color w:val="auto"/>
              </w:rPr>
            </w:pPr>
            <w:r>
              <w:rPr>
                <w:rFonts w:ascii="Calibri" w:cs="Calibri" w:eastAsia="Calibri" w:hAnsi="Calibri"/>
                <w:sz w:val="14"/>
                <w:szCs w:val="14"/>
                <w:b w:val="1"/>
                <w:bCs w:val="1"/>
                <w:color w:val="FFFFFF"/>
              </w:rPr>
              <w:t>Measured Mineral Resources</w:t>
            </w:r>
          </w:p>
        </w:tc>
        <w:tc>
          <w:tcPr>
            <w:tcW w:w="2440" w:type="dxa"/>
            <w:vAlign w:val="bottom"/>
            <w:gridSpan w:val="2"/>
          </w:tcPr>
          <w:p>
            <w:pPr>
              <w:ind w:left="360"/>
              <w:spacing w:after="0"/>
              <w:rPr>
                <w:sz w:val="20"/>
                <w:szCs w:val="20"/>
                <w:color w:val="auto"/>
              </w:rPr>
            </w:pPr>
            <w:r>
              <w:rPr>
                <w:rFonts w:ascii="Calibri" w:cs="Calibri" w:eastAsia="Calibri" w:hAnsi="Calibri"/>
                <w:sz w:val="14"/>
                <w:szCs w:val="14"/>
                <w:b w:val="1"/>
                <w:bCs w:val="1"/>
                <w:color w:val="FFFFFF"/>
              </w:rPr>
              <w:t>Indicated Mineral Resources</w:t>
            </w:r>
          </w:p>
        </w:tc>
        <w:tc>
          <w:tcPr>
            <w:tcW w:w="2660" w:type="dxa"/>
            <w:vAlign w:val="bottom"/>
            <w:gridSpan w:val="2"/>
          </w:tcPr>
          <w:p>
            <w:pPr>
              <w:ind w:left="100"/>
              <w:spacing w:after="0"/>
              <w:rPr>
                <w:sz w:val="20"/>
                <w:szCs w:val="20"/>
                <w:color w:val="auto"/>
              </w:rPr>
            </w:pPr>
            <w:r>
              <w:rPr>
                <w:rFonts w:ascii="Calibri" w:cs="Calibri" w:eastAsia="Calibri" w:hAnsi="Calibri"/>
                <w:sz w:val="14"/>
                <w:szCs w:val="14"/>
                <w:b w:val="1"/>
                <w:bCs w:val="1"/>
                <w:color w:val="FFFFFF"/>
              </w:rPr>
              <w:t>Measured + Indicated Mineral Resources</w:t>
            </w:r>
          </w:p>
        </w:tc>
        <w:tc>
          <w:tcPr>
            <w:tcW w:w="2320" w:type="dxa"/>
            <w:vAlign w:val="bottom"/>
            <w:gridSpan w:val="2"/>
          </w:tcPr>
          <w:p>
            <w:pPr>
              <w:ind w:left="340"/>
              <w:spacing w:after="0"/>
              <w:rPr>
                <w:sz w:val="20"/>
                <w:szCs w:val="20"/>
                <w:color w:val="auto"/>
              </w:rPr>
            </w:pPr>
            <w:r>
              <w:rPr>
                <w:rFonts w:ascii="Calibri" w:cs="Calibri" w:eastAsia="Calibri" w:hAnsi="Calibri"/>
                <w:sz w:val="14"/>
                <w:szCs w:val="14"/>
                <w:b w:val="1"/>
                <w:bCs w:val="1"/>
                <w:color w:val="FFFFFF"/>
              </w:rPr>
              <w:t>Inferred Mineral Resources</w:t>
            </w:r>
          </w:p>
        </w:tc>
      </w:tr>
      <w:tr>
        <w:trPr>
          <w:trHeight w:val="138"/>
        </w:trPr>
        <w:tc>
          <w:tcPr>
            <w:tcW w:w="154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jc w:val="right"/>
              <w:ind w:right="469"/>
              <w:spacing w:after="0" w:line="138" w:lineRule="exact"/>
              <w:rPr>
                <w:sz w:val="20"/>
                <w:szCs w:val="20"/>
                <w:color w:val="auto"/>
              </w:rPr>
            </w:pPr>
            <w:r>
              <w:rPr>
                <w:rFonts w:ascii="Calibri" w:cs="Calibri" w:eastAsia="Calibri" w:hAnsi="Calibri"/>
                <w:sz w:val="13"/>
                <w:szCs w:val="13"/>
                <w:b w:val="1"/>
                <w:bCs w:val="1"/>
                <w:color w:val="FFFFFF"/>
              </w:rPr>
              <w:t>Tons</w:t>
            </w:r>
          </w:p>
        </w:tc>
        <w:tc>
          <w:tcPr>
            <w:tcW w:w="1080" w:type="dxa"/>
            <w:vAlign w:val="bottom"/>
            <w:tcBorders>
              <w:right w:val="single" w:sz="8" w:color="007CBA"/>
            </w:tcBorders>
            <w:shd w:val="clear" w:color="auto" w:fill="007CBA"/>
          </w:tcPr>
          <w:p>
            <w:pPr>
              <w:spacing w:after="0"/>
              <w:rPr>
                <w:sz w:val="12"/>
                <w:szCs w:val="12"/>
                <w:color w:val="auto"/>
              </w:rPr>
            </w:pPr>
          </w:p>
        </w:tc>
        <w:tc>
          <w:tcPr>
            <w:tcW w:w="1360" w:type="dxa"/>
            <w:vAlign w:val="bottom"/>
            <w:tcBorders>
              <w:right w:val="single" w:sz="8" w:color="007CBA"/>
            </w:tcBorders>
            <w:shd w:val="clear" w:color="auto" w:fill="007CBA"/>
          </w:tcPr>
          <w:p>
            <w:pPr>
              <w:jc w:val="right"/>
              <w:ind w:right="549"/>
              <w:spacing w:after="0" w:line="138" w:lineRule="exact"/>
              <w:rPr>
                <w:sz w:val="20"/>
                <w:szCs w:val="20"/>
                <w:color w:val="auto"/>
              </w:rPr>
            </w:pPr>
            <w:r>
              <w:rPr>
                <w:rFonts w:ascii="Calibri" w:cs="Calibri" w:eastAsia="Calibri" w:hAnsi="Calibri"/>
                <w:sz w:val="13"/>
                <w:szCs w:val="13"/>
                <w:b w:val="1"/>
                <w:bCs w:val="1"/>
                <w:color w:val="FFFFFF"/>
              </w:rPr>
              <w:t>Tons</w:t>
            </w:r>
          </w:p>
        </w:tc>
        <w:tc>
          <w:tcPr>
            <w:tcW w:w="1080" w:type="dxa"/>
            <w:vAlign w:val="bottom"/>
            <w:tcBorders>
              <w:right w:val="single" w:sz="8" w:color="007CBA"/>
            </w:tcBorders>
            <w:shd w:val="clear" w:color="auto" w:fill="007CBA"/>
          </w:tcPr>
          <w:p>
            <w:pPr>
              <w:spacing w:after="0"/>
              <w:rPr>
                <w:sz w:val="12"/>
                <w:szCs w:val="12"/>
                <w:color w:val="auto"/>
              </w:rPr>
            </w:pPr>
          </w:p>
        </w:tc>
        <w:tc>
          <w:tcPr>
            <w:tcW w:w="1520" w:type="dxa"/>
            <w:vAlign w:val="bottom"/>
            <w:tcBorders>
              <w:right w:val="single" w:sz="8" w:color="007CBA"/>
            </w:tcBorders>
            <w:shd w:val="clear" w:color="auto" w:fill="007CBA"/>
          </w:tcPr>
          <w:p>
            <w:pPr>
              <w:jc w:val="right"/>
              <w:ind w:right="629"/>
              <w:spacing w:after="0" w:line="138" w:lineRule="exact"/>
              <w:rPr>
                <w:sz w:val="20"/>
                <w:szCs w:val="20"/>
                <w:color w:val="auto"/>
              </w:rPr>
            </w:pPr>
            <w:r>
              <w:rPr>
                <w:rFonts w:ascii="Calibri" w:cs="Calibri" w:eastAsia="Calibri" w:hAnsi="Calibri"/>
                <w:sz w:val="13"/>
                <w:szCs w:val="13"/>
                <w:b w:val="1"/>
                <w:bCs w:val="1"/>
                <w:color w:val="FFFFFF"/>
              </w:rPr>
              <w:t>Tons</w:t>
            </w:r>
          </w:p>
        </w:tc>
        <w:tc>
          <w:tcPr>
            <w:tcW w:w="114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jc w:val="right"/>
              <w:ind w:right="449"/>
              <w:spacing w:after="0" w:line="138" w:lineRule="exact"/>
              <w:rPr>
                <w:sz w:val="20"/>
                <w:szCs w:val="20"/>
                <w:color w:val="auto"/>
              </w:rPr>
            </w:pPr>
            <w:r>
              <w:rPr>
                <w:rFonts w:ascii="Calibri" w:cs="Calibri" w:eastAsia="Calibri" w:hAnsi="Calibri"/>
                <w:sz w:val="13"/>
                <w:szCs w:val="13"/>
                <w:b w:val="1"/>
                <w:bCs w:val="1"/>
                <w:color w:val="FFFFFF"/>
              </w:rPr>
              <w:t>Tons</w:t>
            </w:r>
          </w:p>
        </w:tc>
        <w:tc>
          <w:tcPr>
            <w:tcW w:w="1180" w:type="dxa"/>
            <w:vAlign w:val="bottom"/>
            <w:tcBorders>
              <w:right w:val="single" w:sz="8" w:color="007CBA"/>
            </w:tcBorders>
            <w:shd w:val="clear" w:color="auto" w:fill="007CBA"/>
          </w:tcPr>
          <w:p>
            <w:pPr>
              <w:spacing w:after="0"/>
              <w:rPr>
                <w:sz w:val="12"/>
                <w:szCs w:val="12"/>
                <w:color w:val="auto"/>
              </w:rPr>
            </w:pPr>
          </w:p>
        </w:tc>
      </w:tr>
      <w:tr>
        <w:trPr>
          <w:trHeight w:val="159"/>
        </w:trPr>
        <w:tc>
          <w:tcPr>
            <w:tcW w:w="1540" w:type="dxa"/>
            <w:vAlign w:val="bottom"/>
            <w:tcBorders>
              <w:right w:val="single" w:sz="8" w:color="007CBA"/>
            </w:tcBorders>
            <w:shd w:val="clear" w:color="auto" w:fill="007CBA"/>
          </w:tcPr>
          <w:p>
            <w:pPr>
              <w:spacing w:after="0"/>
              <w:rPr>
                <w:sz w:val="13"/>
                <w:szCs w:val="13"/>
                <w:color w:val="auto"/>
              </w:rPr>
            </w:pPr>
          </w:p>
        </w:tc>
        <w:tc>
          <w:tcPr>
            <w:tcW w:w="1200" w:type="dxa"/>
            <w:vAlign w:val="bottom"/>
            <w:tcBorders>
              <w:right w:val="single" w:sz="8" w:color="007CBA"/>
            </w:tcBorders>
            <w:shd w:val="clear" w:color="auto" w:fill="007CBA"/>
          </w:tcPr>
          <w:p>
            <w:pPr>
              <w:jc w:val="right"/>
              <w:ind w:right="22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080" w:type="dxa"/>
            <w:vAlign w:val="bottom"/>
            <w:tcBorders>
              <w:right w:val="single" w:sz="8" w:color="007CBA"/>
            </w:tcBorders>
            <w:shd w:val="clear" w:color="auto" w:fill="007CBA"/>
          </w:tcPr>
          <w:p>
            <w:pPr>
              <w:ind w:left="8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360" w:type="dxa"/>
            <w:vAlign w:val="bottom"/>
            <w:tcBorders>
              <w:right w:val="single" w:sz="8" w:color="007CBA"/>
            </w:tcBorders>
            <w:shd w:val="clear" w:color="auto" w:fill="007CBA"/>
          </w:tcPr>
          <w:p>
            <w:pPr>
              <w:jc w:val="right"/>
              <w:ind w:right="30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080" w:type="dxa"/>
            <w:vAlign w:val="bottom"/>
            <w:tcBorders>
              <w:right w:val="single" w:sz="8" w:color="007CBA"/>
            </w:tcBorders>
            <w:shd w:val="clear" w:color="auto" w:fill="007CBA"/>
          </w:tcPr>
          <w:p>
            <w:pPr>
              <w:ind w:left="8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520" w:type="dxa"/>
            <w:vAlign w:val="bottom"/>
            <w:tcBorders>
              <w:right w:val="single" w:sz="8" w:color="007CBA"/>
            </w:tcBorders>
            <w:shd w:val="clear" w:color="auto" w:fill="007CBA"/>
          </w:tcPr>
          <w:p>
            <w:pPr>
              <w:jc w:val="right"/>
              <w:ind w:right="38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140" w:type="dxa"/>
            <w:vAlign w:val="bottom"/>
            <w:tcBorders>
              <w:right w:val="single" w:sz="8" w:color="007CBA"/>
            </w:tcBorders>
            <w:shd w:val="clear" w:color="auto" w:fill="007CBA"/>
          </w:tcPr>
          <w:p>
            <w:pPr>
              <w:ind w:left="10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140" w:type="dxa"/>
            <w:vAlign w:val="bottom"/>
            <w:tcBorders>
              <w:right w:val="single" w:sz="8" w:color="007CBA"/>
            </w:tcBorders>
            <w:shd w:val="clear" w:color="auto" w:fill="007CBA"/>
          </w:tcPr>
          <w:p>
            <w:pPr>
              <w:jc w:val="right"/>
              <w:ind w:right="18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180" w:type="dxa"/>
            <w:vAlign w:val="bottom"/>
            <w:tcBorders>
              <w:right w:val="single" w:sz="8" w:color="007CBA"/>
            </w:tcBorders>
            <w:shd w:val="clear" w:color="auto" w:fill="007CBA"/>
          </w:tcPr>
          <w:p>
            <w:pPr>
              <w:jc w:val="center"/>
              <w:spacing w:after="0" w:line="149" w:lineRule="exact"/>
              <w:rPr>
                <w:sz w:val="20"/>
                <w:szCs w:val="20"/>
                <w:color w:val="auto"/>
              </w:rPr>
            </w:pPr>
            <w:r>
              <w:rPr>
                <w:rFonts w:ascii="Calibri" w:cs="Calibri" w:eastAsia="Calibri" w:hAnsi="Calibri"/>
                <w:sz w:val="13"/>
                <w:szCs w:val="13"/>
                <w:b w:val="1"/>
                <w:bCs w:val="1"/>
                <w:color w:val="FFFFFF"/>
                <w:w w:val="99"/>
              </w:rPr>
              <w:t>Grades/Qualites</w:t>
            </w:r>
          </w:p>
        </w:tc>
      </w:tr>
      <w:tr>
        <w:trPr>
          <w:trHeight w:val="173"/>
        </w:trPr>
        <w:tc>
          <w:tcPr>
            <w:tcW w:w="15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b w:val="1"/>
                <w:bCs w:val="1"/>
                <w:color w:val="auto"/>
              </w:rPr>
              <w:t>Crushed Stone</w:t>
            </w:r>
          </w:p>
        </w:tc>
        <w:tc>
          <w:tcPr>
            <w:tcW w:w="1200" w:type="dxa"/>
            <w:vAlign w:val="bottom"/>
            <w:tcBorders>
              <w:right w:val="single" w:sz="8" w:color="007CBA"/>
            </w:tcBorders>
          </w:tcPr>
          <w:p>
            <w:pPr>
              <w:spacing w:after="0"/>
              <w:rPr>
                <w:sz w:val="15"/>
                <w:szCs w:val="15"/>
                <w:color w:val="auto"/>
              </w:rPr>
            </w:pPr>
          </w:p>
        </w:tc>
        <w:tc>
          <w:tcPr>
            <w:tcW w:w="1080" w:type="dxa"/>
            <w:vAlign w:val="bottom"/>
            <w:tcBorders>
              <w:right w:val="single" w:sz="8" w:color="007CBA"/>
            </w:tcBorders>
          </w:tcPr>
          <w:p>
            <w:pPr>
              <w:spacing w:after="0"/>
              <w:rPr>
                <w:sz w:val="15"/>
                <w:szCs w:val="15"/>
                <w:color w:val="auto"/>
              </w:rPr>
            </w:pPr>
          </w:p>
        </w:tc>
        <w:tc>
          <w:tcPr>
            <w:tcW w:w="1360" w:type="dxa"/>
            <w:vAlign w:val="bottom"/>
            <w:tcBorders>
              <w:right w:val="single" w:sz="8" w:color="007CBA"/>
            </w:tcBorders>
          </w:tcPr>
          <w:p>
            <w:pPr>
              <w:spacing w:after="0"/>
              <w:rPr>
                <w:sz w:val="15"/>
                <w:szCs w:val="15"/>
                <w:color w:val="auto"/>
              </w:rPr>
            </w:pPr>
          </w:p>
        </w:tc>
        <w:tc>
          <w:tcPr>
            <w:tcW w:w="1080" w:type="dxa"/>
            <w:vAlign w:val="bottom"/>
            <w:tcBorders>
              <w:right w:val="single" w:sz="8" w:color="007CBA"/>
            </w:tcBorders>
          </w:tcPr>
          <w:p>
            <w:pPr>
              <w:spacing w:after="0"/>
              <w:rPr>
                <w:sz w:val="15"/>
                <w:szCs w:val="15"/>
                <w:color w:val="auto"/>
              </w:rPr>
            </w:pPr>
          </w:p>
        </w:tc>
        <w:tc>
          <w:tcPr>
            <w:tcW w:w="1520" w:type="dxa"/>
            <w:vAlign w:val="bottom"/>
            <w:tcBorders>
              <w:right w:val="single" w:sz="8" w:color="007CBA"/>
            </w:tcBorders>
          </w:tcPr>
          <w:p>
            <w:pPr>
              <w:spacing w:after="0"/>
              <w:rPr>
                <w:sz w:val="15"/>
                <w:szCs w:val="15"/>
                <w:color w:val="auto"/>
              </w:rPr>
            </w:pPr>
          </w:p>
        </w:tc>
        <w:tc>
          <w:tcPr>
            <w:tcW w:w="1140" w:type="dxa"/>
            <w:vAlign w:val="bottom"/>
            <w:tcBorders>
              <w:right w:val="single" w:sz="8" w:color="007CBA"/>
            </w:tcBorders>
          </w:tcPr>
          <w:p>
            <w:pPr>
              <w:spacing w:after="0"/>
              <w:rPr>
                <w:sz w:val="15"/>
                <w:szCs w:val="15"/>
                <w:color w:val="auto"/>
              </w:rPr>
            </w:pPr>
          </w:p>
        </w:tc>
        <w:tc>
          <w:tcPr>
            <w:tcW w:w="1140" w:type="dxa"/>
            <w:vAlign w:val="bottom"/>
            <w:tcBorders>
              <w:right w:val="single" w:sz="8" w:color="007CBA"/>
            </w:tcBorders>
          </w:tcPr>
          <w:p>
            <w:pPr>
              <w:spacing w:after="0"/>
              <w:rPr>
                <w:sz w:val="15"/>
                <w:szCs w:val="15"/>
                <w:color w:val="auto"/>
              </w:rPr>
            </w:pPr>
          </w:p>
        </w:tc>
        <w:tc>
          <w:tcPr>
            <w:tcW w:w="1180" w:type="dxa"/>
            <w:vAlign w:val="bottom"/>
          </w:tcPr>
          <w:p>
            <w:pPr>
              <w:spacing w:after="0"/>
              <w:rPr>
                <w:sz w:val="15"/>
                <w:szCs w:val="15"/>
                <w:color w:val="auto"/>
              </w:rPr>
            </w:pPr>
          </w:p>
        </w:tc>
      </w:tr>
      <w:tr>
        <w:trPr>
          <w:trHeight w:val="178"/>
        </w:trPr>
        <w:tc>
          <w:tcPr>
            <w:tcW w:w="1540" w:type="dxa"/>
            <w:vAlign w:val="bottom"/>
            <w:tcBorders>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East Division</w:t>
            </w:r>
          </w:p>
        </w:tc>
        <w:tc>
          <w:tcPr>
            <w:tcW w:w="120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144,299</w:t>
            </w:r>
          </w:p>
        </w:tc>
        <w:tc>
          <w:tcPr>
            <w:tcW w:w="1080" w:type="dxa"/>
            <w:vAlign w:val="bottom"/>
            <w:tcBorders>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Crushed Stone</w:t>
            </w:r>
          </w:p>
        </w:tc>
        <w:tc>
          <w:tcPr>
            <w:tcW w:w="136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442,984</w:t>
            </w:r>
          </w:p>
        </w:tc>
        <w:tc>
          <w:tcPr>
            <w:tcW w:w="1080" w:type="dxa"/>
            <w:vAlign w:val="bottom"/>
            <w:tcBorders>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Crushed Stone</w:t>
            </w:r>
          </w:p>
        </w:tc>
        <w:tc>
          <w:tcPr>
            <w:tcW w:w="152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587,283</w:t>
            </w:r>
          </w:p>
        </w:tc>
        <w:tc>
          <w:tcPr>
            <w:tcW w:w="1140" w:type="dxa"/>
            <w:vAlign w:val="bottom"/>
            <w:tcBorders>
              <w:right w:val="single" w:sz="8" w:color="007CBA"/>
            </w:tcBorders>
            <w:shd w:val="clear" w:color="auto" w:fill="DEEBF7"/>
          </w:tcPr>
          <w:p>
            <w:pPr>
              <w:ind w:left="120"/>
              <w:spacing w:after="0"/>
              <w:rPr>
                <w:sz w:val="20"/>
                <w:szCs w:val="20"/>
                <w:color w:val="auto"/>
              </w:rPr>
            </w:pPr>
            <w:r>
              <w:rPr>
                <w:rFonts w:ascii="Calibri" w:cs="Calibri" w:eastAsia="Calibri" w:hAnsi="Calibri"/>
                <w:sz w:val="14"/>
                <w:szCs w:val="14"/>
                <w:color w:val="auto"/>
              </w:rPr>
              <w:t>Crushed Stone</w:t>
            </w:r>
          </w:p>
        </w:tc>
        <w:tc>
          <w:tcPr>
            <w:tcW w:w="114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695,850</w:t>
            </w:r>
          </w:p>
        </w:tc>
        <w:tc>
          <w:tcPr>
            <w:tcW w:w="1180" w:type="dxa"/>
            <w:vAlign w:val="bottom"/>
            <w:tcBorders>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r>
      <w:tr>
        <w:trPr>
          <w:trHeight w:val="173"/>
        </w:trPr>
        <w:tc>
          <w:tcPr>
            <w:tcW w:w="15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Central Division</w:t>
            </w:r>
          </w:p>
        </w:tc>
        <w:tc>
          <w:tcPr>
            <w:tcW w:w="120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w:t>
            </w:r>
          </w:p>
        </w:tc>
        <w:tc>
          <w:tcPr>
            <w:tcW w:w="1080" w:type="dxa"/>
            <w:vAlign w:val="bottom"/>
            <w:tcBorders>
              <w:right w:val="single" w:sz="8" w:color="007CBA"/>
            </w:tcBorders>
          </w:tcPr>
          <w:p>
            <w:pPr>
              <w:ind w:left="100"/>
              <w:spacing w:after="0"/>
              <w:rPr>
                <w:sz w:val="20"/>
                <w:szCs w:val="20"/>
                <w:color w:val="auto"/>
              </w:rPr>
            </w:pPr>
            <w:r>
              <w:rPr>
                <w:rFonts w:ascii="Calibri" w:cs="Calibri" w:eastAsia="Calibri" w:hAnsi="Calibri"/>
                <w:sz w:val="14"/>
                <w:szCs w:val="14"/>
                <w:color w:val="auto"/>
              </w:rPr>
              <w:t>Crushed Stone</w:t>
            </w:r>
          </w:p>
        </w:tc>
        <w:tc>
          <w:tcPr>
            <w:tcW w:w="136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22,730</w:t>
            </w:r>
          </w:p>
        </w:tc>
        <w:tc>
          <w:tcPr>
            <w:tcW w:w="1080" w:type="dxa"/>
            <w:vAlign w:val="bottom"/>
            <w:tcBorders>
              <w:right w:val="single" w:sz="8" w:color="007CBA"/>
            </w:tcBorders>
          </w:tcPr>
          <w:p>
            <w:pPr>
              <w:ind w:left="100"/>
              <w:spacing w:after="0"/>
              <w:rPr>
                <w:sz w:val="20"/>
                <w:szCs w:val="20"/>
                <w:color w:val="auto"/>
              </w:rPr>
            </w:pPr>
            <w:r>
              <w:rPr>
                <w:rFonts w:ascii="Calibri" w:cs="Calibri" w:eastAsia="Calibri" w:hAnsi="Calibri"/>
                <w:sz w:val="14"/>
                <w:szCs w:val="14"/>
                <w:color w:val="auto"/>
              </w:rPr>
              <w:t>Crushed Stone</w:t>
            </w:r>
          </w:p>
        </w:tc>
        <w:tc>
          <w:tcPr>
            <w:tcW w:w="152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22,730</w:t>
            </w:r>
          </w:p>
        </w:tc>
        <w:tc>
          <w:tcPr>
            <w:tcW w:w="1140" w:type="dxa"/>
            <w:vAlign w:val="bottom"/>
            <w:tcBorders>
              <w:right w:val="single" w:sz="8" w:color="007CBA"/>
            </w:tcBorders>
          </w:tcPr>
          <w:p>
            <w:pPr>
              <w:ind w:left="120"/>
              <w:spacing w:after="0"/>
              <w:rPr>
                <w:sz w:val="20"/>
                <w:szCs w:val="20"/>
                <w:color w:val="auto"/>
              </w:rPr>
            </w:pPr>
            <w:r>
              <w:rPr>
                <w:rFonts w:ascii="Calibri" w:cs="Calibri" w:eastAsia="Calibri" w:hAnsi="Calibri"/>
                <w:sz w:val="14"/>
                <w:szCs w:val="14"/>
                <w:color w:val="auto"/>
              </w:rPr>
              <w:t>Crushed Stone</w:t>
            </w:r>
          </w:p>
        </w:tc>
        <w:tc>
          <w:tcPr>
            <w:tcW w:w="114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w:t>
            </w:r>
          </w:p>
        </w:tc>
        <w:tc>
          <w:tcPr>
            <w:tcW w:w="1180" w:type="dxa"/>
            <w:vAlign w:val="bottom"/>
          </w:tcPr>
          <w:p>
            <w:pPr>
              <w:jc w:val="center"/>
              <w:spacing w:after="0"/>
              <w:rPr>
                <w:sz w:val="20"/>
                <w:szCs w:val="20"/>
                <w:color w:val="auto"/>
              </w:rPr>
            </w:pPr>
            <w:r>
              <w:rPr>
                <w:rFonts w:ascii="Calibri" w:cs="Calibri" w:eastAsia="Calibri" w:hAnsi="Calibri"/>
                <w:sz w:val="14"/>
                <w:szCs w:val="14"/>
                <w:color w:val="auto"/>
              </w:rPr>
              <w:t>Crushed Stone</w:t>
            </w:r>
          </w:p>
        </w:tc>
      </w:tr>
      <w:tr>
        <w:trPr>
          <w:trHeight w:val="178"/>
        </w:trPr>
        <w:tc>
          <w:tcPr>
            <w:tcW w:w="1540" w:type="dxa"/>
            <w:vAlign w:val="bottom"/>
            <w:tcBorders>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Southwest Division</w:t>
            </w:r>
          </w:p>
        </w:tc>
        <w:tc>
          <w:tcPr>
            <w:tcW w:w="120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080" w:type="dxa"/>
            <w:vAlign w:val="bottom"/>
            <w:tcBorders>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Crushed Stone</w:t>
            </w:r>
          </w:p>
        </w:tc>
        <w:tc>
          <w:tcPr>
            <w:tcW w:w="136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080" w:type="dxa"/>
            <w:vAlign w:val="bottom"/>
            <w:tcBorders>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Crushed Stone</w:t>
            </w:r>
          </w:p>
        </w:tc>
        <w:tc>
          <w:tcPr>
            <w:tcW w:w="152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007CBA"/>
            </w:tcBorders>
            <w:shd w:val="clear" w:color="auto" w:fill="DEEBF7"/>
          </w:tcPr>
          <w:p>
            <w:pPr>
              <w:ind w:left="120"/>
              <w:spacing w:after="0"/>
              <w:rPr>
                <w:sz w:val="20"/>
                <w:szCs w:val="20"/>
                <w:color w:val="auto"/>
              </w:rPr>
            </w:pPr>
            <w:r>
              <w:rPr>
                <w:rFonts w:ascii="Calibri" w:cs="Calibri" w:eastAsia="Calibri" w:hAnsi="Calibri"/>
                <w:sz w:val="14"/>
                <w:szCs w:val="14"/>
                <w:color w:val="auto"/>
              </w:rPr>
              <w:t>Crushed Stone</w:t>
            </w:r>
          </w:p>
        </w:tc>
        <w:tc>
          <w:tcPr>
            <w:tcW w:w="114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80" w:type="dxa"/>
            <w:vAlign w:val="bottom"/>
            <w:tcBorders>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r>
      <w:tr>
        <w:trPr>
          <w:trHeight w:val="173"/>
        </w:trPr>
        <w:tc>
          <w:tcPr>
            <w:tcW w:w="154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auto"/>
              </w:rPr>
              <w:t>West Division</w:t>
            </w:r>
          </w:p>
        </w:tc>
        <w:tc>
          <w:tcPr>
            <w:tcW w:w="1200" w:type="dxa"/>
            <w:vAlign w:val="bottom"/>
            <w:tcBorders>
              <w:bottom w:val="single" w:sz="8" w:color="auto"/>
            </w:tcBorders>
          </w:tcPr>
          <w:p>
            <w:pPr>
              <w:jc w:val="right"/>
              <w:ind w:right="69"/>
              <w:spacing w:after="0"/>
              <w:rPr>
                <w:sz w:val="20"/>
                <w:szCs w:val="20"/>
                <w:color w:val="auto"/>
              </w:rPr>
            </w:pPr>
            <w:r>
              <w:rPr>
                <w:rFonts w:ascii="Calibri" w:cs="Calibri" w:eastAsia="Calibri" w:hAnsi="Calibri"/>
                <w:sz w:val="14"/>
                <w:szCs w:val="14"/>
                <w:color w:val="auto"/>
              </w:rPr>
              <w:t>61,320</w:t>
            </w:r>
          </w:p>
        </w:tc>
        <w:tc>
          <w:tcPr>
            <w:tcW w:w="108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color w:val="auto"/>
              </w:rPr>
              <w:t>Crushed Stone</w:t>
            </w:r>
          </w:p>
        </w:tc>
        <w:tc>
          <w:tcPr>
            <w:tcW w:w="1360" w:type="dxa"/>
            <w:vAlign w:val="bottom"/>
            <w:tcBorders>
              <w:bottom w:val="single" w:sz="8" w:color="auto"/>
            </w:tcBorders>
          </w:tcPr>
          <w:p>
            <w:pPr>
              <w:jc w:val="right"/>
              <w:ind w:right="69"/>
              <w:spacing w:after="0"/>
              <w:rPr>
                <w:sz w:val="20"/>
                <w:szCs w:val="20"/>
                <w:color w:val="auto"/>
              </w:rPr>
            </w:pPr>
            <w:r>
              <w:rPr>
                <w:rFonts w:ascii="Calibri" w:cs="Calibri" w:eastAsia="Calibri" w:hAnsi="Calibri"/>
                <w:sz w:val="14"/>
                <w:szCs w:val="14"/>
                <w:color w:val="auto"/>
              </w:rPr>
              <w:t>7,572</w:t>
            </w:r>
          </w:p>
        </w:tc>
        <w:tc>
          <w:tcPr>
            <w:tcW w:w="108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color w:val="auto"/>
              </w:rPr>
              <w:t>Crushed Stone</w:t>
            </w:r>
          </w:p>
        </w:tc>
        <w:tc>
          <w:tcPr>
            <w:tcW w:w="1520" w:type="dxa"/>
            <w:vAlign w:val="bottom"/>
            <w:tcBorders>
              <w:bottom w:val="single" w:sz="8" w:color="auto"/>
            </w:tcBorders>
          </w:tcPr>
          <w:p>
            <w:pPr>
              <w:jc w:val="right"/>
              <w:ind w:right="69"/>
              <w:spacing w:after="0"/>
              <w:rPr>
                <w:sz w:val="20"/>
                <w:szCs w:val="20"/>
                <w:color w:val="auto"/>
              </w:rPr>
            </w:pPr>
            <w:r>
              <w:rPr>
                <w:rFonts w:ascii="Calibri" w:cs="Calibri" w:eastAsia="Calibri" w:hAnsi="Calibri"/>
                <w:sz w:val="14"/>
                <w:szCs w:val="14"/>
                <w:color w:val="auto"/>
              </w:rPr>
              <w:t>68,892</w:t>
            </w:r>
          </w:p>
        </w:tc>
        <w:tc>
          <w:tcPr>
            <w:tcW w:w="1140" w:type="dxa"/>
            <w:vAlign w:val="bottom"/>
            <w:tcBorders>
              <w:bottom w:val="single" w:sz="8" w:color="auto"/>
            </w:tcBorders>
          </w:tcPr>
          <w:p>
            <w:pPr>
              <w:ind w:left="120"/>
              <w:spacing w:after="0"/>
              <w:rPr>
                <w:sz w:val="20"/>
                <w:szCs w:val="20"/>
                <w:color w:val="auto"/>
              </w:rPr>
            </w:pPr>
            <w:r>
              <w:rPr>
                <w:rFonts w:ascii="Calibri" w:cs="Calibri" w:eastAsia="Calibri" w:hAnsi="Calibri"/>
                <w:sz w:val="14"/>
                <w:szCs w:val="14"/>
                <w:color w:val="auto"/>
              </w:rPr>
              <w:t>Crushed Stone</w:t>
            </w:r>
          </w:p>
        </w:tc>
        <w:tc>
          <w:tcPr>
            <w:tcW w:w="1140" w:type="dxa"/>
            <w:vAlign w:val="bottom"/>
            <w:tcBorders>
              <w:bottom w:val="single" w:sz="8" w:color="auto"/>
            </w:tcBorders>
          </w:tcPr>
          <w:p>
            <w:pPr>
              <w:jc w:val="right"/>
              <w:ind w:right="69"/>
              <w:spacing w:after="0"/>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color w:val="auto"/>
              </w:rPr>
              <w:t>Crushed Stone</w:t>
            </w:r>
          </w:p>
        </w:tc>
      </w:tr>
      <w:tr>
        <w:trPr>
          <w:trHeight w:val="169"/>
        </w:trPr>
        <w:tc>
          <w:tcPr>
            <w:tcW w:w="1540" w:type="dxa"/>
            <w:vAlign w:val="bottom"/>
            <w:tcBorders>
              <w:bottom w:val="single" w:sz="8" w:color="auto"/>
              <w:right w:val="single" w:sz="8" w:color="DEEBF7"/>
            </w:tcBorders>
            <w:shd w:val="clear" w:color="auto" w:fill="DEEBF7"/>
          </w:tcPr>
          <w:p>
            <w:pPr>
              <w:ind w:left="20"/>
              <w:spacing w:after="0" w:line="169" w:lineRule="exact"/>
              <w:rPr>
                <w:sz w:val="20"/>
                <w:szCs w:val="20"/>
                <w:color w:val="auto"/>
              </w:rPr>
            </w:pPr>
            <w:r>
              <w:rPr>
                <w:rFonts w:ascii="Calibri" w:cs="Calibri" w:eastAsia="Calibri" w:hAnsi="Calibri"/>
                <w:sz w:val="14"/>
                <w:szCs w:val="14"/>
                <w:color w:val="auto"/>
              </w:rPr>
              <w:t>Total crushed stone</w:t>
            </w:r>
          </w:p>
        </w:tc>
        <w:tc>
          <w:tcPr>
            <w:tcW w:w="1200" w:type="dxa"/>
            <w:vAlign w:val="bottom"/>
            <w:tcBorders>
              <w:bottom w:val="single" w:sz="8" w:color="auto"/>
              <w:right w:val="single" w:sz="8" w:color="DEEBF7"/>
            </w:tcBorders>
            <w:shd w:val="clear" w:color="auto" w:fill="DEEBF7"/>
          </w:tcPr>
          <w:p>
            <w:pPr>
              <w:jc w:val="right"/>
              <w:ind w:right="69"/>
              <w:spacing w:after="0" w:line="169" w:lineRule="exact"/>
              <w:rPr>
                <w:sz w:val="20"/>
                <w:szCs w:val="20"/>
                <w:color w:val="auto"/>
              </w:rPr>
            </w:pPr>
            <w:r>
              <w:rPr>
                <w:rFonts w:ascii="Calibri" w:cs="Calibri" w:eastAsia="Calibri" w:hAnsi="Calibri"/>
                <w:sz w:val="14"/>
                <w:szCs w:val="14"/>
                <w:color w:val="auto"/>
              </w:rPr>
              <w:t>205,619</w:t>
            </w:r>
          </w:p>
        </w:tc>
        <w:tc>
          <w:tcPr>
            <w:tcW w:w="1080" w:type="dxa"/>
            <w:vAlign w:val="bottom"/>
            <w:tcBorders>
              <w:bottom w:val="single" w:sz="8" w:color="auto"/>
              <w:right w:val="single" w:sz="8" w:color="DEEBF7"/>
            </w:tcBorders>
            <w:shd w:val="clear" w:color="auto" w:fill="DEEBF7"/>
          </w:tcPr>
          <w:p>
            <w:pPr>
              <w:spacing w:after="0"/>
              <w:rPr>
                <w:sz w:val="14"/>
                <w:szCs w:val="14"/>
                <w:color w:val="auto"/>
              </w:rPr>
            </w:pPr>
          </w:p>
        </w:tc>
        <w:tc>
          <w:tcPr>
            <w:tcW w:w="1360" w:type="dxa"/>
            <w:vAlign w:val="bottom"/>
            <w:tcBorders>
              <w:bottom w:val="single" w:sz="8" w:color="auto"/>
              <w:right w:val="single" w:sz="8" w:color="DEEBF7"/>
            </w:tcBorders>
            <w:shd w:val="clear" w:color="auto" w:fill="DEEBF7"/>
          </w:tcPr>
          <w:p>
            <w:pPr>
              <w:jc w:val="right"/>
              <w:ind w:right="69"/>
              <w:spacing w:after="0" w:line="169" w:lineRule="exact"/>
              <w:rPr>
                <w:sz w:val="20"/>
                <w:szCs w:val="20"/>
                <w:color w:val="auto"/>
              </w:rPr>
            </w:pPr>
            <w:r>
              <w:rPr>
                <w:rFonts w:ascii="Calibri" w:cs="Calibri" w:eastAsia="Calibri" w:hAnsi="Calibri"/>
                <w:sz w:val="14"/>
                <w:szCs w:val="14"/>
                <w:color w:val="auto"/>
              </w:rPr>
              <w:t>473,286</w:t>
            </w:r>
          </w:p>
        </w:tc>
        <w:tc>
          <w:tcPr>
            <w:tcW w:w="1080" w:type="dxa"/>
            <w:vAlign w:val="bottom"/>
            <w:tcBorders>
              <w:bottom w:val="single" w:sz="8" w:color="auto"/>
              <w:right w:val="single" w:sz="8" w:color="DEEBF7"/>
            </w:tcBorders>
            <w:shd w:val="clear" w:color="auto" w:fill="DEEBF7"/>
          </w:tcPr>
          <w:p>
            <w:pPr>
              <w:spacing w:after="0"/>
              <w:rPr>
                <w:sz w:val="14"/>
                <w:szCs w:val="14"/>
                <w:color w:val="auto"/>
              </w:rPr>
            </w:pPr>
          </w:p>
        </w:tc>
        <w:tc>
          <w:tcPr>
            <w:tcW w:w="1520" w:type="dxa"/>
            <w:vAlign w:val="bottom"/>
            <w:tcBorders>
              <w:bottom w:val="single" w:sz="8" w:color="auto"/>
              <w:right w:val="single" w:sz="8" w:color="DEEBF7"/>
            </w:tcBorders>
            <w:shd w:val="clear" w:color="auto" w:fill="DEEBF7"/>
          </w:tcPr>
          <w:p>
            <w:pPr>
              <w:jc w:val="right"/>
              <w:ind w:right="69"/>
              <w:spacing w:after="0" w:line="169" w:lineRule="exact"/>
              <w:rPr>
                <w:sz w:val="20"/>
                <w:szCs w:val="20"/>
                <w:color w:val="auto"/>
              </w:rPr>
            </w:pPr>
            <w:r>
              <w:rPr>
                <w:rFonts w:ascii="Calibri" w:cs="Calibri" w:eastAsia="Calibri" w:hAnsi="Calibri"/>
                <w:sz w:val="14"/>
                <w:szCs w:val="14"/>
                <w:color w:val="auto"/>
              </w:rPr>
              <w:t>678,905</w:t>
            </w:r>
          </w:p>
        </w:tc>
        <w:tc>
          <w:tcPr>
            <w:tcW w:w="1140" w:type="dxa"/>
            <w:vAlign w:val="bottom"/>
            <w:tcBorders>
              <w:bottom w:val="single" w:sz="8" w:color="auto"/>
              <w:right w:val="single" w:sz="8" w:color="DEEBF7"/>
            </w:tcBorders>
            <w:shd w:val="clear" w:color="auto" w:fill="DEEBF7"/>
          </w:tcPr>
          <w:p>
            <w:pPr>
              <w:spacing w:after="0"/>
              <w:rPr>
                <w:sz w:val="14"/>
                <w:szCs w:val="14"/>
                <w:color w:val="auto"/>
              </w:rPr>
            </w:pPr>
          </w:p>
        </w:tc>
        <w:tc>
          <w:tcPr>
            <w:tcW w:w="1140" w:type="dxa"/>
            <w:vAlign w:val="bottom"/>
            <w:tcBorders>
              <w:bottom w:val="single" w:sz="8" w:color="auto"/>
              <w:right w:val="single" w:sz="8" w:color="DEEBF7"/>
            </w:tcBorders>
            <w:shd w:val="clear" w:color="auto" w:fill="DEEBF7"/>
          </w:tcPr>
          <w:p>
            <w:pPr>
              <w:jc w:val="right"/>
              <w:ind w:right="69"/>
              <w:spacing w:after="0" w:line="169" w:lineRule="exact"/>
              <w:rPr>
                <w:sz w:val="20"/>
                <w:szCs w:val="20"/>
                <w:color w:val="auto"/>
              </w:rPr>
            </w:pPr>
            <w:r>
              <w:rPr>
                <w:rFonts w:ascii="Calibri" w:cs="Calibri" w:eastAsia="Calibri" w:hAnsi="Calibri"/>
                <w:sz w:val="14"/>
                <w:szCs w:val="14"/>
                <w:color w:val="auto"/>
              </w:rPr>
              <w:t>695,850</w:t>
            </w:r>
          </w:p>
        </w:tc>
        <w:tc>
          <w:tcPr>
            <w:tcW w:w="1180" w:type="dxa"/>
            <w:vAlign w:val="bottom"/>
            <w:tcBorders>
              <w:bottom w:val="single" w:sz="8" w:color="auto"/>
              <w:right w:val="single" w:sz="8" w:color="DEEBF7"/>
            </w:tcBorders>
            <w:shd w:val="clear" w:color="auto" w:fill="DEEBF7"/>
          </w:tcPr>
          <w:p>
            <w:pPr>
              <w:spacing w:after="0"/>
              <w:rPr>
                <w:sz w:val="14"/>
                <w:szCs w:val="14"/>
                <w:color w:val="auto"/>
              </w:rPr>
            </w:pPr>
          </w:p>
        </w:tc>
      </w:tr>
      <w:tr>
        <w:trPr>
          <w:trHeight w:val="169"/>
        </w:trPr>
        <w:tc>
          <w:tcPr>
            <w:tcW w:w="1540" w:type="dxa"/>
            <w:vAlign w:val="bottom"/>
            <w:tcBorders>
              <w:right w:val="single" w:sz="8" w:color="007CBA"/>
            </w:tcBorders>
          </w:tcPr>
          <w:p>
            <w:pPr>
              <w:ind w:left="20"/>
              <w:spacing w:after="0" w:line="169" w:lineRule="exact"/>
              <w:rPr>
                <w:sz w:val="20"/>
                <w:szCs w:val="20"/>
                <w:color w:val="auto"/>
              </w:rPr>
            </w:pPr>
            <w:r>
              <w:rPr>
                <w:rFonts w:ascii="Calibri" w:cs="Calibri" w:eastAsia="Calibri" w:hAnsi="Calibri"/>
                <w:sz w:val="14"/>
                <w:szCs w:val="14"/>
                <w:b w:val="1"/>
                <w:bCs w:val="1"/>
                <w:color w:val="auto"/>
              </w:rPr>
              <w:t>Sand &amp; Gravel</w:t>
            </w:r>
          </w:p>
        </w:tc>
        <w:tc>
          <w:tcPr>
            <w:tcW w:w="1200" w:type="dxa"/>
            <w:vAlign w:val="bottom"/>
            <w:tcBorders>
              <w:right w:val="single" w:sz="8" w:color="007CBA"/>
            </w:tcBorders>
          </w:tcPr>
          <w:p>
            <w:pPr>
              <w:spacing w:after="0"/>
              <w:rPr>
                <w:sz w:val="14"/>
                <w:szCs w:val="14"/>
                <w:color w:val="auto"/>
              </w:rPr>
            </w:pPr>
          </w:p>
        </w:tc>
        <w:tc>
          <w:tcPr>
            <w:tcW w:w="1080" w:type="dxa"/>
            <w:vAlign w:val="bottom"/>
            <w:tcBorders>
              <w:right w:val="single" w:sz="8" w:color="007CBA"/>
            </w:tcBorders>
          </w:tcPr>
          <w:p>
            <w:pPr>
              <w:spacing w:after="0"/>
              <w:rPr>
                <w:sz w:val="14"/>
                <w:szCs w:val="14"/>
                <w:color w:val="auto"/>
              </w:rPr>
            </w:pPr>
          </w:p>
        </w:tc>
        <w:tc>
          <w:tcPr>
            <w:tcW w:w="1360" w:type="dxa"/>
            <w:vAlign w:val="bottom"/>
            <w:tcBorders>
              <w:right w:val="single" w:sz="8" w:color="007CBA"/>
            </w:tcBorders>
          </w:tcPr>
          <w:p>
            <w:pPr>
              <w:spacing w:after="0"/>
              <w:rPr>
                <w:sz w:val="14"/>
                <w:szCs w:val="14"/>
                <w:color w:val="auto"/>
              </w:rPr>
            </w:pPr>
          </w:p>
        </w:tc>
        <w:tc>
          <w:tcPr>
            <w:tcW w:w="1080" w:type="dxa"/>
            <w:vAlign w:val="bottom"/>
            <w:tcBorders>
              <w:right w:val="single" w:sz="8" w:color="007CBA"/>
            </w:tcBorders>
          </w:tcPr>
          <w:p>
            <w:pPr>
              <w:spacing w:after="0"/>
              <w:rPr>
                <w:sz w:val="14"/>
                <w:szCs w:val="14"/>
                <w:color w:val="auto"/>
              </w:rPr>
            </w:pPr>
          </w:p>
        </w:tc>
        <w:tc>
          <w:tcPr>
            <w:tcW w:w="1520" w:type="dxa"/>
            <w:vAlign w:val="bottom"/>
            <w:tcBorders>
              <w:right w:val="single" w:sz="8" w:color="007CBA"/>
            </w:tcBorders>
          </w:tcPr>
          <w:p>
            <w:pPr>
              <w:spacing w:after="0"/>
              <w:rPr>
                <w:sz w:val="14"/>
                <w:szCs w:val="14"/>
                <w:color w:val="auto"/>
              </w:rPr>
            </w:pPr>
          </w:p>
        </w:tc>
        <w:tc>
          <w:tcPr>
            <w:tcW w:w="1140" w:type="dxa"/>
            <w:vAlign w:val="bottom"/>
            <w:tcBorders>
              <w:right w:val="single" w:sz="8" w:color="007CBA"/>
            </w:tcBorders>
          </w:tcPr>
          <w:p>
            <w:pPr>
              <w:spacing w:after="0"/>
              <w:rPr>
                <w:sz w:val="14"/>
                <w:szCs w:val="14"/>
                <w:color w:val="auto"/>
              </w:rPr>
            </w:pPr>
          </w:p>
        </w:tc>
        <w:tc>
          <w:tcPr>
            <w:tcW w:w="1140" w:type="dxa"/>
            <w:vAlign w:val="bottom"/>
            <w:tcBorders>
              <w:right w:val="single" w:sz="8" w:color="007CBA"/>
            </w:tcBorders>
          </w:tcPr>
          <w:p>
            <w:pPr>
              <w:spacing w:after="0"/>
              <w:rPr>
                <w:sz w:val="14"/>
                <w:szCs w:val="14"/>
                <w:color w:val="auto"/>
              </w:rPr>
            </w:pPr>
          </w:p>
        </w:tc>
        <w:tc>
          <w:tcPr>
            <w:tcW w:w="1180" w:type="dxa"/>
            <w:vAlign w:val="bottom"/>
          </w:tcPr>
          <w:p>
            <w:pPr>
              <w:spacing w:after="0"/>
              <w:rPr>
                <w:sz w:val="14"/>
                <w:szCs w:val="14"/>
                <w:color w:val="auto"/>
              </w:rPr>
            </w:pPr>
          </w:p>
        </w:tc>
      </w:tr>
      <w:tr>
        <w:trPr>
          <w:trHeight w:val="178"/>
        </w:trPr>
        <w:tc>
          <w:tcPr>
            <w:tcW w:w="1540" w:type="dxa"/>
            <w:vAlign w:val="bottom"/>
            <w:tcBorders>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East Division</w:t>
            </w:r>
          </w:p>
        </w:tc>
        <w:tc>
          <w:tcPr>
            <w:tcW w:w="120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080" w:type="dxa"/>
            <w:vAlign w:val="bottom"/>
            <w:tcBorders>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Sand &amp; Gravel</w:t>
            </w:r>
          </w:p>
        </w:tc>
        <w:tc>
          <w:tcPr>
            <w:tcW w:w="136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080" w:type="dxa"/>
            <w:vAlign w:val="bottom"/>
            <w:tcBorders>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Sand &amp; Gravel</w:t>
            </w:r>
          </w:p>
        </w:tc>
        <w:tc>
          <w:tcPr>
            <w:tcW w:w="152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007CBA"/>
            </w:tcBorders>
            <w:shd w:val="clear" w:color="auto" w:fill="DEEBF7"/>
          </w:tcPr>
          <w:p>
            <w:pPr>
              <w:ind w:left="140"/>
              <w:spacing w:after="0"/>
              <w:rPr>
                <w:sz w:val="20"/>
                <w:szCs w:val="20"/>
                <w:color w:val="auto"/>
              </w:rPr>
            </w:pPr>
            <w:r>
              <w:rPr>
                <w:rFonts w:ascii="Calibri" w:cs="Calibri" w:eastAsia="Calibri" w:hAnsi="Calibri"/>
                <w:sz w:val="14"/>
                <w:szCs w:val="14"/>
                <w:color w:val="auto"/>
              </w:rPr>
              <w:t>Sand &amp; Gravel</w:t>
            </w:r>
          </w:p>
        </w:tc>
        <w:tc>
          <w:tcPr>
            <w:tcW w:w="114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11,270</w:t>
            </w:r>
          </w:p>
        </w:tc>
        <w:tc>
          <w:tcPr>
            <w:tcW w:w="1180" w:type="dxa"/>
            <w:vAlign w:val="bottom"/>
            <w:tcBorders>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r>
      <w:tr>
        <w:trPr>
          <w:trHeight w:val="173"/>
        </w:trPr>
        <w:tc>
          <w:tcPr>
            <w:tcW w:w="15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Central Division</w:t>
            </w:r>
          </w:p>
        </w:tc>
        <w:tc>
          <w:tcPr>
            <w:tcW w:w="120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1,102</w:t>
            </w:r>
          </w:p>
        </w:tc>
        <w:tc>
          <w:tcPr>
            <w:tcW w:w="1080" w:type="dxa"/>
            <w:vAlign w:val="bottom"/>
            <w:tcBorders>
              <w:right w:val="single" w:sz="8" w:color="007CBA"/>
            </w:tcBorders>
          </w:tcPr>
          <w:p>
            <w:pPr>
              <w:ind w:left="100"/>
              <w:spacing w:after="0"/>
              <w:rPr>
                <w:sz w:val="20"/>
                <w:szCs w:val="20"/>
                <w:color w:val="auto"/>
              </w:rPr>
            </w:pPr>
            <w:r>
              <w:rPr>
                <w:rFonts w:ascii="Calibri" w:cs="Calibri" w:eastAsia="Calibri" w:hAnsi="Calibri"/>
                <w:sz w:val="14"/>
                <w:szCs w:val="14"/>
                <w:color w:val="auto"/>
              </w:rPr>
              <w:t>Sand &amp; Gravel</w:t>
            </w:r>
          </w:p>
        </w:tc>
        <w:tc>
          <w:tcPr>
            <w:tcW w:w="136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35,390</w:t>
            </w:r>
          </w:p>
        </w:tc>
        <w:tc>
          <w:tcPr>
            <w:tcW w:w="1080" w:type="dxa"/>
            <w:vAlign w:val="bottom"/>
            <w:tcBorders>
              <w:right w:val="single" w:sz="8" w:color="007CBA"/>
            </w:tcBorders>
          </w:tcPr>
          <w:p>
            <w:pPr>
              <w:ind w:left="100"/>
              <w:spacing w:after="0"/>
              <w:rPr>
                <w:sz w:val="20"/>
                <w:szCs w:val="20"/>
                <w:color w:val="auto"/>
              </w:rPr>
            </w:pPr>
            <w:r>
              <w:rPr>
                <w:rFonts w:ascii="Calibri" w:cs="Calibri" w:eastAsia="Calibri" w:hAnsi="Calibri"/>
                <w:sz w:val="14"/>
                <w:szCs w:val="14"/>
                <w:color w:val="auto"/>
              </w:rPr>
              <w:t>Sand &amp; Gravel</w:t>
            </w:r>
          </w:p>
        </w:tc>
        <w:tc>
          <w:tcPr>
            <w:tcW w:w="152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36,492</w:t>
            </w:r>
          </w:p>
        </w:tc>
        <w:tc>
          <w:tcPr>
            <w:tcW w:w="1140" w:type="dxa"/>
            <w:vAlign w:val="bottom"/>
            <w:tcBorders>
              <w:right w:val="single" w:sz="8" w:color="007CBA"/>
            </w:tcBorders>
          </w:tcPr>
          <w:p>
            <w:pPr>
              <w:ind w:left="140"/>
              <w:spacing w:after="0"/>
              <w:rPr>
                <w:sz w:val="20"/>
                <w:szCs w:val="20"/>
                <w:color w:val="auto"/>
              </w:rPr>
            </w:pPr>
            <w:r>
              <w:rPr>
                <w:rFonts w:ascii="Calibri" w:cs="Calibri" w:eastAsia="Calibri" w:hAnsi="Calibri"/>
                <w:sz w:val="14"/>
                <w:szCs w:val="14"/>
                <w:color w:val="auto"/>
              </w:rPr>
              <w:t>Sand &amp; Gravel</w:t>
            </w:r>
          </w:p>
        </w:tc>
        <w:tc>
          <w:tcPr>
            <w:tcW w:w="114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w:t>
            </w:r>
          </w:p>
        </w:tc>
        <w:tc>
          <w:tcPr>
            <w:tcW w:w="118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&amp; Gravel</w:t>
            </w:r>
          </w:p>
        </w:tc>
      </w:tr>
      <w:tr>
        <w:trPr>
          <w:trHeight w:val="178"/>
        </w:trPr>
        <w:tc>
          <w:tcPr>
            <w:tcW w:w="1540" w:type="dxa"/>
            <w:vAlign w:val="bottom"/>
            <w:tcBorders>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Southwest Division</w:t>
            </w:r>
          </w:p>
        </w:tc>
        <w:tc>
          <w:tcPr>
            <w:tcW w:w="120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080" w:type="dxa"/>
            <w:vAlign w:val="bottom"/>
            <w:tcBorders>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Sand &amp; Gravel</w:t>
            </w:r>
          </w:p>
        </w:tc>
        <w:tc>
          <w:tcPr>
            <w:tcW w:w="136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080" w:type="dxa"/>
            <w:vAlign w:val="bottom"/>
            <w:tcBorders>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Sand &amp; Gravel</w:t>
            </w:r>
          </w:p>
        </w:tc>
        <w:tc>
          <w:tcPr>
            <w:tcW w:w="152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007CBA"/>
            </w:tcBorders>
            <w:shd w:val="clear" w:color="auto" w:fill="DEEBF7"/>
          </w:tcPr>
          <w:p>
            <w:pPr>
              <w:ind w:left="140"/>
              <w:spacing w:after="0"/>
              <w:rPr>
                <w:sz w:val="20"/>
                <w:szCs w:val="20"/>
                <w:color w:val="auto"/>
              </w:rPr>
            </w:pPr>
            <w:r>
              <w:rPr>
                <w:rFonts w:ascii="Calibri" w:cs="Calibri" w:eastAsia="Calibri" w:hAnsi="Calibri"/>
                <w:sz w:val="14"/>
                <w:szCs w:val="14"/>
                <w:color w:val="auto"/>
              </w:rPr>
              <w:t>Sand &amp; Gravel</w:t>
            </w:r>
          </w:p>
        </w:tc>
        <w:tc>
          <w:tcPr>
            <w:tcW w:w="114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80" w:type="dxa"/>
            <w:vAlign w:val="bottom"/>
            <w:tcBorders>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r>
      <w:tr>
        <w:trPr>
          <w:trHeight w:val="173"/>
        </w:trPr>
        <w:tc>
          <w:tcPr>
            <w:tcW w:w="154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auto"/>
              </w:rPr>
              <w:t>West Division</w:t>
            </w:r>
          </w:p>
        </w:tc>
        <w:tc>
          <w:tcPr>
            <w:tcW w:w="1200" w:type="dxa"/>
            <w:vAlign w:val="bottom"/>
            <w:tcBorders>
              <w:bottom w:val="single" w:sz="8" w:color="auto"/>
            </w:tcBorders>
          </w:tcPr>
          <w:p>
            <w:pPr>
              <w:jc w:val="right"/>
              <w:ind w:right="69"/>
              <w:spacing w:after="0"/>
              <w:rPr>
                <w:sz w:val="20"/>
                <w:szCs w:val="20"/>
                <w:color w:val="auto"/>
              </w:rPr>
            </w:pPr>
            <w:r>
              <w:rPr>
                <w:rFonts w:ascii="Calibri" w:cs="Calibri" w:eastAsia="Calibri" w:hAnsi="Calibri"/>
                <w:sz w:val="14"/>
                <w:szCs w:val="14"/>
                <w:color w:val="auto"/>
              </w:rPr>
              <w:t>68,839</w:t>
            </w:r>
          </w:p>
        </w:tc>
        <w:tc>
          <w:tcPr>
            <w:tcW w:w="108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color w:val="auto"/>
              </w:rPr>
              <w:t>Sand &amp; Gravel</w:t>
            </w:r>
          </w:p>
        </w:tc>
        <w:tc>
          <w:tcPr>
            <w:tcW w:w="1360" w:type="dxa"/>
            <w:vAlign w:val="bottom"/>
            <w:tcBorders>
              <w:bottom w:val="single" w:sz="8" w:color="auto"/>
            </w:tcBorders>
          </w:tcPr>
          <w:p>
            <w:pPr>
              <w:jc w:val="right"/>
              <w:ind w:right="69"/>
              <w:spacing w:after="0"/>
              <w:rPr>
                <w:sz w:val="20"/>
                <w:szCs w:val="20"/>
                <w:color w:val="auto"/>
              </w:rPr>
            </w:pPr>
            <w:r>
              <w:rPr>
                <w:rFonts w:ascii="Calibri" w:cs="Calibri" w:eastAsia="Calibri" w:hAnsi="Calibri"/>
                <w:sz w:val="14"/>
                <w:szCs w:val="14"/>
                <w:color w:val="auto"/>
              </w:rPr>
              <w:t>125,091</w:t>
            </w:r>
          </w:p>
        </w:tc>
        <w:tc>
          <w:tcPr>
            <w:tcW w:w="1080" w:type="dxa"/>
            <w:vAlign w:val="bottom"/>
            <w:tcBorders>
              <w:bottom w:val="single" w:sz="8" w:color="auto"/>
            </w:tcBorders>
          </w:tcPr>
          <w:p>
            <w:pPr>
              <w:ind w:left="100"/>
              <w:spacing w:after="0"/>
              <w:rPr>
                <w:sz w:val="20"/>
                <w:szCs w:val="20"/>
                <w:color w:val="auto"/>
              </w:rPr>
            </w:pPr>
            <w:r>
              <w:rPr>
                <w:rFonts w:ascii="Calibri" w:cs="Calibri" w:eastAsia="Calibri" w:hAnsi="Calibri"/>
                <w:sz w:val="14"/>
                <w:szCs w:val="14"/>
                <w:color w:val="auto"/>
              </w:rPr>
              <w:t>Sand &amp; Gravel</w:t>
            </w:r>
          </w:p>
        </w:tc>
        <w:tc>
          <w:tcPr>
            <w:tcW w:w="1520" w:type="dxa"/>
            <w:vAlign w:val="bottom"/>
            <w:tcBorders>
              <w:bottom w:val="single" w:sz="8" w:color="auto"/>
            </w:tcBorders>
          </w:tcPr>
          <w:p>
            <w:pPr>
              <w:jc w:val="right"/>
              <w:ind w:right="69"/>
              <w:spacing w:after="0"/>
              <w:rPr>
                <w:sz w:val="20"/>
                <w:szCs w:val="20"/>
                <w:color w:val="auto"/>
              </w:rPr>
            </w:pPr>
            <w:r>
              <w:rPr>
                <w:rFonts w:ascii="Calibri" w:cs="Calibri" w:eastAsia="Calibri" w:hAnsi="Calibri"/>
                <w:sz w:val="14"/>
                <w:szCs w:val="14"/>
                <w:color w:val="auto"/>
              </w:rPr>
              <w:t>193,930</w:t>
            </w:r>
          </w:p>
        </w:tc>
        <w:tc>
          <w:tcPr>
            <w:tcW w:w="1140" w:type="dxa"/>
            <w:vAlign w:val="bottom"/>
            <w:tcBorders>
              <w:bottom w:val="single" w:sz="8" w:color="auto"/>
            </w:tcBorders>
          </w:tcPr>
          <w:p>
            <w:pPr>
              <w:ind w:left="140"/>
              <w:spacing w:after="0"/>
              <w:rPr>
                <w:sz w:val="20"/>
                <w:szCs w:val="20"/>
                <w:color w:val="auto"/>
              </w:rPr>
            </w:pPr>
            <w:r>
              <w:rPr>
                <w:rFonts w:ascii="Calibri" w:cs="Calibri" w:eastAsia="Calibri" w:hAnsi="Calibri"/>
                <w:sz w:val="14"/>
                <w:szCs w:val="14"/>
                <w:color w:val="auto"/>
              </w:rPr>
              <w:t>Sand &amp; Gravel</w:t>
            </w:r>
          </w:p>
        </w:tc>
        <w:tc>
          <w:tcPr>
            <w:tcW w:w="1140" w:type="dxa"/>
            <w:vAlign w:val="bottom"/>
            <w:tcBorders>
              <w:bottom w:val="single" w:sz="8" w:color="auto"/>
            </w:tcBorders>
          </w:tcPr>
          <w:p>
            <w:pPr>
              <w:jc w:val="right"/>
              <w:ind w:right="69"/>
              <w:spacing w:after="0"/>
              <w:rPr>
                <w:sz w:val="20"/>
                <w:szCs w:val="20"/>
                <w:color w:val="auto"/>
              </w:rPr>
            </w:pPr>
            <w:r>
              <w:rPr>
                <w:rFonts w:ascii="Calibri" w:cs="Calibri" w:eastAsia="Calibri" w:hAnsi="Calibri"/>
                <w:sz w:val="14"/>
                <w:szCs w:val="14"/>
                <w:color w:val="auto"/>
              </w:rPr>
              <w:t>—</w:t>
            </w:r>
          </w:p>
        </w:tc>
        <w:tc>
          <w:tcPr>
            <w:tcW w:w="1180" w:type="dxa"/>
            <w:vAlign w:val="bottom"/>
            <w:tcBorders>
              <w:bottom w:val="single" w:sz="8" w:color="181717"/>
            </w:tcBorders>
          </w:tcPr>
          <w:p>
            <w:pPr>
              <w:jc w:val="center"/>
              <w:spacing w:after="0"/>
              <w:rPr>
                <w:sz w:val="20"/>
                <w:szCs w:val="20"/>
                <w:color w:val="auto"/>
              </w:rPr>
            </w:pPr>
            <w:r>
              <w:rPr>
                <w:rFonts w:ascii="Calibri" w:cs="Calibri" w:eastAsia="Calibri" w:hAnsi="Calibri"/>
                <w:sz w:val="14"/>
                <w:szCs w:val="14"/>
                <w:color w:val="auto"/>
              </w:rPr>
              <w:t>Sand &amp; Gravel</w:t>
            </w:r>
          </w:p>
        </w:tc>
      </w:tr>
      <w:tr>
        <w:trPr>
          <w:trHeight w:val="169"/>
        </w:trPr>
        <w:tc>
          <w:tcPr>
            <w:tcW w:w="1540" w:type="dxa"/>
            <w:vAlign w:val="bottom"/>
            <w:tcBorders>
              <w:bottom w:val="single" w:sz="8" w:color="auto"/>
              <w:right w:val="single" w:sz="8" w:color="DEEBF7"/>
            </w:tcBorders>
            <w:shd w:val="clear" w:color="auto" w:fill="DEEBF7"/>
          </w:tcPr>
          <w:p>
            <w:pPr>
              <w:ind w:left="20"/>
              <w:spacing w:after="0" w:line="169" w:lineRule="exact"/>
              <w:rPr>
                <w:sz w:val="20"/>
                <w:szCs w:val="20"/>
                <w:color w:val="auto"/>
              </w:rPr>
            </w:pPr>
            <w:r>
              <w:rPr>
                <w:rFonts w:ascii="Calibri" w:cs="Calibri" w:eastAsia="Calibri" w:hAnsi="Calibri"/>
                <w:sz w:val="14"/>
                <w:szCs w:val="14"/>
                <w:color w:val="auto"/>
              </w:rPr>
              <w:t>Total sand &amp; gravel</w:t>
            </w:r>
          </w:p>
        </w:tc>
        <w:tc>
          <w:tcPr>
            <w:tcW w:w="1200" w:type="dxa"/>
            <w:vAlign w:val="bottom"/>
            <w:tcBorders>
              <w:bottom w:val="single" w:sz="8" w:color="auto"/>
              <w:right w:val="single" w:sz="8" w:color="DEEBF7"/>
            </w:tcBorders>
            <w:shd w:val="clear" w:color="auto" w:fill="DEEBF7"/>
          </w:tcPr>
          <w:p>
            <w:pPr>
              <w:jc w:val="right"/>
              <w:ind w:right="69"/>
              <w:spacing w:after="0" w:line="169" w:lineRule="exact"/>
              <w:rPr>
                <w:sz w:val="20"/>
                <w:szCs w:val="20"/>
                <w:color w:val="auto"/>
              </w:rPr>
            </w:pPr>
            <w:r>
              <w:rPr>
                <w:rFonts w:ascii="Calibri" w:cs="Calibri" w:eastAsia="Calibri" w:hAnsi="Calibri"/>
                <w:sz w:val="14"/>
                <w:szCs w:val="14"/>
                <w:color w:val="auto"/>
              </w:rPr>
              <w:t>69,941</w:t>
            </w:r>
          </w:p>
        </w:tc>
        <w:tc>
          <w:tcPr>
            <w:tcW w:w="1080" w:type="dxa"/>
            <w:vAlign w:val="bottom"/>
            <w:tcBorders>
              <w:bottom w:val="single" w:sz="8" w:color="auto"/>
              <w:right w:val="single" w:sz="8" w:color="DEEBF7"/>
            </w:tcBorders>
            <w:shd w:val="clear" w:color="auto" w:fill="DEEBF7"/>
          </w:tcPr>
          <w:p>
            <w:pPr>
              <w:spacing w:after="0"/>
              <w:rPr>
                <w:sz w:val="14"/>
                <w:szCs w:val="14"/>
                <w:color w:val="auto"/>
              </w:rPr>
            </w:pPr>
          </w:p>
        </w:tc>
        <w:tc>
          <w:tcPr>
            <w:tcW w:w="1360" w:type="dxa"/>
            <w:vAlign w:val="bottom"/>
            <w:tcBorders>
              <w:bottom w:val="single" w:sz="8" w:color="auto"/>
              <w:right w:val="single" w:sz="8" w:color="DEEBF7"/>
            </w:tcBorders>
            <w:shd w:val="clear" w:color="auto" w:fill="DEEBF7"/>
          </w:tcPr>
          <w:p>
            <w:pPr>
              <w:jc w:val="right"/>
              <w:ind w:right="69"/>
              <w:spacing w:after="0" w:line="169" w:lineRule="exact"/>
              <w:rPr>
                <w:sz w:val="20"/>
                <w:szCs w:val="20"/>
                <w:color w:val="auto"/>
              </w:rPr>
            </w:pPr>
            <w:r>
              <w:rPr>
                <w:rFonts w:ascii="Calibri" w:cs="Calibri" w:eastAsia="Calibri" w:hAnsi="Calibri"/>
                <w:sz w:val="14"/>
                <w:szCs w:val="14"/>
                <w:color w:val="auto"/>
              </w:rPr>
              <w:t>160,481</w:t>
            </w:r>
          </w:p>
        </w:tc>
        <w:tc>
          <w:tcPr>
            <w:tcW w:w="1080" w:type="dxa"/>
            <w:vAlign w:val="bottom"/>
            <w:tcBorders>
              <w:bottom w:val="single" w:sz="8" w:color="auto"/>
              <w:right w:val="single" w:sz="8" w:color="DEEBF7"/>
            </w:tcBorders>
            <w:shd w:val="clear" w:color="auto" w:fill="DEEBF7"/>
          </w:tcPr>
          <w:p>
            <w:pPr>
              <w:spacing w:after="0"/>
              <w:rPr>
                <w:sz w:val="14"/>
                <w:szCs w:val="14"/>
                <w:color w:val="auto"/>
              </w:rPr>
            </w:pPr>
          </w:p>
        </w:tc>
        <w:tc>
          <w:tcPr>
            <w:tcW w:w="1520" w:type="dxa"/>
            <w:vAlign w:val="bottom"/>
            <w:tcBorders>
              <w:bottom w:val="single" w:sz="8" w:color="auto"/>
              <w:right w:val="single" w:sz="8" w:color="DEEBF7"/>
            </w:tcBorders>
            <w:shd w:val="clear" w:color="auto" w:fill="DEEBF7"/>
          </w:tcPr>
          <w:p>
            <w:pPr>
              <w:jc w:val="right"/>
              <w:ind w:right="69"/>
              <w:spacing w:after="0" w:line="169" w:lineRule="exact"/>
              <w:rPr>
                <w:sz w:val="20"/>
                <w:szCs w:val="20"/>
                <w:color w:val="auto"/>
              </w:rPr>
            </w:pPr>
            <w:r>
              <w:rPr>
                <w:rFonts w:ascii="Calibri" w:cs="Calibri" w:eastAsia="Calibri" w:hAnsi="Calibri"/>
                <w:sz w:val="14"/>
                <w:szCs w:val="14"/>
                <w:color w:val="auto"/>
              </w:rPr>
              <w:t>230,422</w:t>
            </w:r>
          </w:p>
        </w:tc>
        <w:tc>
          <w:tcPr>
            <w:tcW w:w="1140" w:type="dxa"/>
            <w:vAlign w:val="bottom"/>
            <w:tcBorders>
              <w:bottom w:val="single" w:sz="8" w:color="auto"/>
              <w:right w:val="single" w:sz="8" w:color="DEEBF7"/>
            </w:tcBorders>
            <w:shd w:val="clear" w:color="auto" w:fill="DEEBF7"/>
          </w:tcPr>
          <w:p>
            <w:pPr>
              <w:spacing w:after="0"/>
              <w:rPr>
                <w:sz w:val="14"/>
                <w:szCs w:val="14"/>
                <w:color w:val="auto"/>
              </w:rPr>
            </w:pPr>
          </w:p>
        </w:tc>
        <w:tc>
          <w:tcPr>
            <w:tcW w:w="1140" w:type="dxa"/>
            <w:vAlign w:val="bottom"/>
            <w:tcBorders>
              <w:bottom w:val="single" w:sz="8" w:color="auto"/>
              <w:right w:val="single" w:sz="8" w:color="DEEBF7"/>
            </w:tcBorders>
            <w:shd w:val="clear" w:color="auto" w:fill="DEEBF7"/>
          </w:tcPr>
          <w:p>
            <w:pPr>
              <w:jc w:val="right"/>
              <w:ind w:right="69"/>
              <w:spacing w:after="0" w:line="169" w:lineRule="exact"/>
              <w:rPr>
                <w:sz w:val="20"/>
                <w:szCs w:val="20"/>
                <w:color w:val="auto"/>
              </w:rPr>
            </w:pPr>
            <w:r>
              <w:rPr>
                <w:rFonts w:ascii="Calibri" w:cs="Calibri" w:eastAsia="Calibri" w:hAnsi="Calibri"/>
                <w:sz w:val="14"/>
                <w:szCs w:val="14"/>
                <w:color w:val="auto"/>
              </w:rPr>
              <w:t>11,270</w:t>
            </w:r>
          </w:p>
        </w:tc>
        <w:tc>
          <w:tcPr>
            <w:tcW w:w="1180" w:type="dxa"/>
            <w:vAlign w:val="bottom"/>
            <w:tcBorders>
              <w:bottom w:val="single" w:sz="8" w:color="181717"/>
              <w:right w:val="single" w:sz="8" w:color="DEEBF7"/>
            </w:tcBorders>
            <w:shd w:val="clear" w:color="auto" w:fill="DEEBF7"/>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-937895</wp:posOffset>
            </wp:positionV>
            <wp:extent cx="33655" cy="265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-937895</wp:posOffset>
            </wp:positionV>
            <wp:extent cx="34290" cy="265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-937895</wp:posOffset>
            </wp:positionV>
            <wp:extent cx="34290" cy="265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-937895</wp:posOffset>
            </wp:positionV>
            <wp:extent cx="33655"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-937895</wp:posOffset>
            </wp:positionV>
            <wp:extent cx="33655" cy="265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-937895</wp:posOffset>
            </wp:positionV>
            <wp:extent cx="34290"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-937895</wp:posOffset>
            </wp:positionV>
            <wp:extent cx="33655" cy="265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-937895</wp:posOffset>
            </wp:positionV>
            <wp:extent cx="33655"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-252095</wp:posOffset>
            </wp:positionV>
            <wp:extent cx="33655"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145415"/>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-252095</wp:posOffset>
            </wp:positionV>
            <wp:extent cx="33655" cy="265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-252095</wp:posOffset>
            </wp:positionV>
            <wp:extent cx="34290"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-252095</wp:posOffset>
            </wp:positionV>
            <wp:extent cx="34290"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-252095</wp:posOffset>
            </wp:positionV>
            <wp:extent cx="33655"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-252095</wp:posOffset>
            </wp:positionV>
            <wp:extent cx="33655"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-252095</wp:posOffset>
            </wp:positionV>
            <wp:extent cx="34290" cy="265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-252095</wp:posOffset>
            </wp:positionV>
            <wp:extent cx="33655"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-252095</wp:posOffset>
            </wp:positionV>
            <wp:extent cx="33655" cy="265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26543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FFFFFF"/>
        </w:rPr>
        <w:t>Summary Mineral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3340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jc w:val="center"/>
        <w:spacing w:after="0" w:line="202" w:lineRule="auto"/>
        <w:rPr>
          <w:sz w:val="20"/>
          <w:szCs w:val="20"/>
          <w:color w:val="auto"/>
        </w:rPr>
      </w:pPr>
      <w:r>
        <w:rPr>
          <w:rFonts w:ascii="Calibri" w:cs="Calibri" w:eastAsia="Calibri" w:hAnsi="Calibri"/>
          <w:sz w:val="14"/>
          <w:szCs w:val="14"/>
          <w:b w:val="1"/>
          <w:bCs w:val="1"/>
          <w:color w:val="FFFFFF"/>
        </w:rPr>
        <w:t xml:space="preserve">At End of Fiscal Year Ended December 31, 2024 </w:t>
      </w:r>
      <w:r>
        <w:rPr>
          <w:rFonts w:ascii="Calibri" w:cs="Calibri" w:eastAsia="Calibri" w:hAnsi="Calibri"/>
          <w:sz w:val="19"/>
          <w:szCs w:val="19"/>
          <w:b w:val="1"/>
          <w:bCs w:val="1"/>
          <w:color w:val="FFFFFF"/>
          <w:vertAlign w:val="superscript"/>
        </w:rPr>
        <w:t>1,2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Borders>
              <w:right w:val="single" w:sz="8" w:color="007CBA"/>
            </w:tcBorders>
            <w:shd w:val="clear" w:color="auto" w:fill="007CBA"/>
          </w:tcPr>
          <w:p>
            <w:pPr>
              <w:spacing w:after="0"/>
              <w:rPr>
                <w:sz w:val="14"/>
                <w:szCs w:val="14"/>
                <w:color w:val="auto"/>
              </w:rPr>
            </w:pPr>
          </w:p>
        </w:tc>
        <w:tc>
          <w:tcPr>
            <w:tcW w:w="2860" w:type="dxa"/>
            <w:vAlign w:val="bottom"/>
            <w:gridSpan w:val="2"/>
          </w:tcPr>
          <w:p>
            <w:pPr>
              <w:ind w:left="680"/>
              <w:spacing w:after="0"/>
              <w:rPr>
                <w:sz w:val="20"/>
                <w:szCs w:val="20"/>
                <w:color w:val="auto"/>
              </w:rPr>
            </w:pPr>
            <w:r>
              <w:rPr>
                <w:rFonts w:ascii="Calibri" w:cs="Calibri" w:eastAsia="Calibri" w:hAnsi="Calibri"/>
                <w:sz w:val="14"/>
                <w:szCs w:val="14"/>
                <w:b w:val="1"/>
                <w:bCs w:val="1"/>
                <w:color w:val="FFFFFF"/>
              </w:rPr>
              <w:t>Proven Mineral Reserves</w:t>
            </w:r>
          </w:p>
        </w:tc>
        <w:tc>
          <w:tcPr>
            <w:tcW w:w="3080" w:type="dxa"/>
            <w:vAlign w:val="bottom"/>
            <w:gridSpan w:val="2"/>
          </w:tcPr>
          <w:p>
            <w:pPr>
              <w:ind w:left="720"/>
              <w:spacing w:after="0"/>
              <w:rPr>
                <w:sz w:val="20"/>
                <w:szCs w:val="20"/>
                <w:color w:val="auto"/>
              </w:rPr>
            </w:pPr>
            <w:r>
              <w:rPr>
                <w:rFonts w:ascii="Calibri" w:cs="Calibri" w:eastAsia="Calibri" w:hAnsi="Calibri"/>
                <w:sz w:val="14"/>
                <w:szCs w:val="14"/>
                <w:b w:val="1"/>
                <w:bCs w:val="1"/>
                <w:color w:val="FFFFFF"/>
              </w:rPr>
              <w:t>Probable Mineral Reserves</w:t>
            </w:r>
          </w:p>
        </w:tc>
        <w:tc>
          <w:tcPr>
            <w:tcW w:w="3360" w:type="dxa"/>
            <w:vAlign w:val="bottom"/>
            <w:gridSpan w:val="2"/>
          </w:tcPr>
          <w:p>
            <w:pPr>
              <w:ind w:left="980"/>
              <w:spacing w:after="0"/>
              <w:rPr>
                <w:sz w:val="20"/>
                <w:szCs w:val="20"/>
                <w:color w:val="auto"/>
              </w:rPr>
            </w:pPr>
            <w:r>
              <w:rPr>
                <w:rFonts w:ascii="Calibri" w:cs="Calibri" w:eastAsia="Calibri" w:hAnsi="Calibri"/>
                <w:sz w:val="14"/>
                <w:szCs w:val="14"/>
                <w:b w:val="1"/>
                <w:bCs w:val="1"/>
                <w:color w:val="FFFFFF"/>
              </w:rPr>
              <w:t>Total Mineral Reserves</w:t>
            </w:r>
          </w:p>
        </w:tc>
      </w:tr>
      <w:tr>
        <w:trPr>
          <w:trHeight w:val="138"/>
        </w:trPr>
        <w:tc>
          <w:tcPr>
            <w:tcW w:w="1940" w:type="dxa"/>
            <w:vAlign w:val="bottom"/>
            <w:tcBorders>
              <w:right w:val="single" w:sz="8" w:color="007CBA"/>
            </w:tcBorders>
            <w:shd w:val="clear" w:color="auto" w:fill="007CBA"/>
          </w:tcPr>
          <w:p>
            <w:pPr>
              <w:spacing w:after="0"/>
              <w:rPr>
                <w:sz w:val="12"/>
                <w:szCs w:val="12"/>
                <w:color w:val="auto"/>
              </w:rPr>
            </w:pPr>
          </w:p>
        </w:tc>
        <w:tc>
          <w:tcPr>
            <w:tcW w:w="1480" w:type="dxa"/>
            <w:vAlign w:val="bottom"/>
            <w:tcBorders>
              <w:right w:val="single" w:sz="8" w:color="007CBA"/>
            </w:tcBorders>
            <w:shd w:val="clear" w:color="auto" w:fill="007CBA"/>
          </w:tcPr>
          <w:p>
            <w:pPr>
              <w:jc w:val="right"/>
              <w:ind w:right="609"/>
              <w:spacing w:after="0" w:line="138" w:lineRule="exact"/>
              <w:rPr>
                <w:sz w:val="20"/>
                <w:szCs w:val="20"/>
                <w:color w:val="auto"/>
              </w:rPr>
            </w:pPr>
            <w:r>
              <w:rPr>
                <w:rFonts w:ascii="Calibri" w:cs="Calibri" w:eastAsia="Calibri" w:hAnsi="Calibri"/>
                <w:sz w:val="13"/>
                <w:szCs w:val="13"/>
                <w:b w:val="1"/>
                <w:bCs w:val="1"/>
                <w:color w:val="FFFFFF"/>
              </w:rPr>
              <w:t>Tons</w:t>
            </w:r>
          </w:p>
        </w:tc>
        <w:tc>
          <w:tcPr>
            <w:tcW w:w="1380" w:type="dxa"/>
            <w:vAlign w:val="bottom"/>
            <w:tcBorders>
              <w:right w:val="single" w:sz="8" w:color="007CBA"/>
            </w:tcBorders>
            <w:shd w:val="clear" w:color="auto" w:fill="007CBA"/>
          </w:tcPr>
          <w:p>
            <w:pPr>
              <w:spacing w:after="0"/>
              <w:rPr>
                <w:sz w:val="12"/>
                <w:szCs w:val="12"/>
                <w:color w:val="auto"/>
              </w:rPr>
            </w:pPr>
          </w:p>
        </w:tc>
        <w:tc>
          <w:tcPr>
            <w:tcW w:w="1680" w:type="dxa"/>
            <w:vAlign w:val="bottom"/>
            <w:tcBorders>
              <w:right w:val="single" w:sz="8" w:color="007CBA"/>
            </w:tcBorders>
            <w:shd w:val="clear" w:color="auto" w:fill="007CBA"/>
          </w:tcPr>
          <w:p>
            <w:pPr>
              <w:jc w:val="right"/>
              <w:ind w:right="709"/>
              <w:spacing w:after="0" w:line="138" w:lineRule="exact"/>
              <w:rPr>
                <w:sz w:val="20"/>
                <w:szCs w:val="20"/>
                <w:color w:val="auto"/>
              </w:rPr>
            </w:pPr>
            <w:r>
              <w:rPr>
                <w:rFonts w:ascii="Calibri" w:cs="Calibri" w:eastAsia="Calibri" w:hAnsi="Calibri"/>
                <w:sz w:val="13"/>
                <w:szCs w:val="13"/>
                <w:b w:val="1"/>
                <w:bCs w:val="1"/>
                <w:color w:val="FFFFFF"/>
              </w:rPr>
              <w:t>Tons</w:t>
            </w:r>
          </w:p>
        </w:tc>
        <w:tc>
          <w:tcPr>
            <w:tcW w:w="1400" w:type="dxa"/>
            <w:vAlign w:val="bottom"/>
            <w:tcBorders>
              <w:right w:val="single" w:sz="8" w:color="007CBA"/>
            </w:tcBorders>
            <w:shd w:val="clear" w:color="auto" w:fill="007CBA"/>
          </w:tcPr>
          <w:p>
            <w:pPr>
              <w:spacing w:after="0"/>
              <w:rPr>
                <w:sz w:val="12"/>
                <w:szCs w:val="12"/>
                <w:color w:val="auto"/>
              </w:rPr>
            </w:pPr>
          </w:p>
        </w:tc>
        <w:tc>
          <w:tcPr>
            <w:tcW w:w="1860" w:type="dxa"/>
            <w:vAlign w:val="bottom"/>
            <w:tcBorders>
              <w:right w:val="single" w:sz="8" w:color="007CBA"/>
            </w:tcBorders>
            <w:shd w:val="clear" w:color="auto" w:fill="007CBA"/>
          </w:tcPr>
          <w:p>
            <w:pPr>
              <w:jc w:val="right"/>
              <w:ind w:right="809"/>
              <w:spacing w:after="0" w:line="138" w:lineRule="exact"/>
              <w:rPr>
                <w:sz w:val="20"/>
                <w:szCs w:val="20"/>
                <w:color w:val="auto"/>
              </w:rPr>
            </w:pPr>
            <w:r>
              <w:rPr>
                <w:rFonts w:ascii="Calibri" w:cs="Calibri" w:eastAsia="Calibri" w:hAnsi="Calibri"/>
                <w:sz w:val="13"/>
                <w:szCs w:val="13"/>
                <w:b w:val="1"/>
                <w:bCs w:val="1"/>
                <w:color w:val="FFFFFF"/>
              </w:rPr>
              <w:t>Tons</w:t>
            </w:r>
          </w:p>
        </w:tc>
        <w:tc>
          <w:tcPr>
            <w:tcW w:w="1500" w:type="dxa"/>
            <w:vAlign w:val="bottom"/>
            <w:tcBorders>
              <w:right w:val="single" w:sz="8" w:color="007CBA"/>
            </w:tcBorders>
            <w:shd w:val="clear" w:color="auto" w:fill="007CBA"/>
          </w:tcPr>
          <w:p>
            <w:pPr>
              <w:spacing w:after="0"/>
              <w:rPr>
                <w:sz w:val="12"/>
                <w:szCs w:val="12"/>
                <w:color w:val="auto"/>
              </w:rPr>
            </w:pPr>
          </w:p>
        </w:tc>
      </w:tr>
      <w:tr>
        <w:trPr>
          <w:trHeight w:val="159"/>
        </w:trPr>
        <w:tc>
          <w:tcPr>
            <w:tcW w:w="1940" w:type="dxa"/>
            <w:vAlign w:val="bottom"/>
            <w:tcBorders>
              <w:right w:val="single" w:sz="8" w:color="007CBA"/>
            </w:tcBorders>
            <w:shd w:val="clear" w:color="auto" w:fill="007CBA"/>
          </w:tcPr>
          <w:p>
            <w:pPr>
              <w:spacing w:after="0"/>
              <w:rPr>
                <w:sz w:val="13"/>
                <w:szCs w:val="13"/>
                <w:color w:val="auto"/>
              </w:rPr>
            </w:pPr>
          </w:p>
        </w:tc>
        <w:tc>
          <w:tcPr>
            <w:tcW w:w="1480" w:type="dxa"/>
            <w:vAlign w:val="bottom"/>
            <w:tcBorders>
              <w:right w:val="single" w:sz="8" w:color="007CBA"/>
            </w:tcBorders>
            <w:shd w:val="clear" w:color="auto" w:fill="007CBA"/>
          </w:tcPr>
          <w:p>
            <w:pPr>
              <w:jc w:val="right"/>
              <w:ind w:right="36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380" w:type="dxa"/>
            <w:vAlign w:val="bottom"/>
            <w:tcBorders>
              <w:right w:val="single" w:sz="8" w:color="007CBA"/>
            </w:tcBorders>
            <w:shd w:val="clear" w:color="auto" w:fill="007CBA"/>
          </w:tcPr>
          <w:p>
            <w:pPr>
              <w:ind w:left="24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680" w:type="dxa"/>
            <w:vAlign w:val="bottom"/>
            <w:tcBorders>
              <w:right w:val="single" w:sz="8" w:color="007CBA"/>
            </w:tcBorders>
            <w:shd w:val="clear" w:color="auto" w:fill="007CBA"/>
          </w:tcPr>
          <w:p>
            <w:pPr>
              <w:jc w:val="right"/>
              <w:ind w:right="44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400" w:type="dxa"/>
            <w:vAlign w:val="bottom"/>
            <w:tcBorders>
              <w:right w:val="single" w:sz="8" w:color="007CBA"/>
            </w:tcBorders>
            <w:shd w:val="clear" w:color="auto" w:fill="007CBA"/>
          </w:tcPr>
          <w:p>
            <w:pPr>
              <w:ind w:left="24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860" w:type="dxa"/>
            <w:vAlign w:val="bottom"/>
            <w:tcBorders>
              <w:right w:val="single" w:sz="8" w:color="007CBA"/>
            </w:tcBorders>
            <w:shd w:val="clear" w:color="auto" w:fill="007CBA"/>
          </w:tcPr>
          <w:p>
            <w:pPr>
              <w:jc w:val="right"/>
              <w:ind w:right="54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500" w:type="dxa"/>
            <w:vAlign w:val="bottom"/>
            <w:tcBorders>
              <w:right w:val="single" w:sz="8" w:color="007CBA"/>
            </w:tcBorders>
            <w:shd w:val="clear" w:color="auto" w:fill="007CBA"/>
          </w:tcPr>
          <w:p>
            <w:pPr>
              <w:jc w:val="center"/>
              <w:spacing w:after="0" w:line="149" w:lineRule="exact"/>
              <w:rPr>
                <w:sz w:val="20"/>
                <w:szCs w:val="20"/>
                <w:color w:val="auto"/>
              </w:rPr>
            </w:pPr>
            <w:r>
              <w:rPr>
                <w:rFonts w:ascii="Calibri" w:cs="Calibri" w:eastAsia="Calibri" w:hAnsi="Calibri"/>
                <w:sz w:val="13"/>
                <w:szCs w:val="13"/>
                <w:b w:val="1"/>
                <w:bCs w:val="1"/>
                <w:color w:val="FFFFFF"/>
                <w:w w:val="99"/>
              </w:rPr>
              <w:t>Grades/Qualites</w:t>
            </w:r>
          </w:p>
        </w:tc>
      </w:tr>
      <w:tr>
        <w:trPr>
          <w:trHeight w:val="175"/>
        </w:trPr>
        <w:tc>
          <w:tcPr>
            <w:tcW w:w="1940" w:type="dxa"/>
            <w:vAlign w:val="bottom"/>
            <w:tcBorders>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b w:val="1"/>
                <w:bCs w:val="1"/>
                <w:color w:val="auto"/>
              </w:rPr>
              <w:t>Crushed Stone</w:t>
            </w:r>
          </w:p>
        </w:tc>
        <w:tc>
          <w:tcPr>
            <w:tcW w:w="1480" w:type="dxa"/>
            <w:vAlign w:val="bottom"/>
            <w:tcBorders>
              <w:right w:val="single" w:sz="8" w:color="007CBA"/>
            </w:tcBorders>
            <w:shd w:val="clear" w:color="auto" w:fill="DEEBF7"/>
          </w:tcPr>
          <w:p>
            <w:pPr>
              <w:spacing w:after="0"/>
              <w:rPr>
                <w:sz w:val="15"/>
                <w:szCs w:val="15"/>
                <w:color w:val="auto"/>
              </w:rPr>
            </w:pPr>
          </w:p>
        </w:tc>
        <w:tc>
          <w:tcPr>
            <w:tcW w:w="1380" w:type="dxa"/>
            <w:vAlign w:val="bottom"/>
            <w:tcBorders>
              <w:right w:val="single" w:sz="8" w:color="007CBA"/>
            </w:tcBorders>
            <w:shd w:val="clear" w:color="auto" w:fill="DEEBF7"/>
          </w:tcPr>
          <w:p>
            <w:pPr>
              <w:spacing w:after="0"/>
              <w:rPr>
                <w:sz w:val="15"/>
                <w:szCs w:val="15"/>
                <w:color w:val="auto"/>
              </w:rPr>
            </w:pPr>
          </w:p>
        </w:tc>
        <w:tc>
          <w:tcPr>
            <w:tcW w:w="1680" w:type="dxa"/>
            <w:vAlign w:val="bottom"/>
            <w:tcBorders>
              <w:right w:val="single" w:sz="8" w:color="007CBA"/>
            </w:tcBorders>
            <w:shd w:val="clear" w:color="auto" w:fill="DEEBF7"/>
          </w:tcPr>
          <w:p>
            <w:pPr>
              <w:spacing w:after="0"/>
              <w:rPr>
                <w:sz w:val="15"/>
                <w:szCs w:val="15"/>
                <w:color w:val="auto"/>
              </w:rPr>
            </w:pPr>
          </w:p>
        </w:tc>
        <w:tc>
          <w:tcPr>
            <w:tcW w:w="1400" w:type="dxa"/>
            <w:vAlign w:val="bottom"/>
            <w:tcBorders>
              <w:right w:val="single" w:sz="8" w:color="007CBA"/>
            </w:tcBorders>
            <w:shd w:val="clear" w:color="auto" w:fill="DEEBF7"/>
          </w:tcPr>
          <w:p>
            <w:pPr>
              <w:spacing w:after="0"/>
              <w:rPr>
                <w:sz w:val="15"/>
                <w:szCs w:val="15"/>
                <w:color w:val="auto"/>
              </w:rPr>
            </w:pPr>
          </w:p>
        </w:tc>
        <w:tc>
          <w:tcPr>
            <w:tcW w:w="1860" w:type="dxa"/>
            <w:vAlign w:val="bottom"/>
            <w:tcBorders>
              <w:right w:val="single" w:sz="8" w:color="007CBA"/>
            </w:tcBorders>
            <w:shd w:val="clear" w:color="auto" w:fill="DEEBF7"/>
          </w:tcPr>
          <w:p>
            <w:pPr>
              <w:spacing w:after="0"/>
              <w:rPr>
                <w:sz w:val="15"/>
                <w:szCs w:val="15"/>
                <w:color w:val="auto"/>
              </w:rPr>
            </w:pPr>
          </w:p>
        </w:tc>
        <w:tc>
          <w:tcPr>
            <w:tcW w:w="1500" w:type="dxa"/>
            <w:vAlign w:val="bottom"/>
            <w:tcBorders>
              <w:right w:val="single" w:sz="8" w:color="DEEBF7"/>
            </w:tcBorders>
            <w:shd w:val="clear" w:color="auto" w:fill="DEEBF7"/>
          </w:tcPr>
          <w:p>
            <w:pPr>
              <w:spacing w:after="0"/>
              <w:rPr>
                <w:sz w:val="15"/>
                <w:szCs w:val="15"/>
                <w:color w:val="auto"/>
              </w:rPr>
            </w:pPr>
          </w:p>
        </w:tc>
      </w:tr>
      <w:tr>
        <w:trPr>
          <w:trHeight w:val="173"/>
        </w:trPr>
        <w:tc>
          <w:tcPr>
            <w:tcW w:w="19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East Division</w:t>
            </w:r>
          </w:p>
        </w:tc>
        <w:tc>
          <w:tcPr>
            <w:tcW w:w="14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4,510,536</w:t>
            </w:r>
          </w:p>
        </w:tc>
        <w:tc>
          <w:tcPr>
            <w:tcW w:w="13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Crushed Stone</w:t>
            </w:r>
          </w:p>
        </w:tc>
        <w:tc>
          <w:tcPr>
            <w:tcW w:w="16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4,181,925</w:t>
            </w:r>
          </w:p>
        </w:tc>
        <w:tc>
          <w:tcPr>
            <w:tcW w:w="140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Crushed Stone</w:t>
            </w:r>
          </w:p>
        </w:tc>
        <w:tc>
          <w:tcPr>
            <w:tcW w:w="186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8,692,461</w:t>
            </w:r>
          </w:p>
        </w:tc>
        <w:tc>
          <w:tcPr>
            <w:tcW w:w="1500" w:type="dxa"/>
            <w:vAlign w:val="bottom"/>
          </w:tcPr>
          <w:p>
            <w:pPr>
              <w:jc w:val="center"/>
              <w:spacing w:after="0"/>
              <w:rPr>
                <w:sz w:val="20"/>
                <w:szCs w:val="20"/>
                <w:color w:val="auto"/>
              </w:rPr>
            </w:pPr>
            <w:r>
              <w:rPr>
                <w:rFonts w:ascii="Calibri" w:cs="Calibri" w:eastAsia="Calibri" w:hAnsi="Calibri"/>
                <w:sz w:val="14"/>
                <w:szCs w:val="14"/>
                <w:color w:val="auto"/>
              </w:rPr>
              <w:t>Crushed Stone</w:t>
            </w:r>
          </w:p>
        </w:tc>
      </w:tr>
      <w:tr>
        <w:trPr>
          <w:trHeight w:val="178"/>
        </w:trPr>
        <w:tc>
          <w:tcPr>
            <w:tcW w:w="1940" w:type="dxa"/>
            <w:vAlign w:val="bottom"/>
            <w:tcBorders>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Central Division</w:t>
            </w:r>
          </w:p>
        </w:tc>
        <w:tc>
          <w:tcPr>
            <w:tcW w:w="148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1,546,300</w:t>
            </w:r>
          </w:p>
        </w:tc>
        <w:tc>
          <w:tcPr>
            <w:tcW w:w="1380" w:type="dxa"/>
            <w:vAlign w:val="bottom"/>
            <w:tcBorders>
              <w:right w:val="single" w:sz="8" w:color="007CBA"/>
            </w:tcBorders>
            <w:shd w:val="clear" w:color="auto" w:fill="DEEBF7"/>
          </w:tcPr>
          <w:p>
            <w:pPr>
              <w:ind w:left="260"/>
              <w:spacing w:after="0"/>
              <w:rPr>
                <w:sz w:val="20"/>
                <w:szCs w:val="20"/>
                <w:color w:val="auto"/>
              </w:rPr>
            </w:pPr>
            <w:r>
              <w:rPr>
                <w:rFonts w:ascii="Calibri" w:cs="Calibri" w:eastAsia="Calibri" w:hAnsi="Calibri"/>
                <w:sz w:val="14"/>
                <w:szCs w:val="14"/>
                <w:color w:val="auto"/>
              </w:rPr>
              <w:t>Crushed Stone</w:t>
            </w:r>
          </w:p>
        </w:tc>
        <w:tc>
          <w:tcPr>
            <w:tcW w:w="168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1,219,615</w:t>
            </w:r>
          </w:p>
        </w:tc>
        <w:tc>
          <w:tcPr>
            <w:tcW w:w="1400" w:type="dxa"/>
            <w:vAlign w:val="bottom"/>
            <w:tcBorders>
              <w:right w:val="single" w:sz="8" w:color="007CBA"/>
            </w:tcBorders>
            <w:shd w:val="clear" w:color="auto" w:fill="DEEBF7"/>
          </w:tcPr>
          <w:p>
            <w:pPr>
              <w:ind w:left="260"/>
              <w:spacing w:after="0"/>
              <w:rPr>
                <w:sz w:val="20"/>
                <w:szCs w:val="20"/>
                <w:color w:val="auto"/>
              </w:rPr>
            </w:pPr>
            <w:r>
              <w:rPr>
                <w:rFonts w:ascii="Calibri" w:cs="Calibri" w:eastAsia="Calibri" w:hAnsi="Calibri"/>
                <w:sz w:val="14"/>
                <w:szCs w:val="14"/>
                <w:color w:val="auto"/>
              </w:rPr>
              <w:t>Crushed Stone</w:t>
            </w:r>
          </w:p>
        </w:tc>
        <w:tc>
          <w:tcPr>
            <w:tcW w:w="186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2,765,915</w:t>
            </w:r>
          </w:p>
        </w:tc>
        <w:tc>
          <w:tcPr>
            <w:tcW w:w="1500" w:type="dxa"/>
            <w:vAlign w:val="bottom"/>
            <w:tcBorders>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r>
      <w:tr>
        <w:trPr>
          <w:trHeight w:val="176"/>
        </w:trPr>
        <w:tc>
          <w:tcPr>
            <w:tcW w:w="19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Southwest Division</w:t>
            </w:r>
          </w:p>
        </w:tc>
        <w:tc>
          <w:tcPr>
            <w:tcW w:w="14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1,999,687</w:t>
            </w:r>
          </w:p>
        </w:tc>
        <w:tc>
          <w:tcPr>
            <w:tcW w:w="13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Crushed Stone</w:t>
            </w:r>
          </w:p>
        </w:tc>
        <w:tc>
          <w:tcPr>
            <w:tcW w:w="16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1,506,529</w:t>
            </w:r>
          </w:p>
        </w:tc>
        <w:tc>
          <w:tcPr>
            <w:tcW w:w="140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Crushed Stone</w:t>
            </w:r>
          </w:p>
        </w:tc>
        <w:tc>
          <w:tcPr>
            <w:tcW w:w="186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3,506,216</w:t>
            </w:r>
          </w:p>
        </w:tc>
        <w:tc>
          <w:tcPr>
            <w:tcW w:w="1500" w:type="dxa"/>
            <w:vAlign w:val="bottom"/>
          </w:tcPr>
          <w:p>
            <w:pPr>
              <w:jc w:val="center"/>
              <w:spacing w:after="0"/>
              <w:rPr>
                <w:sz w:val="20"/>
                <w:szCs w:val="20"/>
                <w:color w:val="auto"/>
              </w:rPr>
            </w:pPr>
            <w:r>
              <w:rPr>
                <w:rFonts w:ascii="Calibri" w:cs="Calibri" w:eastAsia="Calibri" w:hAnsi="Calibri"/>
                <w:sz w:val="14"/>
                <w:szCs w:val="14"/>
                <w:color w:val="auto"/>
              </w:rPr>
              <w:t>Crushed Stone</w:t>
            </w:r>
          </w:p>
        </w:tc>
      </w:tr>
      <w:tr>
        <w:trPr>
          <w:trHeight w:val="173"/>
        </w:trPr>
        <w:tc>
          <w:tcPr>
            <w:tcW w:w="1940" w:type="dxa"/>
            <w:vAlign w:val="bottom"/>
            <w:tcBorders>
              <w:bottom w:val="single" w:sz="8" w:color="auto"/>
              <w:right w:val="single" w:sz="8" w:color="DEEBF7"/>
            </w:tcBorders>
            <w:shd w:val="clear" w:color="auto" w:fill="DEEBF7"/>
          </w:tcPr>
          <w:p>
            <w:pPr>
              <w:ind w:left="20"/>
              <w:spacing w:after="0"/>
              <w:rPr>
                <w:sz w:val="20"/>
                <w:szCs w:val="20"/>
                <w:color w:val="auto"/>
              </w:rPr>
            </w:pPr>
            <w:r>
              <w:rPr>
                <w:rFonts w:ascii="Calibri" w:cs="Calibri" w:eastAsia="Calibri" w:hAnsi="Calibri"/>
                <w:sz w:val="14"/>
                <w:szCs w:val="14"/>
                <w:color w:val="auto"/>
              </w:rPr>
              <w:t>West Division</w:t>
            </w:r>
          </w:p>
        </w:tc>
        <w:tc>
          <w:tcPr>
            <w:tcW w:w="1480" w:type="dxa"/>
            <w:vAlign w:val="bottom"/>
            <w:tcBorders>
              <w:bottom w:val="single" w:sz="8" w:color="auto"/>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413,766</w:t>
            </w:r>
          </w:p>
        </w:tc>
        <w:tc>
          <w:tcPr>
            <w:tcW w:w="1380" w:type="dxa"/>
            <w:vAlign w:val="bottom"/>
            <w:tcBorders>
              <w:bottom w:val="single" w:sz="8" w:color="auto"/>
              <w:right w:val="single" w:sz="8" w:color="DEEBF7"/>
            </w:tcBorders>
            <w:shd w:val="clear" w:color="auto" w:fill="DEEBF7"/>
          </w:tcPr>
          <w:p>
            <w:pPr>
              <w:ind w:left="260"/>
              <w:spacing w:after="0"/>
              <w:rPr>
                <w:sz w:val="20"/>
                <w:szCs w:val="20"/>
                <w:color w:val="auto"/>
              </w:rPr>
            </w:pPr>
            <w:r>
              <w:rPr>
                <w:rFonts w:ascii="Calibri" w:cs="Calibri" w:eastAsia="Calibri" w:hAnsi="Calibri"/>
                <w:sz w:val="14"/>
                <w:szCs w:val="14"/>
                <w:color w:val="auto"/>
              </w:rPr>
              <w:t>Crushed Stone</w:t>
            </w:r>
          </w:p>
        </w:tc>
        <w:tc>
          <w:tcPr>
            <w:tcW w:w="1680" w:type="dxa"/>
            <w:vAlign w:val="bottom"/>
            <w:tcBorders>
              <w:bottom w:val="single" w:sz="8" w:color="auto"/>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526,325</w:t>
            </w:r>
          </w:p>
        </w:tc>
        <w:tc>
          <w:tcPr>
            <w:tcW w:w="1400" w:type="dxa"/>
            <w:vAlign w:val="bottom"/>
            <w:tcBorders>
              <w:bottom w:val="single" w:sz="8" w:color="auto"/>
              <w:right w:val="single" w:sz="8" w:color="DEEBF7"/>
            </w:tcBorders>
            <w:shd w:val="clear" w:color="auto" w:fill="DEEBF7"/>
          </w:tcPr>
          <w:p>
            <w:pPr>
              <w:ind w:left="260"/>
              <w:spacing w:after="0"/>
              <w:rPr>
                <w:sz w:val="20"/>
                <w:szCs w:val="20"/>
                <w:color w:val="auto"/>
              </w:rPr>
            </w:pPr>
            <w:r>
              <w:rPr>
                <w:rFonts w:ascii="Calibri" w:cs="Calibri" w:eastAsia="Calibri" w:hAnsi="Calibri"/>
                <w:sz w:val="14"/>
                <w:szCs w:val="14"/>
                <w:color w:val="auto"/>
              </w:rPr>
              <w:t>Crushed Stone</w:t>
            </w:r>
          </w:p>
        </w:tc>
        <w:tc>
          <w:tcPr>
            <w:tcW w:w="1860" w:type="dxa"/>
            <w:vAlign w:val="bottom"/>
            <w:tcBorders>
              <w:bottom w:val="single" w:sz="8" w:color="auto"/>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940,091</w:t>
            </w:r>
          </w:p>
        </w:tc>
        <w:tc>
          <w:tcPr>
            <w:tcW w:w="1500" w:type="dxa"/>
            <w:vAlign w:val="bottom"/>
            <w:tcBorders>
              <w:bottom w:val="single" w:sz="8" w:color="auto"/>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r>
      <w:tr>
        <w:trPr>
          <w:trHeight w:val="169"/>
        </w:trPr>
        <w:tc>
          <w:tcPr>
            <w:tcW w:w="19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crushed stone</w:t>
            </w:r>
          </w:p>
        </w:tc>
        <w:tc>
          <w:tcPr>
            <w:tcW w:w="1480" w:type="dxa"/>
            <w:vAlign w:val="bottom"/>
            <w:tcBorders>
              <w:bottom w:val="single" w:sz="8" w:color="auto"/>
            </w:tcBorders>
          </w:tcPr>
          <w:p>
            <w:pPr>
              <w:jc w:val="right"/>
              <w:ind w:right="69"/>
              <w:spacing w:after="0" w:line="169" w:lineRule="exact"/>
              <w:rPr>
                <w:sz w:val="20"/>
                <w:szCs w:val="20"/>
                <w:color w:val="auto"/>
              </w:rPr>
            </w:pPr>
            <w:r>
              <w:rPr>
                <w:rFonts w:ascii="Calibri" w:cs="Calibri" w:eastAsia="Calibri" w:hAnsi="Calibri"/>
                <w:sz w:val="14"/>
                <w:szCs w:val="14"/>
                <w:color w:val="auto"/>
              </w:rPr>
              <w:t>8,470,289</w:t>
            </w:r>
          </w:p>
        </w:tc>
        <w:tc>
          <w:tcPr>
            <w:tcW w:w="1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9"/>
              <w:spacing w:after="0" w:line="169" w:lineRule="exact"/>
              <w:rPr>
                <w:sz w:val="20"/>
                <w:szCs w:val="20"/>
                <w:color w:val="auto"/>
              </w:rPr>
            </w:pPr>
            <w:r>
              <w:rPr>
                <w:rFonts w:ascii="Calibri" w:cs="Calibri" w:eastAsia="Calibri" w:hAnsi="Calibri"/>
                <w:sz w:val="14"/>
                <w:szCs w:val="14"/>
                <w:color w:val="auto"/>
              </w:rPr>
              <w:t>7,434,394</w:t>
            </w:r>
          </w:p>
        </w:tc>
        <w:tc>
          <w:tcPr>
            <w:tcW w:w="1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69"/>
              <w:spacing w:after="0" w:line="169" w:lineRule="exact"/>
              <w:rPr>
                <w:sz w:val="20"/>
                <w:szCs w:val="20"/>
                <w:color w:val="auto"/>
              </w:rPr>
            </w:pPr>
            <w:r>
              <w:rPr>
                <w:rFonts w:ascii="Calibri" w:cs="Calibri" w:eastAsia="Calibri" w:hAnsi="Calibri"/>
                <w:sz w:val="14"/>
                <w:szCs w:val="14"/>
                <w:color w:val="auto"/>
              </w:rPr>
              <w:t>15,904,683</w:t>
            </w:r>
          </w:p>
        </w:tc>
        <w:tc>
          <w:tcPr>
            <w:tcW w:w="1500" w:type="dxa"/>
            <w:vAlign w:val="bottom"/>
            <w:tcBorders>
              <w:bottom w:val="single" w:sz="8" w:color="auto"/>
            </w:tcBorders>
          </w:tcPr>
          <w:p>
            <w:pPr>
              <w:spacing w:after="0"/>
              <w:rPr>
                <w:sz w:val="14"/>
                <w:szCs w:val="14"/>
                <w:color w:val="auto"/>
              </w:rPr>
            </w:pPr>
          </w:p>
        </w:tc>
      </w:tr>
      <w:tr>
        <w:trPr>
          <w:trHeight w:val="172"/>
        </w:trPr>
        <w:tc>
          <w:tcPr>
            <w:tcW w:w="1940" w:type="dxa"/>
            <w:vAlign w:val="bottom"/>
            <w:tcBorders>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b w:val="1"/>
                <w:bCs w:val="1"/>
                <w:color w:val="auto"/>
              </w:rPr>
              <w:t>Sand &amp; Gravel</w:t>
            </w:r>
          </w:p>
        </w:tc>
        <w:tc>
          <w:tcPr>
            <w:tcW w:w="1480" w:type="dxa"/>
            <w:vAlign w:val="bottom"/>
            <w:tcBorders>
              <w:right w:val="single" w:sz="8" w:color="007CBA"/>
            </w:tcBorders>
            <w:shd w:val="clear" w:color="auto" w:fill="DEEBF7"/>
          </w:tcPr>
          <w:p>
            <w:pPr>
              <w:spacing w:after="0"/>
              <w:rPr>
                <w:sz w:val="14"/>
                <w:szCs w:val="14"/>
                <w:color w:val="auto"/>
              </w:rPr>
            </w:pPr>
          </w:p>
        </w:tc>
        <w:tc>
          <w:tcPr>
            <w:tcW w:w="1380" w:type="dxa"/>
            <w:vAlign w:val="bottom"/>
            <w:tcBorders>
              <w:right w:val="single" w:sz="8" w:color="007CBA"/>
            </w:tcBorders>
            <w:shd w:val="clear" w:color="auto" w:fill="DEEBF7"/>
          </w:tcPr>
          <w:p>
            <w:pPr>
              <w:spacing w:after="0"/>
              <w:rPr>
                <w:sz w:val="14"/>
                <w:szCs w:val="14"/>
                <w:color w:val="auto"/>
              </w:rPr>
            </w:pPr>
          </w:p>
        </w:tc>
        <w:tc>
          <w:tcPr>
            <w:tcW w:w="1680" w:type="dxa"/>
            <w:vAlign w:val="bottom"/>
            <w:tcBorders>
              <w:right w:val="single" w:sz="8" w:color="007CBA"/>
            </w:tcBorders>
            <w:shd w:val="clear" w:color="auto" w:fill="DEEBF7"/>
          </w:tcPr>
          <w:p>
            <w:pPr>
              <w:spacing w:after="0"/>
              <w:rPr>
                <w:sz w:val="14"/>
                <w:szCs w:val="14"/>
                <w:color w:val="auto"/>
              </w:rPr>
            </w:pPr>
          </w:p>
        </w:tc>
        <w:tc>
          <w:tcPr>
            <w:tcW w:w="1400" w:type="dxa"/>
            <w:vAlign w:val="bottom"/>
            <w:tcBorders>
              <w:right w:val="single" w:sz="8" w:color="007CBA"/>
            </w:tcBorders>
            <w:shd w:val="clear" w:color="auto" w:fill="DEEBF7"/>
          </w:tcPr>
          <w:p>
            <w:pPr>
              <w:spacing w:after="0"/>
              <w:rPr>
                <w:sz w:val="14"/>
                <w:szCs w:val="14"/>
                <w:color w:val="auto"/>
              </w:rPr>
            </w:pPr>
          </w:p>
        </w:tc>
        <w:tc>
          <w:tcPr>
            <w:tcW w:w="1860" w:type="dxa"/>
            <w:vAlign w:val="bottom"/>
            <w:tcBorders>
              <w:right w:val="single" w:sz="8" w:color="007CBA"/>
            </w:tcBorders>
            <w:shd w:val="clear" w:color="auto" w:fill="DEEBF7"/>
          </w:tcPr>
          <w:p>
            <w:pPr>
              <w:spacing w:after="0"/>
              <w:rPr>
                <w:sz w:val="14"/>
                <w:szCs w:val="14"/>
                <w:color w:val="auto"/>
              </w:rPr>
            </w:pPr>
          </w:p>
        </w:tc>
        <w:tc>
          <w:tcPr>
            <w:tcW w:w="1500" w:type="dxa"/>
            <w:vAlign w:val="bottom"/>
            <w:tcBorders>
              <w:right w:val="single" w:sz="8" w:color="DEEBF7"/>
            </w:tcBorders>
            <w:shd w:val="clear" w:color="auto" w:fill="DEEBF7"/>
          </w:tcPr>
          <w:p>
            <w:pPr>
              <w:spacing w:after="0"/>
              <w:rPr>
                <w:sz w:val="14"/>
                <w:szCs w:val="14"/>
                <w:color w:val="auto"/>
              </w:rPr>
            </w:pPr>
          </w:p>
        </w:tc>
      </w:tr>
      <w:tr>
        <w:trPr>
          <w:trHeight w:val="173"/>
        </w:trPr>
        <w:tc>
          <w:tcPr>
            <w:tcW w:w="19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East Division</w:t>
            </w:r>
          </w:p>
        </w:tc>
        <w:tc>
          <w:tcPr>
            <w:tcW w:w="14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87,809</w:t>
            </w:r>
          </w:p>
        </w:tc>
        <w:tc>
          <w:tcPr>
            <w:tcW w:w="13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Sand &amp; Gravel</w:t>
            </w:r>
          </w:p>
        </w:tc>
        <w:tc>
          <w:tcPr>
            <w:tcW w:w="16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98,374</w:t>
            </w:r>
          </w:p>
        </w:tc>
        <w:tc>
          <w:tcPr>
            <w:tcW w:w="140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Sand &amp; Gravel</w:t>
            </w:r>
          </w:p>
        </w:tc>
        <w:tc>
          <w:tcPr>
            <w:tcW w:w="186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186,183</w:t>
            </w:r>
          </w:p>
        </w:tc>
        <w:tc>
          <w:tcPr>
            <w:tcW w:w="150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&amp; Gravel</w:t>
            </w:r>
          </w:p>
        </w:tc>
      </w:tr>
      <w:tr>
        <w:trPr>
          <w:trHeight w:val="178"/>
        </w:trPr>
        <w:tc>
          <w:tcPr>
            <w:tcW w:w="1940" w:type="dxa"/>
            <w:vAlign w:val="bottom"/>
            <w:tcBorders>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Central Division</w:t>
            </w:r>
          </w:p>
        </w:tc>
        <w:tc>
          <w:tcPr>
            <w:tcW w:w="148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211,857</w:t>
            </w:r>
          </w:p>
        </w:tc>
        <w:tc>
          <w:tcPr>
            <w:tcW w:w="1380" w:type="dxa"/>
            <w:vAlign w:val="bottom"/>
            <w:tcBorders>
              <w:right w:val="single" w:sz="8" w:color="007CBA"/>
            </w:tcBorders>
            <w:shd w:val="clear" w:color="auto" w:fill="DEEBF7"/>
          </w:tcPr>
          <w:p>
            <w:pPr>
              <w:ind w:left="260"/>
              <w:spacing w:after="0"/>
              <w:rPr>
                <w:sz w:val="20"/>
                <w:szCs w:val="20"/>
                <w:color w:val="auto"/>
              </w:rPr>
            </w:pPr>
            <w:r>
              <w:rPr>
                <w:rFonts w:ascii="Calibri" w:cs="Calibri" w:eastAsia="Calibri" w:hAnsi="Calibri"/>
                <w:sz w:val="14"/>
                <w:szCs w:val="14"/>
                <w:color w:val="auto"/>
              </w:rPr>
              <w:t>Sand &amp; Gravel</w:t>
            </w:r>
          </w:p>
        </w:tc>
        <w:tc>
          <w:tcPr>
            <w:tcW w:w="168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94,472</w:t>
            </w:r>
          </w:p>
        </w:tc>
        <w:tc>
          <w:tcPr>
            <w:tcW w:w="1400" w:type="dxa"/>
            <w:vAlign w:val="bottom"/>
            <w:tcBorders>
              <w:right w:val="single" w:sz="8" w:color="007CBA"/>
            </w:tcBorders>
            <w:shd w:val="clear" w:color="auto" w:fill="DEEBF7"/>
          </w:tcPr>
          <w:p>
            <w:pPr>
              <w:ind w:left="260"/>
              <w:spacing w:after="0"/>
              <w:rPr>
                <w:sz w:val="20"/>
                <w:szCs w:val="20"/>
                <w:color w:val="auto"/>
              </w:rPr>
            </w:pPr>
            <w:r>
              <w:rPr>
                <w:rFonts w:ascii="Calibri" w:cs="Calibri" w:eastAsia="Calibri" w:hAnsi="Calibri"/>
                <w:sz w:val="14"/>
                <w:szCs w:val="14"/>
                <w:color w:val="auto"/>
              </w:rPr>
              <w:t>Sand &amp; Gravel</w:t>
            </w:r>
          </w:p>
        </w:tc>
        <w:tc>
          <w:tcPr>
            <w:tcW w:w="1860" w:type="dxa"/>
            <w:vAlign w:val="bottom"/>
            <w:tcBorders>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306,329</w:t>
            </w:r>
          </w:p>
        </w:tc>
        <w:tc>
          <w:tcPr>
            <w:tcW w:w="1500" w:type="dxa"/>
            <w:vAlign w:val="bottom"/>
            <w:tcBorders>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r>
      <w:tr>
        <w:trPr>
          <w:trHeight w:val="175"/>
        </w:trPr>
        <w:tc>
          <w:tcPr>
            <w:tcW w:w="19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Southwest Division</w:t>
            </w:r>
          </w:p>
        </w:tc>
        <w:tc>
          <w:tcPr>
            <w:tcW w:w="14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52,373</w:t>
            </w:r>
          </w:p>
        </w:tc>
        <w:tc>
          <w:tcPr>
            <w:tcW w:w="13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Sand &amp; Gravel</w:t>
            </w:r>
          </w:p>
        </w:tc>
        <w:tc>
          <w:tcPr>
            <w:tcW w:w="16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146,416</w:t>
            </w:r>
          </w:p>
        </w:tc>
        <w:tc>
          <w:tcPr>
            <w:tcW w:w="140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Sand &amp; Gravel</w:t>
            </w:r>
          </w:p>
        </w:tc>
        <w:tc>
          <w:tcPr>
            <w:tcW w:w="186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198,789</w:t>
            </w:r>
          </w:p>
        </w:tc>
        <w:tc>
          <w:tcPr>
            <w:tcW w:w="150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&amp; Gravel</w:t>
            </w:r>
          </w:p>
        </w:tc>
      </w:tr>
      <w:tr>
        <w:trPr>
          <w:trHeight w:val="173"/>
        </w:trPr>
        <w:tc>
          <w:tcPr>
            <w:tcW w:w="1940" w:type="dxa"/>
            <w:vAlign w:val="bottom"/>
            <w:tcBorders>
              <w:bottom w:val="single" w:sz="8" w:color="auto"/>
              <w:right w:val="single" w:sz="8" w:color="DEEBF7"/>
            </w:tcBorders>
            <w:shd w:val="clear" w:color="auto" w:fill="DEEBF7"/>
          </w:tcPr>
          <w:p>
            <w:pPr>
              <w:ind w:left="20"/>
              <w:spacing w:after="0"/>
              <w:rPr>
                <w:sz w:val="20"/>
                <w:szCs w:val="20"/>
                <w:color w:val="auto"/>
              </w:rPr>
            </w:pPr>
            <w:r>
              <w:rPr>
                <w:rFonts w:ascii="Calibri" w:cs="Calibri" w:eastAsia="Calibri" w:hAnsi="Calibri"/>
                <w:sz w:val="14"/>
                <w:szCs w:val="14"/>
                <w:color w:val="auto"/>
              </w:rPr>
              <w:t>West Division</w:t>
            </w:r>
          </w:p>
        </w:tc>
        <w:tc>
          <w:tcPr>
            <w:tcW w:w="1480" w:type="dxa"/>
            <w:vAlign w:val="bottom"/>
            <w:tcBorders>
              <w:bottom w:val="single" w:sz="8" w:color="auto"/>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227,561</w:t>
            </w:r>
          </w:p>
        </w:tc>
        <w:tc>
          <w:tcPr>
            <w:tcW w:w="1380" w:type="dxa"/>
            <w:vAlign w:val="bottom"/>
            <w:tcBorders>
              <w:bottom w:val="single" w:sz="8" w:color="auto"/>
              <w:right w:val="single" w:sz="8" w:color="DEEBF7"/>
            </w:tcBorders>
            <w:shd w:val="clear" w:color="auto" w:fill="DEEBF7"/>
          </w:tcPr>
          <w:p>
            <w:pPr>
              <w:ind w:left="260"/>
              <w:spacing w:after="0"/>
              <w:rPr>
                <w:sz w:val="20"/>
                <w:szCs w:val="20"/>
                <w:color w:val="auto"/>
              </w:rPr>
            </w:pPr>
            <w:r>
              <w:rPr>
                <w:rFonts w:ascii="Calibri" w:cs="Calibri" w:eastAsia="Calibri" w:hAnsi="Calibri"/>
                <w:sz w:val="14"/>
                <w:szCs w:val="14"/>
                <w:color w:val="auto"/>
              </w:rPr>
              <w:t>Sand &amp; Gravel</w:t>
            </w:r>
          </w:p>
        </w:tc>
        <w:tc>
          <w:tcPr>
            <w:tcW w:w="1680" w:type="dxa"/>
            <w:vAlign w:val="bottom"/>
            <w:tcBorders>
              <w:bottom w:val="single" w:sz="8" w:color="auto"/>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16,522</w:t>
            </w:r>
          </w:p>
        </w:tc>
        <w:tc>
          <w:tcPr>
            <w:tcW w:w="1400" w:type="dxa"/>
            <w:vAlign w:val="bottom"/>
            <w:tcBorders>
              <w:bottom w:val="single" w:sz="8" w:color="auto"/>
              <w:right w:val="single" w:sz="8" w:color="DEEBF7"/>
            </w:tcBorders>
            <w:shd w:val="clear" w:color="auto" w:fill="DEEBF7"/>
          </w:tcPr>
          <w:p>
            <w:pPr>
              <w:ind w:left="260"/>
              <w:spacing w:after="0"/>
              <w:rPr>
                <w:sz w:val="20"/>
                <w:szCs w:val="20"/>
                <w:color w:val="auto"/>
              </w:rPr>
            </w:pPr>
            <w:r>
              <w:rPr>
                <w:rFonts w:ascii="Calibri" w:cs="Calibri" w:eastAsia="Calibri" w:hAnsi="Calibri"/>
                <w:sz w:val="14"/>
                <w:szCs w:val="14"/>
                <w:color w:val="auto"/>
              </w:rPr>
              <w:t>Sand &amp; Gravel</w:t>
            </w:r>
          </w:p>
        </w:tc>
        <w:tc>
          <w:tcPr>
            <w:tcW w:w="1860" w:type="dxa"/>
            <w:vAlign w:val="bottom"/>
            <w:tcBorders>
              <w:bottom w:val="single" w:sz="8" w:color="auto"/>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244,083</w:t>
            </w:r>
          </w:p>
        </w:tc>
        <w:tc>
          <w:tcPr>
            <w:tcW w:w="1500" w:type="dxa"/>
            <w:vAlign w:val="bottom"/>
            <w:tcBorders>
              <w:bottom w:val="single" w:sz="8" w:color="auto"/>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r>
      <w:tr>
        <w:trPr>
          <w:trHeight w:val="169"/>
        </w:trPr>
        <w:tc>
          <w:tcPr>
            <w:tcW w:w="19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sand &amp; gravel</w:t>
            </w:r>
          </w:p>
        </w:tc>
        <w:tc>
          <w:tcPr>
            <w:tcW w:w="1480" w:type="dxa"/>
            <w:vAlign w:val="bottom"/>
            <w:tcBorders>
              <w:bottom w:val="single" w:sz="8" w:color="auto"/>
            </w:tcBorders>
          </w:tcPr>
          <w:p>
            <w:pPr>
              <w:jc w:val="right"/>
              <w:ind w:right="69"/>
              <w:spacing w:after="0" w:line="169" w:lineRule="exact"/>
              <w:rPr>
                <w:sz w:val="20"/>
                <w:szCs w:val="20"/>
                <w:color w:val="auto"/>
              </w:rPr>
            </w:pPr>
            <w:r>
              <w:rPr>
                <w:rFonts w:ascii="Calibri" w:cs="Calibri" w:eastAsia="Calibri" w:hAnsi="Calibri"/>
                <w:sz w:val="14"/>
                <w:szCs w:val="14"/>
                <w:color w:val="auto"/>
              </w:rPr>
              <w:t>579,600</w:t>
            </w:r>
          </w:p>
        </w:tc>
        <w:tc>
          <w:tcPr>
            <w:tcW w:w="1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9"/>
              <w:spacing w:after="0" w:line="169" w:lineRule="exact"/>
              <w:rPr>
                <w:sz w:val="20"/>
                <w:szCs w:val="20"/>
                <w:color w:val="auto"/>
              </w:rPr>
            </w:pPr>
            <w:r>
              <w:rPr>
                <w:rFonts w:ascii="Calibri" w:cs="Calibri" w:eastAsia="Calibri" w:hAnsi="Calibri"/>
                <w:sz w:val="14"/>
                <w:szCs w:val="14"/>
                <w:color w:val="auto"/>
              </w:rPr>
              <w:t>355,784</w:t>
            </w:r>
          </w:p>
        </w:tc>
        <w:tc>
          <w:tcPr>
            <w:tcW w:w="1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69"/>
              <w:spacing w:after="0" w:line="169" w:lineRule="exact"/>
              <w:rPr>
                <w:sz w:val="20"/>
                <w:szCs w:val="20"/>
                <w:color w:val="auto"/>
              </w:rPr>
            </w:pPr>
            <w:r>
              <w:rPr>
                <w:rFonts w:ascii="Calibri" w:cs="Calibri" w:eastAsia="Calibri" w:hAnsi="Calibri"/>
                <w:sz w:val="14"/>
                <w:szCs w:val="14"/>
                <w:color w:val="auto"/>
              </w:rPr>
              <w:t>935,384</w:t>
            </w:r>
          </w:p>
        </w:tc>
        <w:tc>
          <w:tcPr>
            <w:tcW w:w="150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-937895</wp:posOffset>
            </wp:positionV>
            <wp:extent cx="33655" cy="265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-937895</wp:posOffset>
            </wp:positionV>
            <wp:extent cx="33655" cy="265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-937895</wp:posOffset>
            </wp:positionV>
            <wp:extent cx="33655" cy="265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-937895</wp:posOffset>
            </wp:positionV>
            <wp:extent cx="34290" cy="265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-937895</wp:posOffset>
            </wp:positionV>
            <wp:extent cx="34290"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-937895</wp:posOffset>
            </wp:positionV>
            <wp:extent cx="34290" cy="265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-252095</wp:posOffset>
            </wp:positionV>
            <wp:extent cx="33655"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14541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-252095</wp:posOffset>
            </wp:positionV>
            <wp:extent cx="33655" cy="265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-252095</wp:posOffset>
            </wp:positionV>
            <wp:extent cx="33655" cy="265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-252095</wp:posOffset>
            </wp:positionV>
            <wp:extent cx="33655" cy="265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26543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-252095</wp:posOffset>
            </wp:positionV>
            <wp:extent cx="34290" cy="265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-252095</wp:posOffset>
            </wp:positionV>
            <wp:extent cx="34290" cy="265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-252095</wp:posOffset>
            </wp:positionV>
            <wp:extent cx="34290" cy="265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265430"/>
                    </a:xfrm>
                    <a:prstGeom prst="rect">
                      <a:avLst/>
                    </a:prstGeom>
                    <a:noFill/>
                  </pic:spPr>
                </pic:pic>
              </a:graphicData>
            </a:graphic>
          </wp:anchor>
        </w:drawing>
      </w:r>
    </w:p>
    <w:p>
      <w:pPr>
        <w:spacing w:after="0" w:line="128" w:lineRule="exact"/>
        <w:rPr>
          <w:sz w:val="20"/>
          <w:szCs w:val="20"/>
          <w:color w:val="auto"/>
        </w:rPr>
      </w:pPr>
    </w:p>
    <w:p>
      <w:pPr>
        <w:jc w:val="both"/>
        <w:ind w:left="800" w:hanging="401"/>
        <w:spacing w:after="0"/>
        <w:tabs>
          <w:tab w:leader="none" w:pos="800" w:val="left"/>
        </w:tabs>
        <w:numPr>
          <w:ilvl w:val="0"/>
          <w:numId w:val="12"/>
        </w:numPr>
        <w:rPr>
          <w:rFonts w:ascii="Calibri" w:cs="Calibri" w:eastAsia="Calibri" w:hAnsi="Calibri"/>
          <w:sz w:val="19"/>
          <w:szCs w:val="19"/>
          <w:color w:val="auto"/>
          <w:vertAlign w:val="superscript"/>
        </w:rPr>
      </w:pPr>
      <w:r>
        <w:rPr>
          <w:rFonts w:ascii="Calibri" w:cs="Calibri" w:eastAsia="Calibri" w:hAnsi="Calibri"/>
          <w:sz w:val="14"/>
          <w:szCs w:val="14"/>
          <w:color w:val="auto"/>
        </w:rPr>
        <w:t>The tons presented were determined to be economically mineable using the 2023 average selling price per ton for that product category in that geographic division. There is a range of selling prices for each product category and each geography that depend on the type of product, whether it is washed or not, and its end use. The average selling price per ton used for crushed stone for the East Division, Central Division, Southwest Division and West Division was $19.93, $18.46, $14.35 and $16.31, respectvely. The average selling price per ton used for sand and gravel for the East Division, Central Division, Southwest Division and West Division was $11.92, $13.27, $17.30 and $18.80, respectvely. These prices exclude any porton of revenues allocated to freight, including internal freight to ship products from a producing quarry to a distributon terminal and third-party freight to deliver product to a customer.</w:t>
      </w:r>
    </w:p>
    <w:p>
      <w:pPr>
        <w:spacing w:after="0" w:line="191" w:lineRule="exact"/>
        <w:rPr>
          <w:rFonts w:ascii="Calibri" w:cs="Calibri" w:eastAsia="Calibri" w:hAnsi="Calibri"/>
          <w:sz w:val="19"/>
          <w:szCs w:val="19"/>
          <w:color w:val="auto"/>
          <w:vertAlign w:val="superscript"/>
        </w:rPr>
      </w:pPr>
    </w:p>
    <w:p>
      <w:pPr>
        <w:jc w:val="both"/>
        <w:ind w:left="800" w:hanging="401"/>
        <w:spacing w:after="0" w:line="217" w:lineRule="auto"/>
        <w:tabs>
          <w:tab w:leader="none" w:pos="800" w:val="left"/>
        </w:tabs>
        <w:numPr>
          <w:ilvl w:val="0"/>
          <w:numId w:val="12"/>
        </w:numPr>
        <w:rPr>
          <w:rFonts w:ascii="Calibri" w:cs="Calibri" w:eastAsia="Calibri" w:hAnsi="Calibri"/>
          <w:sz w:val="19"/>
          <w:szCs w:val="19"/>
          <w:color w:val="auto"/>
          <w:vertAlign w:val="superscript"/>
        </w:rPr>
      </w:pPr>
      <w:r>
        <w:rPr>
          <w:rFonts w:ascii="Calibri" w:cs="Calibri" w:eastAsia="Calibri" w:hAnsi="Calibri"/>
          <w:sz w:val="14"/>
          <w:szCs w:val="14"/>
          <w:color w:val="auto"/>
        </w:rPr>
        <w:t>For the purposes of this table, the Company calculates its mineral reserves based on land that has been zoned for quarrying and land for which the Company has determined zoning is not required. The Company's reserves presented in the Central Division include dolomitc limestone reserves used in the Magnesia Specialtes business. The Company's reserves presented in the Southwest Division include limestone reserves used in the cement product line.</w:t>
      </w:r>
    </w:p>
    <w:p>
      <w:pPr>
        <w:spacing w:after="0" w:line="10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presents the Company’s total annual producton for the last three years shown on a product line-by-product line basis.</w:t>
      </w:r>
    </w:p>
    <w:p>
      <w:pPr>
        <w:spacing w:after="0" w:line="62" w:lineRule="exact"/>
        <w:rPr>
          <w:sz w:val="20"/>
          <w:szCs w:val="20"/>
          <w:color w:val="auto"/>
        </w:rPr>
      </w:pPr>
    </w:p>
    <w:p>
      <w:pPr>
        <w:jc w:val="center"/>
        <w:ind w:left="5320"/>
        <w:spacing w:after="0"/>
        <w:rPr>
          <w:sz w:val="20"/>
          <w:szCs w:val="20"/>
          <w:color w:val="auto"/>
        </w:rPr>
      </w:pPr>
      <w:r>
        <w:rPr>
          <w:rFonts w:ascii="Calibri" w:cs="Calibri" w:eastAsia="Calibri" w:hAnsi="Calibri"/>
          <w:sz w:val="14"/>
          <w:szCs w:val="14"/>
          <w:b w:val="1"/>
          <w:bCs w:val="1"/>
          <w:color w:val="FFFFFF"/>
        </w:rPr>
        <w:t>Total Annual Producton (tons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342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jc w:val="center"/>
        <w:ind w:left="5320"/>
        <w:spacing w:after="0"/>
        <w:rPr>
          <w:sz w:val="20"/>
          <w:szCs w:val="20"/>
          <w:color w:val="auto"/>
        </w:rPr>
      </w:pPr>
      <w:r>
        <w:rPr>
          <w:rFonts w:ascii="Calibri" w:cs="Calibri" w:eastAsia="Calibri" w:hAnsi="Calibri"/>
          <w:sz w:val="14"/>
          <w:szCs w:val="14"/>
          <w:i w:val="1"/>
          <w:iCs w:val="1"/>
          <w:color w:val="FFFFFF"/>
        </w:rPr>
        <w:t>For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320" w:type="dxa"/>
            <w:vAlign w:val="bottom"/>
            <w:shd w:val="clear" w:color="auto" w:fill="007CBA"/>
          </w:tcPr>
          <w:p>
            <w:pPr>
              <w:jc w:val="right"/>
              <w:ind w:right="88"/>
              <w:spacing w:after="0"/>
              <w:rPr>
                <w:sz w:val="20"/>
                <w:szCs w:val="20"/>
                <w:color w:val="auto"/>
              </w:rPr>
            </w:pPr>
            <w:r>
              <w:rPr>
                <w:rFonts w:ascii="Calibri" w:cs="Calibri" w:eastAsia="Calibri" w:hAnsi="Calibri"/>
                <w:sz w:val="14"/>
                <w:szCs w:val="14"/>
                <w:b w:val="1"/>
                <w:bCs w:val="1"/>
                <w:color w:val="FFFFFF"/>
              </w:rPr>
              <w:t>2024</w:t>
            </w:r>
          </w:p>
        </w:tc>
        <w:tc>
          <w:tcPr>
            <w:tcW w:w="2000" w:type="dxa"/>
            <w:vAlign w:val="bottom"/>
            <w:gridSpan w:val="2"/>
            <w:shd w:val="clear" w:color="auto" w:fill="007CBA"/>
          </w:tcPr>
          <w:p>
            <w:pPr>
              <w:jc w:val="right"/>
              <w:ind w:right="160"/>
              <w:spacing w:after="0"/>
              <w:rPr>
                <w:sz w:val="20"/>
                <w:szCs w:val="20"/>
                <w:color w:val="auto"/>
              </w:rPr>
            </w:pPr>
            <w:r>
              <w:rPr>
                <w:rFonts w:ascii="Calibri" w:cs="Calibri" w:eastAsia="Calibri" w:hAnsi="Calibri"/>
                <w:sz w:val="14"/>
                <w:szCs w:val="14"/>
                <w:b w:val="1"/>
                <w:bCs w:val="1"/>
                <w:color w:val="FFFFFF"/>
              </w:rPr>
              <w:t>2023</w:t>
            </w:r>
          </w:p>
        </w:tc>
        <w:tc>
          <w:tcPr>
            <w:tcW w:w="660" w:type="dxa"/>
            <w:vAlign w:val="bottom"/>
            <w:tcBorders>
              <w:right w:val="single" w:sz="8" w:color="007CBA"/>
            </w:tcBorders>
            <w:shd w:val="clear" w:color="auto" w:fill="007CBA"/>
          </w:tcPr>
          <w:p>
            <w:pPr>
              <w:spacing w:after="0"/>
              <w:rPr>
                <w:sz w:val="15"/>
                <w:szCs w:val="15"/>
                <w:color w:val="auto"/>
              </w:rPr>
            </w:pPr>
          </w:p>
        </w:tc>
        <w:tc>
          <w:tcPr>
            <w:tcW w:w="1960" w:type="dxa"/>
            <w:vAlign w:val="bottom"/>
            <w:tcBorders>
              <w:right w:val="single" w:sz="8" w:color="007CBA"/>
            </w:tcBorders>
            <w:shd w:val="clear" w:color="auto" w:fill="007CBA"/>
          </w:tcPr>
          <w:p>
            <w:pPr>
              <w:jc w:val="right"/>
              <w:ind w:right="741"/>
              <w:spacing w:after="0"/>
              <w:rPr>
                <w:sz w:val="20"/>
                <w:szCs w:val="20"/>
                <w:color w:val="auto"/>
              </w:rPr>
            </w:pPr>
            <w:r>
              <w:rPr>
                <w:rFonts w:ascii="Calibri" w:cs="Calibri" w:eastAsia="Calibri" w:hAnsi="Calibri"/>
                <w:sz w:val="14"/>
                <w:szCs w:val="14"/>
                <w:b w:val="1"/>
                <w:bCs w:val="1"/>
                <w:color w:val="FFFFFF"/>
              </w:rPr>
              <w:t>2022</w:t>
            </w:r>
          </w:p>
        </w:tc>
      </w:tr>
      <w:tr>
        <w:trPr>
          <w:trHeight w:val="203"/>
        </w:trPr>
        <w:tc>
          <w:tcPr>
            <w:tcW w:w="5300" w:type="dxa"/>
            <w:vAlign w:val="bottom"/>
            <w:tcBorders>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Aggregates</w:t>
            </w:r>
          </w:p>
        </w:tc>
        <w:tc>
          <w:tcPr>
            <w:tcW w:w="1320" w:type="dxa"/>
            <w:vAlign w:val="bottom"/>
            <w:shd w:val="clear" w:color="auto" w:fill="E5F1F8"/>
          </w:tcPr>
          <w:p>
            <w:pPr>
              <w:spacing w:after="0"/>
              <w:rPr>
                <w:sz w:val="17"/>
                <w:szCs w:val="17"/>
                <w:color w:val="auto"/>
              </w:rPr>
            </w:pPr>
          </w:p>
        </w:tc>
        <w:tc>
          <w:tcPr>
            <w:tcW w:w="700" w:type="dxa"/>
            <w:vAlign w:val="bottom"/>
            <w:tcBorders>
              <w:right w:val="single" w:sz="8" w:color="007CBA"/>
            </w:tcBorders>
            <w:shd w:val="clear" w:color="auto" w:fill="E5F1F8"/>
          </w:tcPr>
          <w:p>
            <w:pPr>
              <w:jc w:val="right"/>
              <w:ind w:right="81"/>
              <w:spacing w:after="0" w:line="193" w:lineRule="exact"/>
              <w:rPr>
                <w:sz w:val="20"/>
                <w:szCs w:val="20"/>
                <w:color w:val="auto"/>
              </w:rPr>
            </w:pPr>
            <w:r>
              <w:rPr>
                <w:rFonts w:ascii="Calibri" w:cs="Calibri" w:eastAsia="Calibri" w:hAnsi="Calibri"/>
                <w:sz w:val="16"/>
                <w:szCs w:val="16"/>
                <w:b w:val="1"/>
                <w:bCs w:val="1"/>
                <w:color w:val="auto"/>
              </w:rPr>
              <w:t>190.8</w:t>
            </w:r>
          </w:p>
        </w:tc>
        <w:tc>
          <w:tcPr>
            <w:tcW w:w="1300" w:type="dxa"/>
            <w:vAlign w:val="bottom"/>
            <w:shd w:val="clear" w:color="auto" w:fill="E5F1F8"/>
          </w:tcPr>
          <w:p>
            <w:pPr>
              <w:spacing w:after="0"/>
              <w:rPr>
                <w:sz w:val="17"/>
                <w:szCs w:val="17"/>
                <w:color w:val="auto"/>
              </w:rPr>
            </w:pPr>
          </w:p>
        </w:tc>
        <w:tc>
          <w:tcPr>
            <w:tcW w:w="660" w:type="dxa"/>
            <w:vAlign w:val="bottom"/>
            <w:tcBorders>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208.5</w:t>
            </w:r>
          </w:p>
        </w:tc>
        <w:tc>
          <w:tcPr>
            <w:tcW w:w="1960" w:type="dxa"/>
            <w:vAlign w:val="bottom"/>
            <w:tcBorders>
              <w:right w:val="single" w:sz="8" w:color="007CBA"/>
            </w:tcBorders>
            <w:shd w:val="clear" w:color="auto" w:fill="E5F1F8"/>
          </w:tcPr>
          <w:p>
            <w:pPr>
              <w:jc w:val="right"/>
              <w:ind w:right="61"/>
              <w:spacing w:after="0" w:line="193" w:lineRule="exact"/>
              <w:rPr>
                <w:sz w:val="20"/>
                <w:szCs w:val="20"/>
                <w:color w:val="auto"/>
              </w:rPr>
            </w:pPr>
            <w:r>
              <w:rPr>
                <w:rFonts w:ascii="Calibri" w:cs="Calibri" w:eastAsia="Calibri" w:hAnsi="Calibri"/>
                <w:sz w:val="16"/>
                <w:szCs w:val="16"/>
                <w:color w:val="auto"/>
              </w:rPr>
              <w:t>214.5</w:t>
            </w:r>
          </w:p>
        </w:tc>
      </w:tr>
      <w:tr>
        <w:trPr>
          <w:trHeight w:val="203"/>
        </w:trPr>
        <w:tc>
          <w:tcPr>
            <w:tcW w:w="53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Cement limestone</w:t>
            </w:r>
          </w:p>
        </w:tc>
        <w:tc>
          <w:tcPr>
            <w:tcW w:w="1320" w:type="dxa"/>
            <w:vAlign w:val="bottom"/>
          </w:tcPr>
          <w:p>
            <w:pPr>
              <w:spacing w:after="0"/>
              <w:rPr>
                <w:sz w:val="17"/>
                <w:szCs w:val="17"/>
                <w:color w:val="auto"/>
              </w:rPr>
            </w:pPr>
          </w:p>
        </w:tc>
        <w:tc>
          <w:tcPr>
            <w:tcW w:w="700" w:type="dxa"/>
            <w:vAlign w:val="bottom"/>
            <w:tcBorders>
              <w:right w:val="single" w:sz="8" w:color="007CBA"/>
            </w:tcBorders>
          </w:tcPr>
          <w:p>
            <w:pPr>
              <w:jc w:val="right"/>
              <w:ind w:right="81"/>
              <w:spacing w:after="0" w:line="193" w:lineRule="exact"/>
              <w:rPr>
                <w:sz w:val="20"/>
                <w:szCs w:val="20"/>
                <w:color w:val="auto"/>
              </w:rPr>
            </w:pPr>
            <w:r>
              <w:rPr>
                <w:rFonts w:ascii="Calibri" w:cs="Calibri" w:eastAsia="Calibri" w:hAnsi="Calibri"/>
                <w:sz w:val="16"/>
                <w:szCs w:val="16"/>
                <w:b w:val="1"/>
                <w:bCs w:val="1"/>
                <w:color w:val="auto"/>
              </w:rPr>
              <w:t>3.3</w:t>
            </w:r>
          </w:p>
        </w:tc>
        <w:tc>
          <w:tcPr>
            <w:tcW w:w="1300" w:type="dxa"/>
            <w:vAlign w:val="bottom"/>
          </w:tcPr>
          <w:p>
            <w:pPr>
              <w:spacing w:after="0"/>
              <w:rPr>
                <w:sz w:val="17"/>
                <w:szCs w:val="17"/>
                <w:color w:val="auto"/>
              </w:rPr>
            </w:pPr>
          </w:p>
        </w:tc>
        <w:tc>
          <w:tcPr>
            <w:tcW w:w="6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6.1</w:t>
            </w:r>
          </w:p>
        </w:tc>
        <w:tc>
          <w:tcPr>
            <w:tcW w:w="1960" w:type="dxa"/>
            <w:vAlign w:val="bottom"/>
            <w:tcBorders>
              <w:right w:val="single" w:sz="8" w:color="007CBA"/>
            </w:tcBorders>
          </w:tcPr>
          <w:p>
            <w:pPr>
              <w:jc w:val="right"/>
              <w:ind w:right="61"/>
              <w:spacing w:after="0" w:line="193" w:lineRule="exact"/>
              <w:rPr>
                <w:sz w:val="20"/>
                <w:szCs w:val="20"/>
                <w:color w:val="auto"/>
              </w:rPr>
            </w:pPr>
            <w:r>
              <w:rPr>
                <w:rFonts w:ascii="Calibri" w:cs="Calibri" w:eastAsia="Calibri" w:hAnsi="Calibri"/>
                <w:sz w:val="16"/>
                <w:szCs w:val="16"/>
                <w:color w:val="auto"/>
              </w:rPr>
              <w:t>6.6</w:t>
            </w:r>
          </w:p>
        </w:tc>
      </w:tr>
      <w:tr>
        <w:trPr>
          <w:trHeight w:val="198"/>
        </w:trPr>
        <w:tc>
          <w:tcPr>
            <w:tcW w:w="6620" w:type="dxa"/>
            <w:vAlign w:val="bottom"/>
            <w:tcBorders>
              <w:bottom w:val="single" w:sz="8" w:color="auto"/>
            </w:tcBorders>
            <w:gridSpan w:val="2"/>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Magnesia Specialtes limestone</w:t>
            </w:r>
          </w:p>
        </w:tc>
        <w:tc>
          <w:tcPr>
            <w:tcW w:w="700" w:type="dxa"/>
            <w:vAlign w:val="bottom"/>
            <w:tcBorders>
              <w:bottom w:val="single" w:sz="8" w:color="auto"/>
              <w:right w:val="single" w:sz="8" w:color="E5F1F8"/>
            </w:tcBorders>
            <w:shd w:val="clear" w:color="auto" w:fill="E5F1F8"/>
          </w:tcPr>
          <w:p>
            <w:pPr>
              <w:jc w:val="right"/>
              <w:ind w:right="81"/>
              <w:spacing w:after="0" w:line="193" w:lineRule="exact"/>
              <w:rPr>
                <w:sz w:val="20"/>
                <w:szCs w:val="20"/>
                <w:color w:val="auto"/>
              </w:rPr>
            </w:pPr>
            <w:r>
              <w:rPr>
                <w:rFonts w:ascii="Calibri" w:cs="Calibri" w:eastAsia="Calibri" w:hAnsi="Calibri"/>
                <w:sz w:val="16"/>
                <w:szCs w:val="16"/>
                <w:b w:val="1"/>
                <w:bCs w:val="1"/>
                <w:color w:val="auto"/>
              </w:rPr>
              <w:t>3.1</w:t>
            </w:r>
          </w:p>
        </w:tc>
        <w:tc>
          <w:tcPr>
            <w:tcW w:w="1300" w:type="dxa"/>
            <w:vAlign w:val="bottom"/>
            <w:tcBorders>
              <w:bottom w:val="single" w:sz="8" w:color="auto"/>
            </w:tcBorders>
            <w:shd w:val="clear" w:color="auto" w:fill="E5F1F8"/>
          </w:tcPr>
          <w:p>
            <w:pPr>
              <w:spacing w:after="0"/>
              <w:rPr>
                <w:sz w:val="17"/>
                <w:szCs w:val="17"/>
                <w:color w:val="auto"/>
              </w:rPr>
            </w:pPr>
          </w:p>
        </w:tc>
        <w:tc>
          <w:tcPr>
            <w:tcW w:w="660" w:type="dxa"/>
            <w:vAlign w:val="bottom"/>
            <w:tcBorders>
              <w:bottom w:val="single" w:sz="8" w:color="auto"/>
              <w:right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3.5</w:t>
            </w:r>
          </w:p>
        </w:tc>
        <w:tc>
          <w:tcPr>
            <w:tcW w:w="1960" w:type="dxa"/>
            <w:vAlign w:val="bottom"/>
            <w:tcBorders>
              <w:bottom w:val="single" w:sz="8" w:color="auto"/>
              <w:right w:val="single" w:sz="8" w:color="E5F1F8"/>
            </w:tcBorders>
            <w:shd w:val="clear" w:color="auto" w:fill="E5F1F8"/>
          </w:tcPr>
          <w:p>
            <w:pPr>
              <w:jc w:val="right"/>
              <w:ind w:right="61"/>
              <w:spacing w:after="0" w:line="193" w:lineRule="exact"/>
              <w:rPr>
                <w:sz w:val="20"/>
                <w:szCs w:val="20"/>
                <w:color w:val="auto"/>
              </w:rPr>
            </w:pPr>
            <w:r>
              <w:rPr>
                <w:rFonts w:ascii="Calibri" w:cs="Calibri" w:eastAsia="Calibri" w:hAnsi="Calibri"/>
                <w:sz w:val="16"/>
                <w:szCs w:val="16"/>
                <w:color w:val="auto"/>
              </w:rPr>
              <w:t>2.9</w:t>
            </w:r>
          </w:p>
        </w:tc>
      </w:tr>
      <w:tr>
        <w:trPr>
          <w:trHeight w:val="196"/>
        </w:trPr>
        <w:tc>
          <w:tcPr>
            <w:tcW w:w="6620" w:type="dxa"/>
            <w:vAlign w:val="bottom"/>
            <w:tcBorders>
              <w:bottom w:val="single" w:sz="8" w:color="auto"/>
            </w:tcBorders>
            <w:gridSpan w:val="2"/>
          </w:tcPr>
          <w:p>
            <w:pPr>
              <w:ind w:left="120"/>
              <w:spacing w:after="0" w:line="193" w:lineRule="exact"/>
              <w:rPr>
                <w:sz w:val="20"/>
                <w:szCs w:val="20"/>
                <w:color w:val="auto"/>
              </w:rPr>
            </w:pPr>
            <w:r>
              <w:rPr>
                <w:rFonts w:ascii="Calibri" w:cs="Calibri" w:eastAsia="Calibri" w:hAnsi="Calibri"/>
                <w:sz w:val="16"/>
                <w:szCs w:val="16"/>
                <w:color w:val="auto"/>
              </w:rPr>
              <w:t>Total</w:t>
            </w:r>
          </w:p>
        </w:tc>
        <w:tc>
          <w:tcPr>
            <w:tcW w:w="700" w:type="dxa"/>
            <w:vAlign w:val="bottom"/>
            <w:tcBorders>
              <w:bottom w:val="single" w:sz="8" w:color="auto"/>
            </w:tcBorders>
          </w:tcPr>
          <w:p>
            <w:pPr>
              <w:jc w:val="right"/>
              <w:ind w:right="81"/>
              <w:spacing w:after="0" w:line="193" w:lineRule="exact"/>
              <w:rPr>
                <w:sz w:val="20"/>
                <w:szCs w:val="20"/>
                <w:color w:val="auto"/>
              </w:rPr>
            </w:pPr>
            <w:r>
              <w:rPr>
                <w:rFonts w:ascii="Calibri" w:cs="Calibri" w:eastAsia="Calibri" w:hAnsi="Calibri"/>
                <w:sz w:val="16"/>
                <w:szCs w:val="16"/>
                <w:b w:val="1"/>
                <w:bCs w:val="1"/>
                <w:color w:val="auto"/>
              </w:rPr>
              <w:t>197.2</w:t>
            </w:r>
          </w:p>
        </w:tc>
        <w:tc>
          <w:tcPr>
            <w:tcW w:w="1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color w:val="auto"/>
              </w:rPr>
              <w:t>218.1</w:t>
            </w:r>
          </w:p>
        </w:tc>
        <w:tc>
          <w:tcPr>
            <w:tcW w:w="1960" w:type="dxa"/>
            <w:vAlign w:val="bottom"/>
            <w:tcBorders>
              <w:bottom w:val="single" w:sz="8" w:color="auto"/>
            </w:tcBorders>
          </w:tcPr>
          <w:p>
            <w:pPr>
              <w:jc w:val="right"/>
              <w:ind w:right="61"/>
              <w:spacing w:after="0" w:line="193" w:lineRule="exact"/>
              <w:rPr>
                <w:sz w:val="20"/>
                <w:szCs w:val="20"/>
                <w:color w:val="auto"/>
              </w:rPr>
            </w:pPr>
            <w:r>
              <w:rPr>
                <w:rFonts w:ascii="Calibri" w:cs="Calibri" w:eastAsia="Calibri" w:hAnsi="Calibri"/>
                <w:sz w:val="16"/>
                <w:szCs w:val="16"/>
                <w:color w:val="auto"/>
              </w:rPr>
              <w:t>224.0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-286385</wp:posOffset>
            </wp:positionV>
            <wp:extent cx="33655"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-286385</wp:posOffset>
            </wp:positionV>
            <wp:extent cx="33655" cy="2997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-286385</wp:posOffset>
            </wp:positionV>
            <wp:extent cx="33655" cy="299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-286385</wp:posOffset>
            </wp:positionV>
            <wp:extent cx="33655" cy="2997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299720"/>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1" w:name="page32"/>
    <w:bookmarkEnd w:id="31"/>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Cement</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the Company processed or shipped cement from three propertes, all of which are located on land owned by the Company free of major encumbrances, in Midlothian, Texas, south of Dallas/Fort Worth. The following table summarizes certain informaton about the Company’s cement producton facility,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71755</wp:posOffset>
            </wp:positionV>
            <wp:extent cx="137160" cy="736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73660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shd w:val="clear" w:color="auto" w:fill="007CBA"/>
          </w:tcPr>
          <w:p>
            <w:pPr>
              <w:spacing w:after="0"/>
              <w:rPr>
                <w:sz w:val="15"/>
                <w:szCs w:val="15"/>
                <w:color w:val="auto"/>
              </w:rPr>
            </w:pPr>
          </w:p>
        </w:tc>
        <w:tc>
          <w:tcPr>
            <w:tcW w:w="1100" w:type="dxa"/>
            <w:vAlign w:val="bottom"/>
            <w:shd w:val="clear" w:color="auto" w:fill="007CBA"/>
          </w:tcPr>
          <w:p>
            <w:pPr>
              <w:jc w:val="center"/>
              <w:ind w:left="168"/>
              <w:spacing w:after="0"/>
              <w:rPr>
                <w:sz w:val="20"/>
                <w:szCs w:val="20"/>
                <w:color w:val="auto"/>
              </w:rPr>
            </w:pPr>
            <w:r>
              <w:rPr>
                <w:rFonts w:ascii="Calibri" w:cs="Calibri" w:eastAsia="Calibri" w:hAnsi="Calibri"/>
                <w:sz w:val="14"/>
                <w:szCs w:val="14"/>
                <w:b w:val="1"/>
                <w:bCs w:val="1"/>
                <w:color w:val="FFFFFF"/>
              </w:rPr>
              <w:t>Rated Annual</w:t>
            </w:r>
          </w:p>
        </w:tc>
        <w:tc>
          <w:tcPr>
            <w:tcW w:w="360" w:type="dxa"/>
            <w:vAlign w:val="bottom"/>
            <w:shd w:val="clear" w:color="auto" w:fill="007CBA"/>
          </w:tcPr>
          <w:p>
            <w:pPr>
              <w:spacing w:after="0"/>
              <w:rPr>
                <w:sz w:val="15"/>
                <w:szCs w:val="15"/>
                <w:color w:val="auto"/>
              </w:rPr>
            </w:pPr>
          </w:p>
        </w:tc>
        <w:tc>
          <w:tcPr>
            <w:tcW w:w="1760" w:type="dxa"/>
            <w:vAlign w:val="bottom"/>
            <w:shd w:val="clear" w:color="auto" w:fill="007CBA"/>
          </w:tcPr>
          <w:p>
            <w:pPr>
              <w:spacing w:after="0"/>
              <w:rPr>
                <w:sz w:val="15"/>
                <w:szCs w:val="15"/>
                <w:color w:val="auto"/>
              </w:rPr>
            </w:pPr>
          </w:p>
        </w:tc>
        <w:tc>
          <w:tcPr>
            <w:tcW w:w="1600" w:type="dxa"/>
            <w:vAlign w:val="bottom"/>
            <w:shd w:val="clear" w:color="auto" w:fill="007CBA"/>
          </w:tcPr>
          <w:p>
            <w:pPr>
              <w:spacing w:after="0"/>
              <w:rPr>
                <w:sz w:val="15"/>
                <w:szCs w:val="15"/>
                <w:color w:val="auto"/>
              </w:rPr>
            </w:pPr>
          </w:p>
        </w:tc>
        <w:tc>
          <w:tcPr>
            <w:tcW w:w="1780" w:type="dxa"/>
            <w:vAlign w:val="bottom"/>
            <w:shd w:val="clear" w:color="auto" w:fill="007CBA"/>
          </w:tcPr>
          <w:p>
            <w:pPr>
              <w:spacing w:after="0"/>
              <w:rPr>
                <w:sz w:val="15"/>
                <w:szCs w:val="15"/>
                <w:color w:val="auto"/>
              </w:rPr>
            </w:pPr>
          </w:p>
        </w:tc>
      </w:tr>
      <w:tr>
        <w:trPr>
          <w:trHeight w:val="170"/>
        </w:trPr>
        <w:tc>
          <w:tcPr>
            <w:tcW w:w="4640" w:type="dxa"/>
            <w:vAlign w:val="bottom"/>
            <w:shd w:val="clear" w:color="auto" w:fill="007CBA"/>
          </w:tcPr>
          <w:p>
            <w:pPr>
              <w:spacing w:after="0"/>
              <w:rPr>
                <w:sz w:val="14"/>
                <w:szCs w:val="14"/>
                <w:color w:val="auto"/>
              </w:rPr>
            </w:pPr>
          </w:p>
        </w:tc>
        <w:tc>
          <w:tcPr>
            <w:tcW w:w="1100" w:type="dxa"/>
            <w:vAlign w:val="bottom"/>
            <w:shd w:val="clear" w:color="auto" w:fill="007CBA"/>
          </w:tcPr>
          <w:p>
            <w:pPr>
              <w:jc w:val="center"/>
              <w:ind w:left="148"/>
              <w:spacing w:after="0"/>
              <w:rPr>
                <w:sz w:val="20"/>
                <w:szCs w:val="20"/>
                <w:color w:val="auto"/>
              </w:rPr>
            </w:pPr>
            <w:r>
              <w:rPr>
                <w:rFonts w:ascii="Calibri" w:cs="Calibri" w:eastAsia="Calibri" w:hAnsi="Calibri"/>
                <w:sz w:val="14"/>
                <w:szCs w:val="14"/>
                <w:b w:val="1"/>
                <w:bCs w:val="1"/>
                <w:color w:val="FFFFFF"/>
              </w:rPr>
              <w:t>Productve</w:t>
            </w:r>
          </w:p>
        </w:tc>
        <w:tc>
          <w:tcPr>
            <w:tcW w:w="360" w:type="dxa"/>
            <w:vAlign w:val="bottom"/>
            <w:shd w:val="clear" w:color="auto" w:fill="007CBA"/>
          </w:tcPr>
          <w:p>
            <w:pPr>
              <w:spacing w:after="0"/>
              <w:rPr>
                <w:sz w:val="14"/>
                <w:szCs w:val="14"/>
                <w:color w:val="auto"/>
              </w:rPr>
            </w:pPr>
          </w:p>
        </w:tc>
        <w:tc>
          <w:tcPr>
            <w:tcW w:w="1760" w:type="dxa"/>
            <w:vAlign w:val="bottom"/>
            <w:shd w:val="clear" w:color="auto" w:fill="007CBA"/>
          </w:tcPr>
          <w:p>
            <w:pPr>
              <w:spacing w:after="0"/>
              <w:rPr>
                <w:sz w:val="14"/>
                <w:szCs w:val="14"/>
                <w:color w:val="auto"/>
              </w:rPr>
            </w:pPr>
          </w:p>
        </w:tc>
        <w:tc>
          <w:tcPr>
            <w:tcW w:w="1600" w:type="dxa"/>
            <w:vAlign w:val="bottom"/>
            <w:shd w:val="clear" w:color="auto" w:fill="007CBA"/>
          </w:tcPr>
          <w:p>
            <w:pPr>
              <w:spacing w:after="0"/>
              <w:rPr>
                <w:sz w:val="14"/>
                <w:szCs w:val="14"/>
                <w:color w:val="auto"/>
              </w:rPr>
            </w:pPr>
          </w:p>
        </w:tc>
        <w:tc>
          <w:tcPr>
            <w:tcW w:w="1780" w:type="dxa"/>
            <w:vAlign w:val="bottom"/>
            <w:shd w:val="clear" w:color="auto" w:fill="007CBA"/>
          </w:tcPr>
          <w:p>
            <w:pPr>
              <w:spacing w:after="0"/>
              <w:rPr>
                <w:sz w:val="14"/>
                <w:szCs w:val="14"/>
                <w:color w:val="auto"/>
              </w:rPr>
            </w:pPr>
          </w:p>
        </w:tc>
      </w:tr>
      <w:tr>
        <w:trPr>
          <w:trHeight w:val="181"/>
        </w:trPr>
        <w:tc>
          <w:tcPr>
            <w:tcW w:w="4640" w:type="dxa"/>
            <w:vAlign w:val="bottom"/>
            <w:shd w:val="clear" w:color="auto" w:fill="007CBA"/>
          </w:tcPr>
          <w:p>
            <w:pPr>
              <w:spacing w:after="0"/>
              <w:rPr>
                <w:sz w:val="15"/>
                <w:szCs w:val="15"/>
                <w:color w:val="auto"/>
              </w:rPr>
            </w:pPr>
          </w:p>
        </w:tc>
        <w:tc>
          <w:tcPr>
            <w:tcW w:w="1100" w:type="dxa"/>
            <w:vAlign w:val="bottom"/>
            <w:shd w:val="clear" w:color="auto" w:fill="007CBA"/>
          </w:tcPr>
          <w:p>
            <w:pPr>
              <w:jc w:val="center"/>
              <w:ind w:left="148"/>
              <w:spacing w:after="0"/>
              <w:rPr>
                <w:sz w:val="20"/>
                <w:szCs w:val="20"/>
                <w:color w:val="auto"/>
              </w:rPr>
            </w:pPr>
            <w:r>
              <w:rPr>
                <w:rFonts w:ascii="Calibri" w:cs="Calibri" w:eastAsia="Calibri" w:hAnsi="Calibri"/>
                <w:sz w:val="14"/>
                <w:szCs w:val="14"/>
                <w:b w:val="1"/>
                <w:bCs w:val="1"/>
                <w:color w:val="FFFFFF"/>
              </w:rPr>
              <w:t>Capacity-Tons</w:t>
            </w:r>
          </w:p>
        </w:tc>
        <w:tc>
          <w:tcPr>
            <w:tcW w:w="360" w:type="dxa"/>
            <w:vAlign w:val="bottom"/>
            <w:shd w:val="clear" w:color="auto" w:fill="007CBA"/>
          </w:tcPr>
          <w:p>
            <w:pPr>
              <w:spacing w:after="0"/>
              <w:rPr>
                <w:sz w:val="15"/>
                <w:szCs w:val="15"/>
                <w:color w:val="auto"/>
              </w:rPr>
            </w:pPr>
          </w:p>
        </w:tc>
        <w:tc>
          <w:tcPr>
            <w:tcW w:w="1760" w:type="dxa"/>
            <w:vAlign w:val="bottom"/>
            <w:shd w:val="clear" w:color="auto" w:fill="007CBA"/>
          </w:tcPr>
          <w:p>
            <w:pPr>
              <w:spacing w:after="0"/>
              <w:rPr>
                <w:sz w:val="15"/>
                <w:szCs w:val="15"/>
                <w:color w:val="auto"/>
              </w:rPr>
            </w:pPr>
          </w:p>
        </w:tc>
        <w:tc>
          <w:tcPr>
            <w:tcW w:w="1600" w:type="dxa"/>
            <w:vAlign w:val="bottom"/>
            <w:shd w:val="clear" w:color="auto" w:fill="007CBA"/>
          </w:tcPr>
          <w:p>
            <w:pPr>
              <w:spacing w:after="0"/>
              <w:rPr>
                <w:sz w:val="15"/>
                <w:szCs w:val="15"/>
                <w:color w:val="auto"/>
              </w:rPr>
            </w:pPr>
          </w:p>
        </w:tc>
        <w:tc>
          <w:tcPr>
            <w:tcW w:w="178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Internally</w:t>
            </w:r>
          </w:p>
        </w:tc>
      </w:tr>
      <w:tr>
        <w:trPr>
          <w:trHeight w:val="176"/>
        </w:trPr>
        <w:tc>
          <w:tcPr>
            <w:tcW w:w="4640" w:type="dxa"/>
            <w:vAlign w:val="bottom"/>
            <w:shd w:val="clear" w:color="auto" w:fill="007CBA"/>
          </w:tcPr>
          <w:p>
            <w:pPr>
              <w:spacing w:after="0"/>
              <w:rPr>
                <w:sz w:val="15"/>
                <w:szCs w:val="15"/>
                <w:color w:val="auto"/>
              </w:rPr>
            </w:pPr>
          </w:p>
        </w:tc>
        <w:tc>
          <w:tcPr>
            <w:tcW w:w="1100" w:type="dxa"/>
            <w:vAlign w:val="bottom"/>
            <w:shd w:val="clear" w:color="auto" w:fill="007CBA"/>
          </w:tcPr>
          <w:p>
            <w:pPr>
              <w:jc w:val="center"/>
              <w:ind w:left="168"/>
              <w:spacing w:after="0"/>
              <w:rPr>
                <w:sz w:val="20"/>
                <w:szCs w:val="20"/>
                <w:color w:val="auto"/>
              </w:rPr>
            </w:pPr>
            <w:r>
              <w:rPr>
                <w:rFonts w:ascii="Calibri" w:cs="Calibri" w:eastAsia="Calibri" w:hAnsi="Calibri"/>
                <w:sz w:val="14"/>
                <w:szCs w:val="14"/>
                <w:b w:val="1"/>
                <w:bCs w:val="1"/>
                <w:color w:val="FFFFFF"/>
              </w:rPr>
              <w:t>of Clinker</w:t>
            </w:r>
          </w:p>
        </w:tc>
        <w:tc>
          <w:tcPr>
            <w:tcW w:w="360" w:type="dxa"/>
            <w:vAlign w:val="bottom"/>
            <w:shd w:val="clear" w:color="auto" w:fill="007CBA"/>
          </w:tcPr>
          <w:p>
            <w:pPr>
              <w:spacing w:after="0"/>
              <w:rPr>
                <w:sz w:val="15"/>
                <w:szCs w:val="15"/>
                <w:color w:val="auto"/>
              </w:rPr>
            </w:pPr>
          </w:p>
        </w:tc>
        <w:tc>
          <w:tcPr>
            <w:tcW w:w="176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Manufacturing</w:t>
            </w:r>
          </w:p>
        </w:tc>
        <w:tc>
          <w:tcPr>
            <w:tcW w:w="1600" w:type="dxa"/>
            <w:vAlign w:val="bottom"/>
            <w:shd w:val="clear" w:color="auto" w:fill="007CBA"/>
          </w:tcPr>
          <w:p>
            <w:pPr>
              <w:spacing w:after="0"/>
              <w:rPr>
                <w:sz w:val="15"/>
                <w:szCs w:val="15"/>
                <w:color w:val="auto"/>
              </w:rPr>
            </w:pPr>
          </w:p>
        </w:tc>
        <w:tc>
          <w:tcPr>
            <w:tcW w:w="178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Estmated</w:t>
            </w:r>
          </w:p>
        </w:tc>
      </w:tr>
      <w:tr>
        <w:trPr>
          <w:trHeight w:val="183"/>
        </w:trPr>
        <w:tc>
          <w:tcPr>
            <w:tcW w:w="4640" w:type="dxa"/>
            <w:vAlign w:val="bottom"/>
            <w:tcBorders>
              <w:bottom w:val="single" w:sz="8" w:color="007CBA"/>
            </w:tcBorders>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Plant</w:t>
            </w:r>
          </w:p>
        </w:tc>
        <w:tc>
          <w:tcPr>
            <w:tcW w:w="1100" w:type="dxa"/>
            <w:vAlign w:val="bottom"/>
            <w:tcBorders>
              <w:bottom w:val="single" w:sz="8" w:color="007CBA"/>
            </w:tcBorders>
            <w:shd w:val="clear" w:color="auto" w:fill="007CBA"/>
          </w:tcPr>
          <w:p>
            <w:pPr>
              <w:jc w:val="center"/>
              <w:ind w:left="168"/>
              <w:spacing w:after="0"/>
              <w:rPr>
                <w:sz w:val="20"/>
                <w:szCs w:val="20"/>
                <w:color w:val="auto"/>
              </w:rPr>
            </w:pPr>
            <w:r>
              <w:rPr>
                <w:rFonts w:ascii="Calibri" w:cs="Calibri" w:eastAsia="Calibri" w:hAnsi="Calibri"/>
                <w:sz w:val="14"/>
                <w:szCs w:val="14"/>
                <w:b w:val="1"/>
                <w:bCs w:val="1"/>
                <w:color w:val="FFFFFF"/>
              </w:rPr>
              <w:t>(in millions)</w:t>
            </w:r>
          </w:p>
        </w:tc>
        <w:tc>
          <w:tcPr>
            <w:tcW w:w="360" w:type="dxa"/>
            <w:vAlign w:val="bottom"/>
            <w:tcBorders>
              <w:bottom w:val="single" w:sz="8" w:color="007CBA"/>
            </w:tcBorders>
            <w:shd w:val="clear" w:color="auto" w:fill="007CBA"/>
          </w:tcPr>
          <w:p>
            <w:pPr>
              <w:spacing w:after="0"/>
              <w:rPr>
                <w:sz w:val="15"/>
                <w:szCs w:val="15"/>
                <w:color w:val="auto"/>
              </w:rPr>
            </w:pPr>
          </w:p>
        </w:tc>
        <w:tc>
          <w:tcPr>
            <w:tcW w:w="1760" w:type="dxa"/>
            <w:vAlign w:val="bottom"/>
            <w:tcBorders>
              <w:bottom w:val="single" w:sz="8" w:color="007CBA"/>
            </w:tcBorders>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Process</w:t>
            </w:r>
          </w:p>
        </w:tc>
        <w:tc>
          <w:tcPr>
            <w:tcW w:w="1600" w:type="dxa"/>
            <w:vAlign w:val="bottom"/>
            <w:tcBorders>
              <w:bottom w:val="single" w:sz="8" w:color="007CBA"/>
            </w:tcBorders>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Service Date</w:t>
            </w:r>
          </w:p>
        </w:tc>
        <w:tc>
          <w:tcPr>
            <w:tcW w:w="1780" w:type="dxa"/>
            <w:vAlign w:val="bottom"/>
            <w:tcBorders>
              <w:bottom w:val="single" w:sz="8" w:color="007CBA"/>
            </w:tcBorders>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Reserves—Years</w:t>
            </w:r>
          </w:p>
        </w:tc>
      </w:tr>
      <w:tr>
        <w:trPr>
          <w:trHeight w:val="198"/>
        </w:trPr>
        <w:tc>
          <w:tcPr>
            <w:tcW w:w="4640" w:type="dxa"/>
            <w:vAlign w:val="bottom"/>
            <w:tcBorders>
              <w:bottom w:val="single" w:sz="8" w:color="auto"/>
            </w:tcBorders>
          </w:tcPr>
          <w:p>
            <w:pPr>
              <w:ind w:left="120"/>
              <w:spacing w:after="0" w:line="193" w:lineRule="exact"/>
              <w:rPr>
                <w:sz w:val="20"/>
                <w:szCs w:val="20"/>
                <w:color w:val="auto"/>
              </w:rPr>
            </w:pPr>
            <w:r>
              <w:rPr>
                <w:rFonts w:ascii="Calibri" w:cs="Calibri" w:eastAsia="Calibri" w:hAnsi="Calibri"/>
                <w:sz w:val="16"/>
                <w:szCs w:val="16"/>
                <w:color w:val="auto"/>
              </w:rPr>
              <w:t>Midlothian, TX</w:t>
            </w:r>
          </w:p>
        </w:tc>
        <w:tc>
          <w:tcPr>
            <w:tcW w:w="1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color w:val="auto"/>
                <w:w w:val="98"/>
              </w:rPr>
              <w:t>2.4</w:t>
            </w:r>
          </w:p>
        </w:tc>
        <w:tc>
          <w:tcPr>
            <w:tcW w:w="176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Dry</w:t>
            </w:r>
          </w:p>
        </w:tc>
        <w:tc>
          <w:tcPr>
            <w:tcW w:w="1600" w:type="dxa"/>
            <w:vAlign w:val="bottom"/>
            <w:tcBorders>
              <w:bottom w:val="single" w:sz="8" w:color="auto"/>
            </w:tcBorders>
          </w:tcPr>
          <w:p>
            <w:pPr>
              <w:jc w:val="right"/>
              <w:ind w:right="564"/>
              <w:spacing w:after="0" w:line="193" w:lineRule="exact"/>
              <w:rPr>
                <w:sz w:val="20"/>
                <w:szCs w:val="20"/>
                <w:color w:val="auto"/>
              </w:rPr>
            </w:pPr>
            <w:r>
              <w:rPr>
                <w:rFonts w:ascii="Calibri" w:cs="Calibri" w:eastAsia="Calibri" w:hAnsi="Calibri"/>
                <w:sz w:val="16"/>
                <w:szCs w:val="16"/>
                <w:color w:val="auto"/>
              </w:rPr>
              <w:t>2001</w:t>
            </w:r>
          </w:p>
        </w:tc>
        <w:tc>
          <w:tcPr>
            <w:tcW w:w="1780" w:type="dxa"/>
            <w:vAlign w:val="bottom"/>
            <w:tcBorders>
              <w:bottom w:val="single" w:sz="8" w:color="auto"/>
            </w:tcBorders>
          </w:tcPr>
          <w:p>
            <w:pPr>
              <w:jc w:val="right"/>
              <w:ind w:right="66"/>
              <w:spacing w:after="0" w:line="193" w:lineRule="exact"/>
              <w:rPr>
                <w:sz w:val="20"/>
                <w:szCs w:val="20"/>
                <w:color w:val="auto"/>
              </w:rPr>
            </w:pPr>
            <w:r>
              <w:rPr>
                <w:rFonts w:ascii="Calibri" w:cs="Calibri" w:eastAsia="Calibri" w:hAnsi="Calibri"/>
                <w:sz w:val="16"/>
                <w:szCs w:val="16"/>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-149225</wp:posOffset>
            </wp:positionV>
            <wp:extent cx="34290"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-149225</wp:posOffset>
            </wp:positionV>
            <wp:extent cx="33655"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-149225</wp:posOffset>
            </wp:positionV>
            <wp:extent cx="3429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16256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Reserves identfed with the facility shown above are contained on approximately 1,400 acres of land owned by the Company. As of December 31, 2024, the Company estmated its total proven and probable limestone reserves on such land to be approximately 215 million tons, which are included in the Summary Mineral Reserves table.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cement manufacturing facility includes kilns, crushers, pre-heaters/calciners, coolers, fnish mills and other equipment used to process limestone and other raw materials into cement, as well as equipment used to extract and transport the limestone from the adjacent quarries. This cement manufacturing facility is served by rail and truck.</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2024, the Company also operated, directly or through third partes, 2 cement distributon terminals.</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Magnesia Specialtes Business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currently operates major manufacturing facilites in Manistee, Michigan, and Woodville, Ohio. Both of these facilites are owned.</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Other Propertes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principal corporate ofce, which it leases, is located in Raleigh, North Carolina. The Company owns and leases various administratve ofces for its fve operatng business segments.</w:t>
      </w:r>
    </w:p>
    <w:p>
      <w:pPr>
        <w:spacing w:after="0" w:line="18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Conditon and Utlizaton</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principal propertes, which are of varying ages and constructon types, are believed to be generally in good conditon, are generally well maintained, and are generally suitable and adequate for the purposes for which they are used.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2024, the principal propertes of the aggregates operatons were believed to be utlized at average productve capacites of approximately 71% and were capable of supportng a higher level of market demand. The Company adjusts its producton schedules to meet volume demand for its products.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2024, the Midlothian, Texas cement kiln operated on average at 72% utlizaton. The cement business’ leadership, in collaboraton with the aggregates and ready mixed concrete teams, has developed strategic plans regarding inter-plant efciencies, as well as tactcal plans addressing plant utlizaton and efciency.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Magnesia Specialtes business expects future organic proft growth to result from increased pricing, commercializaton of new products, entry into new or adjacent markets and optmizaton of overall product mix. Any unplanned change in costs or customers introduces volatlity to the earnings of the Magnesia Specialtes segment. The dolomitc lime business of the Magnesia Specialtes segment operated at 73% utlizaton in 2024.</w:t>
      </w:r>
    </w:p>
    <w:p>
      <w:pPr>
        <w:spacing w:after="0" w:line="12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3"/>
          <w:szCs w:val="23"/>
          <w:color w:val="0070C0"/>
        </w:rPr>
        <w:t xml:space="preserve">♦ </w:t>
      </w:r>
      <w:r>
        <w:rPr>
          <w:rFonts w:ascii="Calibri" w:cs="Calibri" w:eastAsia="Calibri" w:hAnsi="Calibri"/>
          <w:sz w:val="17"/>
          <w:szCs w:val="17"/>
          <w:color w:val="000000"/>
        </w:rPr>
        <w:t>Informaton About Our Executve Ofcers</w:t>
      </w:r>
    </w:p>
    <w:p>
      <w:pPr>
        <w:spacing w:after="0" w:line="22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3 – LEGAL PROCEEDINGS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claims of various types are asserted against the Company arising out of its operatons in the normal course of business, including claims relatng to land use and permits, safety, health, and environmental maters (such as noise abatement, blastng, vibratons, air emissions and water discharges). Such maters are subject to many uncertaintes, and it is not possible to determine the probable outcome of, or the amount of liability, if any, from these maters. In the opinion of management of the Company (which opinion is based in part upon consideraton of the opinion of counsel), based upon currently-available facts, it is remote that the ultmate outcome of any litgaton and other proceedings will have a material adverse efect on the overall results of the Company's operatons, its cash fows or its fnancial conditon. However, management cannot assure that an adverse outcome in any of such litgaton would not have a material adverse efect on the Company or its operatng segments.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was not required to pay any penaltes in 2024 for failure to disclose certain “reportable transactons” under Secton 6707A of the Internal Revenue Code.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See also </w:t>
      </w:r>
      <w:r>
        <w:rPr>
          <w:rFonts w:ascii="Calibri" w:cs="Calibri" w:eastAsia="Calibri" w:hAnsi="Calibri"/>
          <w:sz w:val="18"/>
          <w:szCs w:val="18"/>
          <w:u w:val="single" w:color="auto"/>
          <w:color w:val="007DC6"/>
        </w:rPr>
        <w:t>Note N: Commitments and Contngencies</w:t>
      </w:r>
      <w:r>
        <w:rPr>
          <w:rFonts w:ascii="Calibri" w:cs="Calibri" w:eastAsia="Calibri" w:hAnsi="Calibri"/>
          <w:sz w:val="18"/>
          <w:szCs w:val="18"/>
          <w:color w:val="auto"/>
        </w:rPr>
        <w:t xml:space="preserve"> of the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auto"/>
        </w:rPr>
        <w:t xml:space="preserve"> of the Company’s consolidated fnancial statements included under </w:t>
      </w:r>
      <w:r>
        <w:rPr>
          <w:rFonts w:ascii="Calibri" w:cs="Calibri" w:eastAsia="Calibri" w:hAnsi="Calibri"/>
          <w:sz w:val="18"/>
          <w:szCs w:val="18"/>
          <w:u w:val="single" w:color="auto"/>
          <w:color w:val="007DC6"/>
        </w:rPr>
        <w:t>Item 8, Financial Statements and Supplemental Data</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and the</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Environmental Regulaton and Litgaton</w:t>
      </w:r>
      <w:r>
        <w:rPr>
          <w:rFonts w:ascii="Calibri" w:cs="Calibri" w:eastAsia="Calibri" w:hAnsi="Calibri"/>
          <w:sz w:val="18"/>
          <w:szCs w:val="18"/>
          <w:color w:val="007DC6"/>
        </w:rPr>
        <w:t xml:space="preserve"> </w:t>
      </w:r>
      <w:r>
        <w:rPr>
          <w:rFonts w:ascii="Calibri" w:cs="Calibri" w:eastAsia="Calibri" w:hAnsi="Calibri"/>
          <w:sz w:val="18"/>
          <w:szCs w:val="18"/>
          <w:color w:val="000000"/>
        </w:rPr>
        <w:t>secton included under</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7,</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Management’s Discussion and Analysis of Financial Conditon 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-292100</wp:posOffset>
            </wp:positionV>
            <wp:extent cx="36023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02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253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253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39643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96430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4 – MINE SAFETY DISCLOSURES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informaton concerning mine safety violatons or other regulatory maters required by Secton 1503(a) of the Dodd-Frank Wall Street Reform and Consumer Protecton Act and Item 104 of Regulaton S-K (17 CFR 229.104) is included in </w:t>
      </w:r>
      <w:r>
        <w:rPr>
          <w:rFonts w:ascii="Calibri" w:cs="Calibri" w:eastAsia="Calibri" w:hAnsi="Calibri"/>
          <w:sz w:val="18"/>
          <w:szCs w:val="18"/>
          <w:u w:val="single" w:color="auto"/>
          <w:color w:val="0563C1"/>
        </w:rPr>
        <w:t>Exhibit 95</w:t>
      </w:r>
      <w:r>
        <w:rPr>
          <w:rFonts w:ascii="Calibri" w:cs="Calibri" w:eastAsia="Calibri" w:hAnsi="Calibri"/>
          <w:sz w:val="18"/>
          <w:szCs w:val="18"/>
          <w:color w:val="auto"/>
        </w:rPr>
        <w:t xml:space="preserve">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-18415</wp:posOffset>
            </wp:positionV>
            <wp:extent cx="4464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640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Informaton about our Executve Ofcers</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sets forth certain informaton regarding the executve ofcers of Martn Marieta as of February 21, 2025:</w:t>
      </w:r>
    </w:p>
    <w:p>
      <w:pPr>
        <w:spacing w:after="0" w:line="120"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1920" w:type="dxa"/>
            <w:vAlign w:val="bottom"/>
            <w:tcBorders>
              <w:right w:val="single" w:sz="8" w:color="007CBA"/>
            </w:tcBorders>
            <w:shd w:val="clear" w:color="auto" w:fill="007CBA"/>
          </w:tcPr>
          <w:p>
            <w:pPr>
              <w:spacing w:after="0"/>
              <w:rPr>
                <w:sz w:val="16"/>
                <w:szCs w:val="16"/>
                <w:color w:val="auto"/>
              </w:rPr>
            </w:pPr>
          </w:p>
        </w:tc>
        <w:tc>
          <w:tcPr>
            <w:tcW w:w="560" w:type="dxa"/>
            <w:vAlign w:val="bottom"/>
            <w:tcBorders>
              <w:right w:val="single" w:sz="8" w:color="007CBA"/>
            </w:tcBorders>
            <w:shd w:val="clear" w:color="auto" w:fill="007CBA"/>
          </w:tcPr>
          <w:p>
            <w:pPr>
              <w:spacing w:after="0"/>
              <w:rPr>
                <w:sz w:val="16"/>
                <w:szCs w:val="16"/>
                <w:color w:val="auto"/>
              </w:rPr>
            </w:pPr>
          </w:p>
        </w:tc>
        <w:tc>
          <w:tcPr>
            <w:tcW w:w="2700" w:type="dxa"/>
            <w:vAlign w:val="bottom"/>
            <w:tcBorders>
              <w:right w:val="single" w:sz="8" w:color="007CBA"/>
            </w:tcBorders>
            <w:shd w:val="clear" w:color="auto" w:fill="007CBA"/>
          </w:tcPr>
          <w:p>
            <w:pPr>
              <w:spacing w:after="0"/>
              <w:rPr>
                <w:sz w:val="16"/>
                <w:szCs w:val="16"/>
                <w:color w:val="auto"/>
              </w:rPr>
            </w:pPr>
          </w:p>
        </w:tc>
        <w:tc>
          <w:tcPr>
            <w:tcW w:w="1460" w:type="dxa"/>
            <w:vAlign w:val="bottom"/>
            <w:tcBorders>
              <w:right w:val="single" w:sz="8" w:color="007CBA"/>
            </w:tcBorders>
            <w:shd w:val="clear" w:color="auto" w:fill="007CBA"/>
          </w:tcPr>
          <w:p>
            <w:pPr>
              <w:jc w:val="center"/>
              <w:spacing w:after="0"/>
              <w:rPr>
                <w:sz w:val="20"/>
                <w:szCs w:val="20"/>
                <w:color w:val="auto"/>
              </w:rPr>
            </w:pPr>
            <w:r>
              <w:rPr>
                <w:rFonts w:ascii="Calibri" w:cs="Calibri" w:eastAsia="Calibri" w:hAnsi="Calibri"/>
                <w:sz w:val="16"/>
                <w:szCs w:val="16"/>
                <w:b w:val="1"/>
                <w:bCs w:val="1"/>
                <w:color w:val="FFFFFF"/>
                <w:w w:val="99"/>
              </w:rPr>
              <w:t>Year Assumed</w:t>
            </w:r>
          </w:p>
        </w:tc>
        <w:tc>
          <w:tcPr>
            <w:tcW w:w="4460" w:type="dxa"/>
            <w:vAlign w:val="bottom"/>
            <w:shd w:val="clear" w:color="auto" w:fill="007CBA"/>
          </w:tcPr>
          <w:p>
            <w:pPr>
              <w:ind w:left="1040"/>
              <w:spacing w:after="0"/>
              <w:rPr>
                <w:sz w:val="20"/>
                <w:szCs w:val="20"/>
                <w:color w:val="auto"/>
              </w:rPr>
            </w:pPr>
            <w:r>
              <w:rPr>
                <w:rFonts w:ascii="Calibri" w:cs="Calibri" w:eastAsia="Calibri" w:hAnsi="Calibri"/>
                <w:sz w:val="16"/>
                <w:szCs w:val="16"/>
                <w:b w:val="1"/>
                <w:bCs w:val="1"/>
                <w:color w:val="FFFFFF"/>
              </w:rPr>
              <w:t>Other Positons and Other Business</w:t>
            </w:r>
          </w:p>
        </w:tc>
      </w:tr>
      <w:tr>
        <w:trPr>
          <w:trHeight w:val="201"/>
        </w:trPr>
        <w:tc>
          <w:tcPr>
            <w:tcW w:w="1920" w:type="dxa"/>
            <w:vAlign w:val="bottom"/>
            <w:tcBorders>
              <w:bottom w:val="single" w:sz="8" w:color="007CBA"/>
              <w:right w:val="single" w:sz="8" w:color="007CBA"/>
            </w:tcBorders>
            <w:shd w:val="clear" w:color="auto" w:fill="007CBA"/>
          </w:tcPr>
          <w:p>
            <w:pPr>
              <w:ind w:left="800"/>
              <w:spacing w:after="0" w:line="193" w:lineRule="exact"/>
              <w:rPr>
                <w:sz w:val="20"/>
                <w:szCs w:val="20"/>
                <w:color w:val="auto"/>
              </w:rPr>
            </w:pPr>
            <w:r>
              <w:rPr>
                <w:rFonts w:ascii="Calibri" w:cs="Calibri" w:eastAsia="Calibri" w:hAnsi="Calibri"/>
                <w:sz w:val="16"/>
                <w:szCs w:val="16"/>
                <w:b w:val="1"/>
                <w:bCs w:val="1"/>
                <w:color w:val="FFFFFF"/>
              </w:rPr>
              <w:t>Name</w:t>
            </w:r>
          </w:p>
        </w:tc>
        <w:tc>
          <w:tcPr>
            <w:tcW w:w="560" w:type="dxa"/>
            <w:vAlign w:val="bottom"/>
            <w:tcBorders>
              <w:bottom w:val="single" w:sz="8" w:color="007CBA"/>
              <w:right w:val="single" w:sz="8" w:color="007CBA"/>
            </w:tcBorders>
            <w:shd w:val="clear" w:color="auto" w:fill="007CBA"/>
          </w:tcPr>
          <w:p>
            <w:pPr>
              <w:jc w:val="center"/>
              <w:spacing w:after="0" w:line="193" w:lineRule="exact"/>
              <w:rPr>
                <w:sz w:val="20"/>
                <w:szCs w:val="20"/>
                <w:color w:val="auto"/>
              </w:rPr>
            </w:pPr>
            <w:r>
              <w:rPr>
                <w:rFonts w:ascii="Calibri" w:cs="Calibri" w:eastAsia="Calibri" w:hAnsi="Calibri"/>
                <w:sz w:val="16"/>
                <w:szCs w:val="16"/>
                <w:b w:val="1"/>
                <w:bCs w:val="1"/>
                <w:color w:val="FFFFFF"/>
              </w:rPr>
              <w:t>Age</w:t>
            </w:r>
          </w:p>
        </w:tc>
        <w:tc>
          <w:tcPr>
            <w:tcW w:w="2700" w:type="dxa"/>
            <w:vAlign w:val="bottom"/>
            <w:tcBorders>
              <w:bottom w:val="single" w:sz="8" w:color="007CBA"/>
              <w:right w:val="single" w:sz="8" w:color="007CBA"/>
            </w:tcBorders>
            <w:shd w:val="clear" w:color="auto" w:fill="007CBA"/>
          </w:tcPr>
          <w:p>
            <w:pPr>
              <w:ind w:left="780"/>
              <w:spacing w:after="0" w:line="193" w:lineRule="exact"/>
              <w:rPr>
                <w:sz w:val="20"/>
                <w:szCs w:val="20"/>
                <w:color w:val="auto"/>
              </w:rPr>
            </w:pPr>
            <w:r>
              <w:rPr>
                <w:rFonts w:ascii="Calibri" w:cs="Calibri" w:eastAsia="Calibri" w:hAnsi="Calibri"/>
                <w:sz w:val="16"/>
                <w:szCs w:val="16"/>
                <w:b w:val="1"/>
                <w:bCs w:val="1"/>
                <w:color w:val="FFFFFF"/>
              </w:rPr>
              <w:t>Present Positon</w:t>
            </w:r>
          </w:p>
        </w:tc>
        <w:tc>
          <w:tcPr>
            <w:tcW w:w="1460" w:type="dxa"/>
            <w:vAlign w:val="bottom"/>
            <w:tcBorders>
              <w:bottom w:val="single" w:sz="8" w:color="007CBA"/>
              <w:right w:val="single" w:sz="8" w:color="007CBA"/>
            </w:tcBorders>
            <w:shd w:val="clear" w:color="auto" w:fill="007CBA"/>
          </w:tcPr>
          <w:p>
            <w:pPr>
              <w:jc w:val="center"/>
              <w:spacing w:after="0" w:line="193" w:lineRule="exact"/>
              <w:rPr>
                <w:sz w:val="20"/>
                <w:szCs w:val="20"/>
                <w:color w:val="auto"/>
              </w:rPr>
            </w:pPr>
            <w:r>
              <w:rPr>
                <w:rFonts w:ascii="Calibri" w:cs="Calibri" w:eastAsia="Calibri" w:hAnsi="Calibri"/>
                <w:sz w:val="16"/>
                <w:szCs w:val="16"/>
                <w:b w:val="1"/>
                <w:bCs w:val="1"/>
                <w:color w:val="FFFFFF"/>
              </w:rPr>
              <w:t>Present Positon</w:t>
            </w:r>
          </w:p>
        </w:tc>
        <w:tc>
          <w:tcPr>
            <w:tcW w:w="4460" w:type="dxa"/>
            <w:vAlign w:val="bottom"/>
            <w:tcBorders>
              <w:bottom w:val="single" w:sz="8" w:color="007CBA"/>
            </w:tcBorders>
            <w:shd w:val="clear" w:color="auto" w:fill="007CBA"/>
          </w:tcPr>
          <w:p>
            <w:pPr>
              <w:ind w:left="960"/>
              <w:spacing w:after="0" w:line="193" w:lineRule="exact"/>
              <w:rPr>
                <w:sz w:val="20"/>
                <w:szCs w:val="20"/>
                <w:color w:val="auto"/>
              </w:rPr>
            </w:pPr>
            <w:r>
              <w:rPr>
                <w:rFonts w:ascii="Calibri" w:cs="Calibri" w:eastAsia="Calibri" w:hAnsi="Calibri"/>
                <w:sz w:val="16"/>
                <w:szCs w:val="16"/>
                <w:b w:val="1"/>
                <w:bCs w:val="1"/>
                <w:color w:val="FFFFFF"/>
              </w:rPr>
              <w:t>Experience Within the Last Five Years</w:t>
            </w:r>
          </w:p>
        </w:tc>
      </w:tr>
      <w:tr>
        <w:trPr>
          <w:trHeight w:val="194"/>
        </w:trPr>
        <w:tc>
          <w:tcPr>
            <w:tcW w:w="1920" w:type="dxa"/>
            <w:vAlign w:val="bottom"/>
            <w:tcBorders>
              <w:right w:val="single" w:sz="8" w:color="007CBA"/>
            </w:tcBorders>
            <w:shd w:val="clear" w:color="auto" w:fill="E5F1F8"/>
          </w:tcPr>
          <w:p>
            <w:pPr>
              <w:ind w:left="80"/>
              <w:spacing w:after="0" w:line="193" w:lineRule="exact"/>
              <w:rPr>
                <w:sz w:val="20"/>
                <w:szCs w:val="20"/>
                <w:color w:val="auto"/>
              </w:rPr>
            </w:pPr>
            <w:r>
              <w:rPr>
                <w:rFonts w:ascii="Calibri" w:cs="Calibri" w:eastAsia="Calibri" w:hAnsi="Calibri"/>
                <w:sz w:val="16"/>
                <w:szCs w:val="16"/>
                <w:color w:val="auto"/>
              </w:rPr>
              <w:t>C. Howard Nye</w:t>
            </w:r>
          </w:p>
        </w:tc>
        <w:tc>
          <w:tcPr>
            <w:tcW w:w="56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62</w:t>
            </w:r>
          </w:p>
        </w:tc>
        <w:tc>
          <w:tcPr>
            <w:tcW w:w="2700" w:type="dxa"/>
            <w:vAlign w:val="bottom"/>
            <w:tcBorders>
              <w:right w:val="single" w:sz="8" w:color="007CBA"/>
            </w:tcBorders>
            <w:shd w:val="clear" w:color="auto" w:fill="E5F1F8"/>
          </w:tcPr>
          <w:p>
            <w:pPr>
              <w:ind w:left="80"/>
              <w:spacing w:after="0" w:line="193" w:lineRule="exact"/>
              <w:rPr>
                <w:sz w:val="20"/>
                <w:szCs w:val="20"/>
                <w:color w:val="auto"/>
              </w:rPr>
            </w:pPr>
            <w:r>
              <w:rPr>
                <w:rFonts w:ascii="Calibri" w:cs="Calibri" w:eastAsia="Calibri" w:hAnsi="Calibri"/>
                <w:sz w:val="16"/>
                <w:szCs w:val="16"/>
                <w:color w:val="auto"/>
              </w:rPr>
              <w:t>Chair of the Board,</w:t>
            </w:r>
          </w:p>
        </w:tc>
        <w:tc>
          <w:tcPr>
            <w:tcW w:w="146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2014</w:t>
            </w:r>
          </w:p>
        </w:tc>
        <w:tc>
          <w:tcPr>
            <w:tcW w:w="4460" w:type="dxa"/>
            <w:vAlign w:val="bottom"/>
            <w:shd w:val="clear" w:color="auto" w:fill="E5F1F8"/>
          </w:tcPr>
          <w:p>
            <w:pPr>
              <w:spacing w:after="0"/>
              <w:rPr>
                <w:sz w:val="16"/>
                <w:szCs w:val="16"/>
                <w:color w:val="auto"/>
              </w:rPr>
            </w:pPr>
          </w:p>
        </w:tc>
      </w:tr>
      <w:tr>
        <w:trPr>
          <w:trHeight w:val="194"/>
        </w:trPr>
        <w:tc>
          <w:tcPr>
            <w:tcW w:w="1920" w:type="dxa"/>
            <w:vAlign w:val="bottom"/>
            <w:tcBorders>
              <w:right w:val="single" w:sz="8" w:color="007CBA"/>
            </w:tcBorders>
            <w:shd w:val="clear" w:color="auto" w:fill="E5F1F8"/>
          </w:tcPr>
          <w:p>
            <w:pPr>
              <w:spacing w:after="0"/>
              <w:rPr>
                <w:sz w:val="16"/>
                <w:szCs w:val="16"/>
                <w:color w:val="auto"/>
              </w:rPr>
            </w:pPr>
          </w:p>
        </w:tc>
        <w:tc>
          <w:tcPr>
            <w:tcW w:w="560" w:type="dxa"/>
            <w:vAlign w:val="bottom"/>
            <w:tcBorders>
              <w:right w:val="single" w:sz="8" w:color="007CBA"/>
            </w:tcBorders>
            <w:shd w:val="clear" w:color="auto" w:fill="E5F1F8"/>
          </w:tcPr>
          <w:p>
            <w:pPr>
              <w:spacing w:after="0"/>
              <w:rPr>
                <w:sz w:val="16"/>
                <w:szCs w:val="16"/>
                <w:color w:val="auto"/>
              </w:rPr>
            </w:pPr>
          </w:p>
        </w:tc>
        <w:tc>
          <w:tcPr>
            <w:tcW w:w="2700" w:type="dxa"/>
            <w:vAlign w:val="bottom"/>
            <w:tcBorders>
              <w:right w:val="single" w:sz="8" w:color="007CBA"/>
            </w:tcBorders>
            <w:shd w:val="clear" w:color="auto" w:fill="E5F1F8"/>
          </w:tcPr>
          <w:p>
            <w:pPr>
              <w:ind w:left="80"/>
              <w:spacing w:after="0" w:line="193" w:lineRule="exact"/>
              <w:rPr>
                <w:sz w:val="20"/>
                <w:szCs w:val="20"/>
                <w:color w:val="auto"/>
              </w:rPr>
            </w:pPr>
            <w:r>
              <w:rPr>
                <w:rFonts w:ascii="Calibri" w:cs="Calibri" w:eastAsia="Calibri" w:hAnsi="Calibri"/>
                <w:sz w:val="16"/>
                <w:szCs w:val="16"/>
                <w:color w:val="auto"/>
              </w:rPr>
              <w:t>Chief Executve Ofcer,</w:t>
            </w:r>
          </w:p>
        </w:tc>
        <w:tc>
          <w:tcPr>
            <w:tcW w:w="146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2010</w:t>
            </w:r>
          </w:p>
        </w:tc>
        <w:tc>
          <w:tcPr>
            <w:tcW w:w="4460" w:type="dxa"/>
            <w:vAlign w:val="bottom"/>
            <w:shd w:val="clear" w:color="auto" w:fill="E5F1F8"/>
          </w:tcPr>
          <w:p>
            <w:pPr>
              <w:spacing w:after="0"/>
              <w:rPr>
                <w:sz w:val="16"/>
                <w:szCs w:val="16"/>
                <w:color w:val="auto"/>
              </w:rPr>
            </w:pPr>
          </w:p>
        </w:tc>
      </w:tr>
      <w:tr>
        <w:trPr>
          <w:trHeight w:val="206"/>
        </w:trPr>
        <w:tc>
          <w:tcPr>
            <w:tcW w:w="1920" w:type="dxa"/>
            <w:vAlign w:val="bottom"/>
            <w:tcBorders>
              <w:right w:val="single" w:sz="8" w:color="007CBA"/>
            </w:tcBorders>
            <w:shd w:val="clear" w:color="auto" w:fill="E5F1F8"/>
          </w:tcPr>
          <w:p>
            <w:pPr>
              <w:spacing w:after="0"/>
              <w:rPr>
                <w:sz w:val="17"/>
                <w:szCs w:val="17"/>
                <w:color w:val="auto"/>
              </w:rPr>
            </w:pPr>
          </w:p>
        </w:tc>
        <w:tc>
          <w:tcPr>
            <w:tcW w:w="560" w:type="dxa"/>
            <w:vAlign w:val="bottom"/>
            <w:tcBorders>
              <w:right w:val="single" w:sz="8" w:color="007CBA"/>
            </w:tcBorders>
            <w:shd w:val="clear" w:color="auto" w:fill="E5F1F8"/>
          </w:tcPr>
          <w:p>
            <w:pPr>
              <w:spacing w:after="0"/>
              <w:rPr>
                <w:sz w:val="17"/>
                <w:szCs w:val="17"/>
                <w:color w:val="auto"/>
              </w:rPr>
            </w:pPr>
          </w:p>
        </w:tc>
        <w:tc>
          <w:tcPr>
            <w:tcW w:w="2700" w:type="dxa"/>
            <w:vAlign w:val="bottom"/>
            <w:tcBorders>
              <w:right w:val="single" w:sz="8" w:color="007CBA"/>
            </w:tcBorders>
            <w:shd w:val="clear" w:color="auto" w:fill="E5F1F8"/>
          </w:tcPr>
          <w:p>
            <w:pPr>
              <w:ind w:left="80"/>
              <w:spacing w:after="0"/>
              <w:rPr>
                <w:sz w:val="20"/>
                <w:szCs w:val="20"/>
                <w:color w:val="auto"/>
              </w:rPr>
            </w:pPr>
            <w:r>
              <w:rPr>
                <w:rFonts w:ascii="Calibri" w:cs="Calibri" w:eastAsia="Calibri" w:hAnsi="Calibri"/>
                <w:sz w:val="16"/>
                <w:szCs w:val="16"/>
                <w:color w:val="auto"/>
              </w:rPr>
              <w:t>President,</w:t>
            </w:r>
          </w:p>
        </w:tc>
        <w:tc>
          <w:tcPr>
            <w:tcW w:w="146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w w:val="98"/>
              </w:rPr>
              <w:t>2006</w:t>
            </w:r>
          </w:p>
        </w:tc>
        <w:tc>
          <w:tcPr>
            <w:tcW w:w="4460" w:type="dxa"/>
            <w:vAlign w:val="bottom"/>
            <w:shd w:val="clear" w:color="auto" w:fill="E5F1F8"/>
          </w:tcPr>
          <w:p>
            <w:pPr>
              <w:spacing w:after="0"/>
              <w:rPr>
                <w:sz w:val="17"/>
                <w:szCs w:val="17"/>
                <w:color w:val="auto"/>
              </w:rPr>
            </w:pPr>
          </w:p>
        </w:tc>
      </w:tr>
      <w:tr>
        <w:trPr>
          <w:trHeight w:val="216"/>
        </w:trPr>
        <w:tc>
          <w:tcPr>
            <w:tcW w:w="1920" w:type="dxa"/>
            <w:vAlign w:val="bottom"/>
            <w:tcBorders>
              <w:right w:val="single" w:sz="8" w:color="007CBA"/>
            </w:tcBorders>
            <w:shd w:val="clear" w:color="auto" w:fill="E5F1F8"/>
          </w:tcPr>
          <w:p>
            <w:pPr>
              <w:spacing w:after="0"/>
              <w:rPr>
                <w:sz w:val="18"/>
                <w:szCs w:val="18"/>
                <w:color w:val="auto"/>
              </w:rPr>
            </w:pPr>
          </w:p>
        </w:tc>
        <w:tc>
          <w:tcPr>
            <w:tcW w:w="560" w:type="dxa"/>
            <w:vAlign w:val="bottom"/>
            <w:tcBorders>
              <w:right w:val="single" w:sz="8" w:color="007CBA"/>
            </w:tcBorders>
            <w:shd w:val="clear" w:color="auto" w:fill="E5F1F8"/>
          </w:tcPr>
          <w:p>
            <w:pPr>
              <w:spacing w:after="0"/>
              <w:rPr>
                <w:sz w:val="18"/>
                <w:szCs w:val="18"/>
                <w:color w:val="auto"/>
              </w:rPr>
            </w:pPr>
          </w:p>
        </w:tc>
        <w:tc>
          <w:tcPr>
            <w:tcW w:w="2700" w:type="dxa"/>
            <w:vAlign w:val="bottom"/>
            <w:tcBorders>
              <w:right w:val="single" w:sz="8" w:color="007CBA"/>
            </w:tcBorders>
            <w:shd w:val="clear" w:color="auto" w:fill="E5F1F8"/>
          </w:tcPr>
          <w:p>
            <w:pPr>
              <w:ind w:left="80"/>
              <w:spacing w:after="0"/>
              <w:rPr>
                <w:sz w:val="20"/>
                <w:szCs w:val="20"/>
                <w:color w:val="auto"/>
              </w:rPr>
            </w:pPr>
            <w:r>
              <w:rPr>
                <w:rFonts w:ascii="Calibri" w:cs="Calibri" w:eastAsia="Calibri" w:hAnsi="Calibri"/>
                <w:sz w:val="16"/>
                <w:szCs w:val="16"/>
                <w:color w:val="auto"/>
              </w:rPr>
              <w:t>President of Aggregates</w:t>
            </w:r>
          </w:p>
        </w:tc>
        <w:tc>
          <w:tcPr>
            <w:tcW w:w="146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w w:val="98"/>
              </w:rPr>
              <w:t>2010</w:t>
            </w:r>
          </w:p>
        </w:tc>
        <w:tc>
          <w:tcPr>
            <w:tcW w:w="4460" w:type="dxa"/>
            <w:vAlign w:val="bottom"/>
            <w:shd w:val="clear" w:color="auto" w:fill="E5F1F8"/>
          </w:tcPr>
          <w:p>
            <w:pPr>
              <w:spacing w:after="0"/>
              <w:rPr>
                <w:sz w:val="18"/>
                <w:szCs w:val="18"/>
                <w:color w:val="auto"/>
              </w:rPr>
            </w:pPr>
          </w:p>
        </w:tc>
      </w:tr>
      <w:tr>
        <w:trPr>
          <w:trHeight w:val="203"/>
        </w:trPr>
        <w:tc>
          <w:tcPr>
            <w:tcW w:w="1920" w:type="dxa"/>
            <w:vAlign w:val="bottom"/>
            <w:tcBorders>
              <w:right w:val="single" w:sz="8" w:color="007CBA"/>
            </w:tcBorders>
            <w:shd w:val="clear" w:color="auto" w:fill="E5F1F8"/>
          </w:tcPr>
          <w:p>
            <w:pPr>
              <w:spacing w:after="0"/>
              <w:rPr>
                <w:sz w:val="17"/>
                <w:szCs w:val="17"/>
                <w:color w:val="auto"/>
              </w:rPr>
            </w:pPr>
          </w:p>
        </w:tc>
        <w:tc>
          <w:tcPr>
            <w:tcW w:w="560" w:type="dxa"/>
            <w:vAlign w:val="bottom"/>
            <w:tcBorders>
              <w:right w:val="single" w:sz="8" w:color="007CBA"/>
            </w:tcBorders>
            <w:shd w:val="clear" w:color="auto" w:fill="E5F1F8"/>
          </w:tcPr>
          <w:p>
            <w:pPr>
              <w:spacing w:after="0"/>
              <w:rPr>
                <w:sz w:val="17"/>
                <w:szCs w:val="17"/>
                <w:color w:val="auto"/>
              </w:rPr>
            </w:pPr>
          </w:p>
        </w:tc>
        <w:tc>
          <w:tcPr>
            <w:tcW w:w="2700" w:type="dxa"/>
            <w:vAlign w:val="bottom"/>
            <w:tcBorders>
              <w:right w:val="single" w:sz="8" w:color="007CBA"/>
            </w:tcBorders>
            <w:shd w:val="clear" w:color="auto" w:fill="E5F1F8"/>
          </w:tcPr>
          <w:p>
            <w:pPr>
              <w:ind w:left="80"/>
              <w:spacing w:after="0"/>
              <w:rPr>
                <w:sz w:val="20"/>
                <w:szCs w:val="20"/>
                <w:color w:val="auto"/>
              </w:rPr>
            </w:pPr>
            <w:r>
              <w:rPr>
                <w:rFonts w:ascii="Calibri" w:cs="Calibri" w:eastAsia="Calibri" w:hAnsi="Calibri"/>
                <w:sz w:val="16"/>
                <w:szCs w:val="16"/>
                <w:color w:val="auto"/>
              </w:rPr>
              <w:t>Business,</w:t>
            </w:r>
          </w:p>
        </w:tc>
        <w:tc>
          <w:tcPr>
            <w:tcW w:w="1460" w:type="dxa"/>
            <w:vAlign w:val="bottom"/>
            <w:tcBorders>
              <w:right w:val="single" w:sz="8" w:color="007CBA"/>
            </w:tcBorders>
            <w:shd w:val="clear" w:color="auto" w:fill="E5F1F8"/>
          </w:tcPr>
          <w:p>
            <w:pPr>
              <w:spacing w:after="0"/>
              <w:rPr>
                <w:sz w:val="17"/>
                <w:szCs w:val="17"/>
                <w:color w:val="auto"/>
              </w:rPr>
            </w:pPr>
          </w:p>
        </w:tc>
        <w:tc>
          <w:tcPr>
            <w:tcW w:w="4460" w:type="dxa"/>
            <w:vAlign w:val="bottom"/>
            <w:shd w:val="clear" w:color="auto" w:fill="E5F1F8"/>
          </w:tcPr>
          <w:p>
            <w:pPr>
              <w:spacing w:after="0"/>
              <w:rPr>
                <w:sz w:val="17"/>
                <w:szCs w:val="17"/>
                <w:color w:val="auto"/>
              </w:rPr>
            </w:pPr>
          </w:p>
        </w:tc>
      </w:tr>
      <w:tr>
        <w:trPr>
          <w:trHeight w:val="203"/>
        </w:trPr>
        <w:tc>
          <w:tcPr>
            <w:tcW w:w="1920" w:type="dxa"/>
            <w:vAlign w:val="bottom"/>
            <w:tcBorders>
              <w:right w:val="single" w:sz="8" w:color="007CBA"/>
            </w:tcBorders>
            <w:shd w:val="clear" w:color="auto" w:fill="E5F1F8"/>
          </w:tcPr>
          <w:p>
            <w:pPr>
              <w:spacing w:after="0"/>
              <w:rPr>
                <w:sz w:val="17"/>
                <w:szCs w:val="17"/>
                <w:color w:val="auto"/>
              </w:rPr>
            </w:pPr>
          </w:p>
        </w:tc>
        <w:tc>
          <w:tcPr>
            <w:tcW w:w="560" w:type="dxa"/>
            <w:vAlign w:val="bottom"/>
            <w:tcBorders>
              <w:right w:val="single" w:sz="8" w:color="007CBA"/>
            </w:tcBorders>
            <w:shd w:val="clear" w:color="auto" w:fill="E5F1F8"/>
          </w:tcPr>
          <w:p>
            <w:pPr>
              <w:spacing w:after="0"/>
              <w:rPr>
                <w:sz w:val="17"/>
                <w:szCs w:val="17"/>
                <w:color w:val="auto"/>
              </w:rPr>
            </w:pPr>
          </w:p>
        </w:tc>
        <w:tc>
          <w:tcPr>
            <w:tcW w:w="2700" w:type="dxa"/>
            <w:vAlign w:val="bottom"/>
            <w:tcBorders>
              <w:right w:val="single" w:sz="8" w:color="007CBA"/>
            </w:tcBorders>
            <w:shd w:val="clear" w:color="auto" w:fill="E5F1F8"/>
          </w:tcPr>
          <w:p>
            <w:pPr>
              <w:ind w:left="80"/>
              <w:spacing w:after="0"/>
              <w:rPr>
                <w:sz w:val="20"/>
                <w:szCs w:val="20"/>
                <w:color w:val="auto"/>
              </w:rPr>
            </w:pPr>
            <w:r>
              <w:rPr>
                <w:rFonts w:ascii="Calibri" w:cs="Calibri" w:eastAsia="Calibri" w:hAnsi="Calibri"/>
                <w:sz w:val="16"/>
                <w:szCs w:val="16"/>
                <w:color w:val="auto"/>
              </w:rPr>
              <w:t>Chair of Magnesia</w:t>
            </w:r>
          </w:p>
        </w:tc>
        <w:tc>
          <w:tcPr>
            <w:tcW w:w="1460" w:type="dxa"/>
            <w:vAlign w:val="bottom"/>
            <w:tcBorders>
              <w:right w:val="single" w:sz="8" w:color="007CBA"/>
            </w:tcBorders>
            <w:shd w:val="clear" w:color="auto" w:fill="E5F1F8"/>
          </w:tcPr>
          <w:p>
            <w:pPr>
              <w:jc w:val="center"/>
              <w:ind w:right="19"/>
              <w:spacing w:after="0"/>
              <w:rPr>
                <w:sz w:val="20"/>
                <w:szCs w:val="20"/>
                <w:color w:val="auto"/>
              </w:rPr>
            </w:pPr>
            <w:r>
              <w:rPr>
                <w:rFonts w:ascii="Calibri" w:cs="Calibri" w:eastAsia="Calibri" w:hAnsi="Calibri"/>
                <w:sz w:val="16"/>
                <w:szCs w:val="16"/>
                <w:color w:val="auto"/>
                <w:w w:val="98"/>
              </w:rPr>
              <w:t>2007</w:t>
            </w:r>
          </w:p>
        </w:tc>
        <w:tc>
          <w:tcPr>
            <w:tcW w:w="4460" w:type="dxa"/>
            <w:vAlign w:val="bottom"/>
            <w:shd w:val="clear" w:color="auto" w:fill="E5F1F8"/>
          </w:tcPr>
          <w:p>
            <w:pPr>
              <w:spacing w:after="0"/>
              <w:rPr>
                <w:sz w:val="17"/>
                <w:szCs w:val="17"/>
                <w:color w:val="auto"/>
              </w:rPr>
            </w:pPr>
          </w:p>
        </w:tc>
      </w:tr>
      <w:tr>
        <w:trPr>
          <w:trHeight w:val="210"/>
        </w:trPr>
        <w:tc>
          <w:tcPr>
            <w:tcW w:w="1920" w:type="dxa"/>
            <w:vAlign w:val="bottom"/>
            <w:tcBorders>
              <w:bottom w:val="single" w:sz="8" w:color="E5F1F8"/>
              <w:right w:val="single" w:sz="8" w:color="007CBA"/>
            </w:tcBorders>
            <w:shd w:val="clear" w:color="auto" w:fill="E5F1F8"/>
          </w:tcPr>
          <w:p>
            <w:pPr>
              <w:spacing w:after="0"/>
              <w:rPr>
                <w:sz w:val="18"/>
                <w:szCs w:val="18"/>
                <w:color w:val="auto"/>
              </w:rPr>
            </w:pPr>
          </w:p>
        </w:tc>
        <w:tc>
          <w:tcPr>
            <w:tcW w:w="560" w:type="dxa"/>
            <w:vAlign w:val="bottom"/>
            <w:tcBorders>
              <w:bottom w:val="single" w:sz="8" w:color="E5F1F8"/>
              <w:right w:val="single" w:sz="8" w:color="007CBA"/>
            </w:tcBorders>
            <w:shd w:val="clear" w:color="auto" w:fill="E5F1F8"/>
          </w:tcPr>
          <w:p>
            <w:pPr>
              <w:spacing w:after="0"/>
              <w:rPr>
                <w:sz w:val="18"/>
                <w:szCs w:val="18"/>
                <w:color w:val="auto"/>
              </w:rPr>
            </w:pPr>
          </w:p>
        </w:tc>
        <w:tc>
          <w:tcPr>
            <w:tcW w:w="2700" w:type="dxa"/>
            <w:vAlign w:val="bottom"/>
            <w:tcBorders>
              <w:bottom w:val="single" w:sz="8" w:color="E5F1F8"/>
              <w:right w:val="single" w:sz="8" w:color="007CBA"/>
            </w:tcBorders>
            <w:shd w:val="clear" w:color="auto" w:fill="E5F1F8"/>
          </w:tcPr>
          <w:p>
            <w:pPr>
              <w:ind w:left="80"/>
              <w:spacing w:after="0"/>
              <w:rPr>
                <w:sz w:val="20"/>
                <w:szCs w:val="20"/>
                <w:color w:val="auto"/>
              </w:rPr>
            </w:pPr>
            <w:r>
              <w:rPr>
                <w:rFonts w:ascii="Calibri" w:cs="Calibri" w:eastAsia="Calibri" w:hAnsi="Calibri"/>
                <w:sz w:val="16"/>
                <w:szCs w:val="16"/>
                <w:color w:val="auto"/>
              </w:rPr>
              <w:t>Specialtes Business</w:t>
            </w:r>
          </w:p>
        </w:tc>
        <w:tc>
          <w:tcPr>
            <w:tcW w:w="1460" w:type="dxa"/>
            <w:vAlign w:val="bottom"/>
            <w:tcBorders>
              <w:bottom w:val="single" w:sz="8" w:color="E5F1F8"/>
              <w:right w:val="single" w:sz="8" w:color="007CBA"/>
            </w:tcBorders>
            <w:shd w:val="clear" w:color="auto" w:fill="E5F1F8"/>
          </w:tcPr>
          <w:p>
            <w:pPr>
              <w:spacing w:after="0"/>
              <w:rPr>
                <w:sz w:val="18"/>
                <w:szCs w:val="18"/>
                <w:color w:val="auto"/>
              </w:rPr>
            </w:pPr>
          </w:p>
        </w:tc>
        <w:tc>
          <w:tcPr>
            <w:tcW w:w="4460" w:type="dxa"/>
            <w:vAlign w:val="bottom"/>
            <w:tcBorders>
              <w:bottom w:val="single" w:sz="8" w:color="E5F1F8"/>
            </w:tcBorders>
            <w:shd w:val="clear" w:color="auto" w:fill="E5F1F8"/>
          </w:tcPr>
          <w:p>
            <w:pPr>
              <w:spacing w:after="0"/>
              <w:rPr>
                <w:sz w:val="18"/>
                <w:szCs w:val="18"/>
                <w:color w:val="auto"/>
              </w:rPr>
            </w:pPr>
          </w:p>
        </w:tc>
      </w:tr>
      <w:tr>
        <w:trPr>
          <w:trHeight w:val="184"/>
        </w:trPr>
        <w:tc>
          <w:tcPr>
            <w:tcW w:w="1920" w:type="dxa"/>
            <w:vAlign w:val="bottom"/>
            <w:tcBorders>
              <w:right w:val="single" w:sz="8" w:color="007CBA"/>
            </w:tcBorders>
          </w:tcPr>
          <w:p>
            <w:pPr>
              <w:ind w:left="80"/>
              <w:spacing w:after="0" w:line="184" w:lineRule="exact"/>
              <w:rPr>
                <w:sz w:val="20"/>
                <w:szCs w:val="20"/>
                <w:color w:val="auto"/>
              </w:rPr>
            </w:pPr>
            <w:r>
              <w:rPr>
                <w:rFonts w:ascii="Calibri" w:cs="Calibri" w:eastAsia="Calibri" w:hAnsi="Calibri"/>
                <w:sz w:val="16"/>
                <w:szCs w:val="16"/>
                <w:color w:val="auto"/>
              </w:rPr>
              <w:t>James A. J. Nickolas</w:t>
            </w:r>
          </w:p>
        </w:tc>
        <w:tc>
          <w:tcPr>
            <w:tcW w:w="560" w:type="dxa"/>
            <w:vAlign w:val="bottom"/>
            <w:tcBorders>
              <w:right w:val="single" w:sz="8" w:color="007CBA"/>
            </w:tcBorders>
          </w:tcPr>
          <w:p>
            <w:pPr>
              <w:jc w:val="center"/>
              <w:spacing w:after="0" w:line="184" w:lineRule="exact"/>
              <w:rPr>
                <w:sz w:val="20"/>
                <w:szCs w:val="20"/>
                <w:color w:val="auto"/>
              </w:rPr>
            </w:pPr>
            <w:r>
              <w:rPr>
                <w:rFonts w:ascii="Calibri" w:cs="Calibri" w:eastAsia="Calibri" w:hAnsi="Calibri"/>
                <w:sz w:val="16"/>
                <w:szCs w:val="16"/>
                <w:color w:val="auto"/>
                <w:w w:val="98"/>
              </w:rPr>
              <w:t>54</w:t>
            </w:r>
          </w:p>
        </w:tc>
        <w:tc>
          <w:tcPr>
            <w:tcW w:w="2700" w:type="dxa"/>
            <w:vAlign w:val="bottom"/>
            <w:tcBorders>
              <w:right w:val="single" w:sz="8" w:color="007CBA"/>
            </w:tcBorders>
          </w:tcPr>
          <w:p>
            <w:pPr>
              <w:ind w:left="80"/>
              <w:spacing w:after="0" w:line="184" w:lineRule="exact"/>
              <w:rPr>
                <w:sz w:val="20"/>
                <w:szCs w:val="20"/>
                <w:color w:val="auto"/>
              </w:rPr>
            </w:pPr>
            <w:r>
              <w:rPr>
                <w:rFonts w:ascii="Calibri" w:cs="Calibri" w:eastAsia="Calibri" w:hAnsi="Calibri"/>
                <w:sz w:val="16"/>
                <w:szCs w:val="16"/>
                <w:color w:val="auto"/>
              </w:rPr>
              <w:t>Executve Vice President,</w:t>
            </w:r>
          </w:p>
        </w:tc>
        <w:tc>
          <w:tcPr>
            <w:tcW w:w="1460" w:type="dxa"/>
            <w:vAlign w:val="bottom"/>
            <w:tcBorders>
              <w:right w:val="single" w:sz="8" w:color="007CBA"/>
            </w:tcBorders>
          </w:tcPr>
          <w:p>
            <w:pPr>
              <w:jc w:val="center"/>
              <w:ind w:right="19"/>
              <w:spacing w:after="0" w:line="184" w:lineRule="exact"/>
              <w:rPr>
                <w:sz w:val="20"/>
                <w:szCs w:val="20"/>
                <w:color w:val="auto"/>
              </w:rPr>
            </w:pPr>
            <w:r>
              <w:rPr>
                <w:rFonts w:ascii="Calibri" w:cs="Calibri" w:eastAsia="Calibri" w:hAnsi="Calibri"/>
                <w:sz w:val="16"/>
                <w:szCs w:val="16"/>
                <w:color w:val="auto"/>
                <w:w w:val="98"/>
              </w:rPr>
              <w:t>2023</w:t>
            </w:r>
          </w:p>
        </w:tc>
        <w:tc>
          <w:tcPr>
            <w:tcW w:w="4460" w:type="dxa"/>
            <w:vAlign w:val="bottom"/>
          </w:tcPr>
          <w:p>
            <w:pPr>
              <w:ind w:left="80"/>
              <w:spacing w:after="0" w:line="184" w:lineRule="exact"/>
              <w:rPr>
                <w:sz w:val="20"/>
                <w:szCs w:val="20"/>
                <w:color w:val="auto"/>
              </w:rPr>
            </w:pPr>
            <w:r>
              <w:rPr>
                <w:rFonts w:ascii="Calibri" w:cs="Calibri" w:eastAsia="Calibri" w:hAnsi="Calibri"/>
                <w:sz w:val="16"/>
                <w:szCs w:val="16"/>
                <w:color w:val="auto"/>
              </w:rPr>
              <w:t>Senior Vice President, Chief Financial Ofcer (2017-2023)</w:t>
            </w:r>
          </w:p>
        </w:tc>
      </w:tr>
      <w:tr>
        <w:trPr>
          <w:trHeight w:val="194"/>
        </w:trPr>
        <w:tc>
          <w:tcPr>
            <w:tcW w:w="1920" w:type="dxa"/>
            <w:vAlign w:val="bottom"/>
            <w:tcBorders>
              <w:right w:val="single" w:sz="8" w:color="007CBA"/>
            </w:tcBorders>
          </w:tcPr>
          <w:p>
            <w:pPr>
              <w:spacing w:after="0"/>
              <w:rPr>
                <w:sz w:val="16"/>
                <w:szCs w:val="16"/>
                <w:color w:val="auto"/>
              </w:rPr>
            </w:pPr>
          </w:p>
        </w:tc>
        <w:tc>
          <w:tcPr>
            <w:tcW w:w="560" w:type="dxa"/>
            <w:vAlign w:val="bottom"/>
            <w:tcBorders>
              <w:right w:val="single" w:sz="8" w:color="007CBA"/>
            </w:tcBorders>
          </w:tcPr>
          <w:p>
            <w:pPr>
              <w:spacing w:after="0"/>
              <w:rPr>
                <w:sz w:val="16"/>
                <w:szCs w:val="16"/>
                <w:color w:val="auto"/>
              </w:rPr>
            </w:pPr>
          </w:p>
        </w:tc>
        <w:tc>
          <w:tcPr>
            <w:tcW w:w="2700" w:type="dxa"/>
            <w:vAlign w:val="bottom"/>
            <w:tcBorders>
              <w:right w:val="single" w:sz="8" w:color="007CBA"/>
            </w:tcBorders>
          </w:tcPr>
          <w:p>
            <w:pPr>
              <w:ind w:left="80"/>
              <w:spacing w:after="0" w:line="193" w:lineRule="exact"/>
              <w:rPr>
                <w:sz w:val="20"/>
                <w:szCs w:val="20"/>
                <w:color w:val="auto"/>
              </w:rPr>
            </w:pPr>
            <w:r>
              <w:rPr>
                <w:rFonts w:ascii="Calibri" w:cs="Calibri" w:eastAsia="Calibri" w:hAnsi="Calibri"/>
                <w:sz w:val="16"/>
                <w:szCs w:val="16"/>
                <w:color w:val="auto"/>
              </w:rPr>
              <w:t>Chief Financial Ofcer</w:t>
            </w:r>
          </w:p>
        </w:tc>
        <w:tc>
          <w:tcPr>
            <w:tcW w:w="1460" w:type="dxa"/>
            <w:vAlign w:val="bottom"/>
            <w:tcBorders>
              <w:right w:val="single" w:sz="8" w:color="007CBA"/>
            </w:tcBorders>
          </w:tcPr>
          <w:p>
            <w:pPr>
              <w:spacing w:after="0"/>
              <w:rPr>
                <w:sz w:val="16"/>
                <w:szCs w:val="16"/>
                <w:color w:val="auto"/>
              </w:rPr>
            </w:pPr>
          </w:p>
        </w:tc>
        <w:tc>
          <w:tcPr>
            <w:tcW w:w="4460" w:type="dxa"/>
            <w:vAlign w:val="bottom"/>
          </w:tcPr>
          <w:p>
            <w:pPr>
              <w:spacing w:after="0"/>
              <w:rPr>
                <w:sz w:val="16"/>
                <w:szCs w:val="16"/>
                <w:color w:val="auto"/>
              </w:rPr>
            </w:pPr>
          </w:p>
        </w:tc>
      </w:tr>
      <w:tr>
        <w:trPr>
          <w:trHeight w:val="28"/>
        </w:trPr>
        <w:tc>
          <w:tcPr>
            <w:tcW w:w="1920" w:type="dxa"/>
            <w:vAlign w:val="bottom"/>
            <w:tcBorders>
              <w:right w:val="single" w:sz="8" w:color="007CBA"/>
            </w:tcBorders>
          </w:tcPr>
          <w:p>
            <w:pPr>
              <w:spacing w:after="0"/>
              <w:rPr>
                <w:sz w:val="2"/>
                <w:szCs w:val="2"/>
                <w:color w:val="auto"/>
              </w:rPr>
            </w:pPr>
          </w:p>
        </w:tc>
        <w:tc>
          <w:tcPr>
            <w:tcW w:w="560" w:type="dxa"/>
            <w:vAlign w:val="bottom"/>
            <w:tcBorders>
              <w:right w:val="single" w:sz="8" w:color="007CBA"/>
            </w:tcBorders>
          </w:tcPr>
          <w:p>
            <w:pPr>
              <w:spacing w:after="0"/>
              <w:rPr>
                <w:sz w:val="2"/>
                <w:szCs w:val="2"/>
                <w:color w:val="auto"/>
              </w:rPr>
            </w:pPr>
          </w:p>
        </w:tc>
        <w:tc>
          <w:tcPr>
            <w:tcW w:w="2700" w:type="dxa"/>
            <w:vAlign w:val="bottom"/>
            <w:tcBorders>
              <w:right w:val="single" w:sz="8" w:color="007CBA"/>
            </w:tcBorders>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c>
          <w:tcPr>
            <w:tcW w:w="4460" w:type="dxa"/>
            <w:vAlign w:val="bottom"/>
          </w:tcPr>
          <w:p>
            <w:pPr>
              <w:spacing w:after="0"/>
              <w:rPr>
                <w:sz w:val="2"/>
                <w:szCs w:val="2"/>
                <w:color w:val="auto"/>
              </w:rPr>
            </w:pPr>
          </w:p>
        </w:tc>
      </w:tr>
      <w:tr>
        <w:trPr>
          <w:trHeight w:val="203"/>
        </w:trPr>
        <w:tc>
          <w:tcPr>
            <w:tcW w:w="1920" w:type="dxa"/>
            <w:vAlign w:val="bottom"/>
            <w:tcBorders>
              <w:right w:val="single" w:sz="8" w:color="007CBA"/>
            </w:tcBorders>
            <w:shd w:val="clear" w:color="auto" w:fill="E5F1F8"/>
          </w:tcPr>
          <w:p>
            <w:pPr>
              <w:ind w:left="80"/>
              <w:spacing w:after="0" w:line="193" w:lineRule="exact"/>
              <w:rPr>
                <w:sz w:val="20"/>
                <w:szCs w:val="20"/>
                <w:color w:val="auto"/>
              </w:rPr>
            </w:pPr>
            <w:r>
              <w:rPr>
                <w:rFonts w:ascii="Calibri" w:cs="Calibri" w:eastAsia="Calibri" w:hAnsi="Calibri"/>
                <w:sz w:val="16"/>
                <w:szCs w:val="16"/>
                <w:color w:val="auto"/>
              </w:rPr>
              <w:t>Roselyn R. Bar</w:t>
            </w:r>
          </w:p>
        </w:tc>
        <w:tc>
          <w:tcPr>
            <w:tcW w:w="56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66</w:t>
            </w:r>
          </w:p>
        </w:tc>
        <w:tc>
          <w:tcPr>
            <w:tcW w:w="2700" w:type="dxa"/>
            <w:vAlign w:val="bottom"/>
            <w:tcBorders>
              <w:right w:val="single" w:sz="8" w:color="007CBA"/>
            </w:tcBorders>
            <w:shd w:val="clear" w:color="auto" w:fill="E5F1F8"/>
          </w:tcPr>
          <w:p>
            <w:pPr>
              <w:ind w:left="80"/>
              <w:spacing w:after="0" w:line="193" w:lineRule="exact"/>
              <w:rPr>
                <w:sz w:val="20"/>
                <w:szCs w:val="20"/>
                <w:color w:val="auto"/>
              </w:rPr>
            </w:pPr>
            <w:r>
              <w:rPr>
                <w:rFonts w:ascii="Calibri" w:cs="Calibri" w:eastAsia="Calibri" w:hAnsi="Calibri"/>
                <w:sz w:val="16"/>
                <w:szCs w:val="16"/>
                <w:color w:val="auto"/>
              </w:rPr>
              <w:t>Executve Vice President</w:t>
            </w:r>
          </w:p>
        </w:tc>
        <w:tc>
          <w:tcPr>
            <w:tcW w:w="146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2015</w:t>
            </w:r>
          </w:p>
        </w:tc>
        <w:tc>
          <w:tcPr>
            <w:tcW w:w="4460" w:type="dxa"/>
            <w:vAlign w:val="bottom"/>
            <w:shd w:val="clear" w:color="auto" w:fill="E5F1F8"/>
          </w:tcPr>
          <w:p>
            <w:pPr>
              <w:ind w:left="80"/>
              <w:spacing w:after="0" w:line="193" w:lineRule="exact"/>
              <w:rPr>
                <w:sz w:val="20"/>
                <w:szCs w:val="20"/>
                <w:color w:val="auto"/>
              </w:rPr>
            </w:pPr>
            <w:r>
              <w:rPr>
                <w:rFonts w:ascii="Calibri" w:cs="Calibri" w:eastAsia="Calibri" w:hAnsi="Calibri"/>
                <w:sz w:val="16"/>
                <w:szCs w:val="16"/>
                <w:color w:val="auto"/>
              </w:rPr>
              <w:t>General Counsel (2001-2024); Corporate Secretary (1997-2024)</w:t>
            </w:r>
          </w:p>
        </w:tc>
      </w:tr>
      <w:tr>
        <w:trPr>
          <w:trHeight w:val="184"/>
        </w:trPr>
        <w:tc>
          <w:tcPr>
            <w:tcW w:w="1920" w:type="dxa"/>
            <w:vAlign w:val="bottom"/>
            <w:tcBorders>
              <w:right w:val="single" w:sz="8" w:color="007CBA"/>
            </w:tcBorders>
          </w:tcPr>
          <w:p>
            <w:pPr>
              <w:ind w:left="100"/>
              <w:spacing w:after="0" w:line="184" w:lineRule="exact"/>
              <w:rPr>
                <w:sz w:val="20"/>
                <w:szCs w:val="20"/>
                <w:color w:val="auto"/>
              </w:rPr>
            </w:pPr>
            <w:r>
              <w:rPr>
                <w:rFonts w:ascii="Calibri" w:cs="Calibri" w:eastAsia="Calibri" w:hAnsi="Calibri"/>
                <w:sz w:val="16"/>
                <w:szCs w:val="16"/>
                <w:color w:val="auto"/>
              </w:rPr>
              <w:t>Donald A. McCunnif</w:t>
            </w:r>
          </w:p>
        </w:tc>
        <w:tc>
          <w:tcPr>
            <w:tcW w:w="560" w:type="dxa"/>
            <w:vAlign w:val="bottom"/>
            <w:tcBorders>
              <w:right w:val="single" w:sz="8" w:color="007CBA"/>
            </w:tcBorders>
          </w:tcPr>
          <w:p>
            <w:pPr>
              <w:jc w:val="center"/>
              <w:spacing w:after="0" w:line="184" w:lineRule="exact"/>
              <w:rPr>
                <w:sz w:val="20"/>
                <w:szCs w:val="20"/>
                <w:color w:val="auto"/>
              </w:rPr>
            </w:pPr>
            <w:r>
              <w:rPr>
                <w:rFonts w:ascii="Calibri" w:cs="Calibri" w:eastAsia="Calibri" w:hAnsi="Calibri"/>
                <w:sz w:val="16"/>
                <w:szCs w:val="16"/>
                <w:color w:val="auto"/>
                <w:w w:val="98"/>
              </w:rPr>
              <w:t>67</w:t>
            </w:r>
          </w:p>
        </w:tc>
        <w:tc>
          <w:tcPr>
            <w:tcW w:w="2700" w:type="dxa"/>
            <w:vAlign w:val="bottom"/>
            <w:tcBorders>
              <w:right w:val="single" w:sz="8" w:color="007CBA"/>
            </w:tcBorders>
          </w:tcPr>
          <w:p>
            <w:pPr>
              <w:ind w:left="80"/>
              <w:spacing w:after="0" w:line="184" w:lineRule="exact"/>
              <w:rPr>
                <w:sz w:val="20"/>
                <w:szCs w:val="20"/>
                <w:color w:val="auto"/>
              </w:rPr>
            </w:pPr>
            <w:r>
              <w:rPr>
                <w:rFonts w:ascii="Calibri" w:cs="Calibri" w:eastAsia="Calibri" w:hAnsi="Calibri"/>
                <w:sz w:val="16"/>
                <w:szCs w:val="16"/>
                <w:color w:val="auto"/>
              </w:rPr>
              <w:t>Executve Vice President,</w:t>
            </w:r>
          </w:p>
        </w:tc>
        <w:tc>
          <w:tcPr>
            <w:tcW w:w="1460" w:type="dxa"/>
            <w:vAlign w:val="bottom"/>
            <w:tcBorders>
              <w:right w:val="single" w:sz="8" w:color="007CBA"/>
            </w:tcBorders>
          </w:tcPr>
          <w:p>
            <w:pPr>
              <w:jc w:val="center"/>
              <w:spacing w:after="0" w:line="184" w:lineRule="exact"/>
              <w:rPr>
                <w:sz w:val="20"/>
                <w:szCs w:val="20"/>
                <w:color w:val="auto"/>
              </w:rPr>
            </w:pPr>
            <w:r>
              <w:rPr>
                <w:rFonts w:ascii="Calibri" w:cs="Calibri" w:eastAsia="Calibri" w:hAnsi="Calibri"/>
                <w:sz w:val="16"/>
                <w:szCs w:val="16"/>
                <w:color w:val="auto"/>
                <w:w w:val="98"/>
              </w:rPr>
              <w:t>2024</w:t>
            </w:r>
          </w:p>
        </w:tc>
        <w:tc>
          <w:tcPr>
            <w:tcW w:w="4460" w:type="dxa"/>
            <w:vAlign w:val="bottom"/>
          </w:tcPr>
          <w:p>
            <w:pPr>
              <w:spacing w:after="0"/>
              <w:rPr>
                <w:sz w:val="16"/>
                <w:szCs w:val="16"/>
                <w:color w:val="auto"/>
              </w:rPr>
            </w:pPr>
          </w:p>
        </w:tc>
      </w:tr>
      <w:tr>
        <w:trPr>
          <w:trHeight w:val="194"/>
        </w:trPr>
        <w:tc>
          <w:tcPr>
            <w:tcW w:w="1920" w:type="dxa"/>
            <w:vAlign w:val="bottom"/>
            <w:tcBorders>
              <w:right w:val="single" w:sz="8" w:color="007CBA"/>
            </w:tcBorders>
          </w:tcPr>
          <w:p>
            <w:pPr>
              <w:spacing w:after="0"/>
              <w:rPr>
                <w:sz w:val="16"/>
                <w:szCs w:val="16"/>
                <w:color w:val="auto"/>
              </w:rPr>
            </w:pPr>
          </w:p>
        </w:tc>
        <w:tc>
          <w:tcPr>
            <w:tcW w:w="560" w:type="dxa"/>
            <w:vAlign w:val="bottom"/>
            <w:tcBorders>
              <w:right w:val="single" w:sz="8" w:color="007CBA"/>
            </w:tcBorders>
          </w:tcPr>
          <w:p>
            <w:pPr>
              <w:spacing w:after="0"/>
              <w:rPr>
                <w:sz w:val="16"/>
                <w:szCs w:val="16"/>
                <w:color w:val="auto"/>
              </w:rPr>
            </w:pPr>
          </w:p>
        </w:tc>
        <w:tc>
          <w:tcPr>
            <w:tcW w:w="2700" w:type="dxa"/>
            <w:vAlign w:val="bottom"/>
            <w:tcBorders>
              <w:right w:val="single" w:sz="8" w:color="007CBA"/>
            </w:tcBorders>
          </w:tcPr>
          <w:p>
            <w:pPr>
              <w:ind w:left="80"/>
              <w:spacing w:after="0" w:line="193" w:lineRule="exact"/>
              <w:rPr>
                <w:sz w:val="20"/>
                <w:szCs w:val="20"/>
                <w:color w:val="auto"/>
              </w:rPr>
            </w:pPr>
            <w:r>
              <w:rPr>
                <w:rFonts w:ascii="Calibri" w:cs="Calibri" w:eastAsia="Calibri" w:hAnsi="Calibri"/>
                <w:sz w:val="16"/>
                <w:szCs w:val="16"/>
                <w:color w:val="auto"/>
              </w:rPr>
              <w:t>Chief Human Resources Ofcer</w:t>
            </w:r>
          </w:p>
        </w:tc>
        <w:tc>
          <w:tcPr>
            <w:tcW w:w="1460" w:type="dxa"/>
            <w:vAlign w:val="bottom"/>
            <w:tcBorders>
              <w:right w:val="single" w:sz="8" w:color="007CBA"/>
            </w:tcBorders>
          </w:tcPr>
          <w:p>
            <w:pPr>
              <w:spacing w:after="0"/>
              <w:rPr>
                <w:sz w:val="16"/>
                <w:szCs w:val="16"/>
                <w:color w:val="auto"/>
              </w:rPr>
            </w:pPr>
          </w:p>
        </w:tc>
        <w:tc>
          <w:tcPr>
            <w:tcW w:w="4460" w:type="dxa"/>
            <w:vAlign w:val="bottom"/>
          </w:tcPr>
          <w:p>
            <w:pPr>
              <w:spacing w:after="0"/>
              <w:rPr>
                <w:sz w:val="16"/>
                <w:szCs w:val="16"/>
                <w:color w:val="auto"/>
              </w:rPr>
            </w:pPr>
          </w:p>
        </w:tc>
      </w:tr>
      <w:tr>
        <w:trPr>
          <w:trHeight w:val="28"/>
        </w:trPr>
        <w:tc>
          <w:tcPr>
            <w:tcW w:w="1920" w:type="dxa"/>
            <w:vAlign w:val="bottom"/>
            <w:tcBorders>
              <w:right w:val="single" w:sz="8" w:color="007CBA"/>
            </w:tcBorders>
          </w:tcPr>
          <w:p>
            <w:pPr>
              <w:spacing w:after="0"/>
              <w:rPr>
                <w:sz w:val="2"/>
                <w:szCs w:val="2"/>
                <w:color w:val="auto"/>
              </w:rPr>
            </w:pPr>
          </w:p>
        </w:tc>
        <w:tc>
          <w:tcPr>
            <w:tcW w:w="560" w:type="dxa"/>
            <w:vAlign w:val="bottom"/>
            <w:tcBorders>
              <w:right w:val="single" w:sz="8" w:color="007CBA"/>
            </w:tcBorders>
          </w:tcPr>
          <w:p>
            <w:pPr>
              <w:spacing w:after="0"/>
              <w:rPr>
                <w:sz w:val="2"/>
                <w:szCs w:val="2"/>
                <w:color w:val="auto"/>
              </w:rPr>
            </w:pPr>
          </w:p>
        </w:tc>
        <w:tc>
          <w:tcPr>
            <w:tcW w:w="2700" w:type="dxa"/>
            <w:vAlign w:val="bottom"/>
            <w:tcBorders>
              <w:right w:val="single" w:sz="8" w:color="007CBA"/>
            </w:tcBorders>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c>
          <w:tcPr>
            <w:tcW w:w="4460" w:type="dxa"/>
            <w:vAlign w:val="bottom"/>
          </w:tcPr>
          <w:p>
            <w:pPr>
              <w:spacing w:after="0"/>
              <w:rPr>
                <w:sz w:val="2"/>
                <w:szCs w:val="2"/>
                <w:color w:val="auto"/>
              </w:rPr>
            </w:pPr>
          </w:p>
        </w:tc>
      </w:tr>
      <w:tr>
        <w:trPr>
          <w:trHeight w:val="184"/>
        </w:trPr>
        <w:tc>
          <w:tcPr>
            <w:tcW w:w="1920" w:type="dxa"/>
            <w:vAlign w:val="bottom"/>
            <w:tcBorders>
              <w:right w:val="single" w:sz="8" w:color="007CBA"/>
            </w:tcBorders>
            <w:shd w:val="clear" w:color="auto" w:fill="E5F1F8"/>
          </w:tcPr>
          <w:p>
            <w:pPr>
              <w:ind w:left="100"/>
              <w:spacing w:after="0" w:line="184" w:lineRule="exact"/>
              <w:rPr>
                <w:sz w:val="20"/>
                <w:szCs w:val="20"/>
                <w:color w:val="auto"/>
              </w:rPr>
            </w:pPr>
            <w:r>
              <w:rPr>
                <w:rFonts w:ascii="Calibri" w:cs="Calibri" w:eastAsia="Calibri" w:hAnsi="Calibri"/>
                <w:sz w:val="16"/>
                <w:szCs w:val="16"/>
                <w:color w:val="auto"/>
              </w:rPr>
              <w:t>Oliver W. Brooks</w:t>
            </w:r>
          </w:p>
        </w:tc>
        <w:tc>
          <w:tcPr>
            <w:tcW w:w="560" w:type="dxa"/>
            <w:vAlign w:val="bottom"/>
            <w:tcBorders>
              <w:right w:val="single" w:sz="8" w:color="007CBA"/>
            </w:tcBorders>
            <w:shd w:val="clear" w:color="auto" w:fill="E5F1F8"/>
          </w:tcPr>
          <w:p>
            <w:pPr>
              <w:jc w:val="center"/>
              <w:spacing w:after="0" w:line="184" w:lineRule="exact"/>
              <w:rPr>
                <w:sz w:val="20"/>
                <w:szCs w:val="20"/>
                <w:color w:val="auto"/>
              </w:rPr>
            </w:pPr>
            <w:r>
              <w:rPr>
                <w:rFonts w:ascii="Calibri" w:cs="Calibri" w:eastAsia="Calibri" w:hAnsi="Calibri"/>
                <w:sz w:val="16"/>
                <w:szCs w:val="16"/>
                <w:color w:val="auto"/>
                <w:w w:val="98"/>
              </w:rPr>
              <w:t>39</w:t>
            </w:r>
          </w:p>
        </w:tc>
        <w:tc>
          <w:tcPr>
            <w:tcW w:w="2700" w:type="dxa"/>
            <w:vAlign w:val="bottom"/>
            <w:tcBorders>
              <w:right w:val="single" w:sz="8" w:color="007CBA"/>
            </w:tcBorders>
            <w:shd w:val="clear" w:color="auto" w:fill="E5F1F8"/>
          </w:tcPr>
          <w:p>
            <w:pPr>
              <w:ind w:left="80"/>
              <w:spacing w:after="0" w:line="184" w:lineRule="exact"/>
              <w:rPr>
                <w:sz w:val="20"/>
                <w:szCs w:val="20"/>
                <w:color w:val="auto"/>
              </w:rPr>
            </w:pPr>
            <w:r>
              <w:rPr>
                <w:rFonts w:ascii="Calibri" w:cs="Calibri" w:eastAsia="Calibri" w:hAnsi="Calibri"/>
                <w:sz w:val="16"/>
                <w:szCs w:val="16"/>
                <w:color w:val="auto"/>
              </w:rPr>
              <w:t>Senior Vice President,</w:t>
            </w:r>
          </w:p>
        </w:tc>
        <w:tc>
          <w:tcPr>
            <w:tcW w:w="1460" w:type="dxa"/>
            <w:vAlign w:val="bottom"/>
            <w:tcBorders>
              <w:right w:val="single" w:sz="8" w:color="007CBA"/>
            </w:tcBorders>
            <w:shd w:val="clear" w:color="auto" w:fill="E5F1F8"/>
          </w:tcPr>
          <w:p>
            <w:pPr>
              <w:jc w:val="center"/>
              <w:spacing w:after="0" w:line="184" w:lineRule="exact"/>
              <w:rPr>
                <w:sz w:val="20"/>
                <w:szCs w:val="20"/>
                <w:color w:val="auto"/>
              </w:rPr>
            </w:pPr>
            <w:r>
              <w:rPr>
                <w:rFonts w:ascii="Calibri" w:cs="Calibri" w:eastAsia="Calibri" w:hAnsi="Calibri"/>
                <w:sz w:val="16"/>
                <w:szCs w:val="16"/>
                <w:color w:val="auto"/>
                <w:w w:val="98"/>
              </w:rPr>
              <w:t>2022</w:t>
            </w:r>
          </w:p>
        </w:tc>
        <w:tc>
          <w:tcPr>
            <w:tcW w:w="4460" w:type="dxa"/>
            <w:vAlign w:val="bottom"/>
            <w:shd w:val="clear" w:color="auto" w:fill="E5F1F8"/>
          </w:tcPr>
          <w:p>
            <w:pPr>
              <w:ind w:left="80"/>
              <w:spacing w:after="0" w:line="184" w:lineRule="exact"/>
              <w:rPr>
                <w:sz w:val="20"/>
                <w:szCs w:val="20"/>
                <w:color w:val="auto"/>
              </w:rPr>
            </w:pPr>
            <w:r>
              <w:rPr>
                <w:rFonts w:ascii="Calibri" w:cs="Calibri" w:eastAsia="Calibri" w:hAnsi="Calibri"/>
                <w:sz w:val="16"/>
                <w:szCs w:val="16"/>
                <w:color w:val="auto"/>
              </w:rPr>
              <w:t>Vice President, Strategic Planning for Southwest Division (2020-</w:t>
            </w:r>
          </w:p>
        </w:tc>
      </w:tr>
      <w:tr>
        <w:trPr>
          <w:trHeight w:val="194"/>
        </w:trPr>
        <w:tc>
          <w:tcPr>
            <w:tcW w:w="1920" w:type="dxa"/>
            <w:vAlign w:val="bottom"/>
            <w:tcBorders>
              <w:right w:val="single" w:sz="8" w:color="007CBA"/>
            </w:tcBorders>
            <w:shd w:val="clear" w:color="auto" w:fill="E5F1F8"/>
          </w:tcPr>
          <w:p>
            <w:pPr>
              <w:spacing w:after="0"/>
              <w:rPr>
                <w:sz w:val="16"/>
                <w:szCs w:val="16"/>
                <w:color w:val="auto"/>
              </w:rPr>
            </w:pPr>
          </w:p>
        </w:tc>
        <w:tc>
          <w:tcPr>
            <w:tcW w:w="560" w:type="dxa"/>
            <w:vAlign w:val="bottom"/>
            <w:tcBorders>
              <w:right w:val="single" w:sz="8" w:color="007CBA"/>
            </w:tcBorders>
            <w:shd w:val="clear" w:color="auto" w:fill="E5F1F8"/>
          </w:tcPr>
          <w:p>
            <w:pPr>
              <w:spacing w:after="0"/>
              <w:rPr>
                <w:sz w:val="16"/>
                <w:szCs w:val="16"/>
                <w:color w:val="auto"/>
              </w:rPr>
            </w:pPr>
          </w:p>
        </w:tc>
        <w:tc>
          <w:tcPr>
            <w:tcW w:w="2700" w:type="dxa"/>
            <w:vAlign w:val="bottom"/>
            <w:tcBorders>
              <w:right w:val="single" w:sz="8" w:color="007CBA"/>
            </w:tcBorders>
            <w:shd w:val="clear" w:color="auto" w:fill="E5F1F8"/>
          </w:tcPr>
          <w:p>
            <w:pPr>
              <w:ind w:left="80"/>
              <w:spacing w:after="0" w:line="193" w:lineRule="exact"/>
              <w:rPr>
                <w:sz w:val="20"/>
                <w:szCs w:val="20"/>
                <w:color w:val="auto"/>
              </w:rPr>
            </w:pPr>
            <w:r>
              <w:rPr>
                <w:rFonts w:ascii="Calibri" w:cs="Calibri" w:eastAsia="Calibri" w:hAnsi="Calibri"/>
                <w:sz w:val="16"/>
                <w:szCs w:val="16"/>
                <w:color w:val="auto"/>
              </w:rPr>
              <w:t>Enterprise Excellence</w:t>
            </w:r>
          </w:p>
        </w:tc>
        <w:tc>
          <w:tcPr>
            <w:tcW w:w="1460" w:type="dxa"/>
            <w:vAlign w:val="bottom"/>
            <w:tcBorders>
              <w:right w:val="single" w:sz="8" w:color="007CBA"/>
            </w:tcBorders>
            <w:shd w:val="clear" w:color="auto" w:fill="E5F1F8"/>
          </w:tcPr>
          <w:p>
            <w:pPr>
              <w:spacing w:after="0"/>
              <w:rPr>
                <w:sz w:val="16"/>
                <w:szCs w:val="16"/>
                <w:color w:val="auto"/>
              </w:rPr>
            </w:pPr>
          </w:p>
        </w:tc>
        <w:tc>
          <w:tcPr>
            <w:tcW w:w="4460" w:type="dxa"/>
            <w:vAlign w:val="bottom"/>
            <w:shd w:val="clear" w:color="auto" w:fill="E5F1F8"/>
          </w:tcPr>
          <w:p>
            <w:pPr>
              <w:ind w:left="80"/>
              <w:spacing w:after="0" w:line="193" w:lineRule="exact"/>
              <w:rPr>
                <w:sz w:val="20"/>
                <w:szCs w:val="20"/>
                <w:color w:val="auto"/>
              </w:rPr>
            </w:pPr>
            <w:r>
              <w:rPr>
                <w:rFonts w:ascii="Calibri" w:cs="Calibri" w:eastAsia="Calibri" w:hAnsi="Calibri"/>
                <w:sz w:val="16"/>
                <w:szCs w:val="16"/>
                <w:color w:val="auto"/>
              </w:rPr>
              <w:t>2022); General Manager, North Texas/Oklahoma District (2018-</w:t>
            </w:r>
          </w:p>
        </w:tc>
      </w:tr>
      <w:tr>
        <w:trPr>
          <w:trHeight w:val="210"/>
        </w:trPr>
        <w:tc>
          <w:tcPr>
            <w:tcW w:w="1920" w:type="dxa"/>
            <w:vAlign w:val="bottom"/>
            <w:tcBorders>
              <w:bottom w:val="single" w:sz="8" w:color="E5F1F8"/>
              <w:right w:val="single" w:sz="8" w:color="007CBA"/>
            </w:tcBorders>
            <w:shd w:val="clear" w:color="auto" w:fill="E5F1F8"/>
          </w:tcPr>
          <w:p>
            <w:pPr>
              <w:spacing w:after="0"/>
              <w:rPr>
                <w:sz w:val="18"/>
                <w:szCs w:val="18"/>
                <w:color w:val="auto"/>
              </w:rPr>
            </w:pPr>
          </w:p>
        </w:tc>
        <w:tc>
          <w:tcPr>
            <w:tcW w:w="560" w:type="dxa"/>
            <w:vAlign w:val="bottom"/>
            <w:tcBorders>
              <w:bottom w:val="single" w:sz="8" w:color="E5F1F8"/>
              <w:right w:val="single" w:sz="8" w:color="007CBA"/>
            </w:tcBorders>
            <w:shd w:val="clear" w:color="auto" w:fill="E5F1F8"/>
          </w:tcPr>
          <w:p>
            <w:pPr>
              <w:spacing w:after="0"/>
              <w:rPr>
                <w:sz w:val="18"/>
                <w:szCs w:val="18"/>
                <w:color w:val="auto"/>
              </w:rPr>
            </w:pPr>
          </w:p>
        </w:tc>
        <w:tc>
          <w:tcPr>
            <w:tcW w:w="2700" w:type="dxa"/>
            <w:vAlign w:val="bottom"/>
            <w:tcBorders>
              <w:bottom w:val="single" w:sz="8" w:color="E5F1F8"/>
              <w:right w:val="single" w:sz="8" w:color="007CBA"/>
            </w:tcBorders>
            <w:shd w:val="clear" w:color="auto" w:fill="E5F1F8"/>
          </w:tcPr>
          <w:p>
            <w:pPr>
              <w:spacing w:after="0"/>
              <w:rPr>
                <w:sz w:val="18"/>
                <w:szCs w:val="18"/>
                <w:color w:val="auto"/>
              </w:rPr>
            </w:pPr>
          </w:p>
        </w:tc>
        <w:tc>
          <w:tcPr>
            <w:tcW w:w="1460" w:type="dxa"/>
            <w:vAlign w:val="bottom"/>
            <w:tcBorders>
              <w:bottom w:val="single" w:sz="8" w:color="E5F1F8"/>
              <w:right w:val="single" w:sz="8" w:color="007CBA"/>
            </w:tcBorders>
            <w:shd w:val="clear" w:color="auto" w:fill="E5F1F8"/>
          </w:tcPr>
          <w:p>
            <w:pPr>
              <w:spacing w:after="0"/>
              <w:rPr>
                <w:sz w:val="18"/>
                <w:szCs w:val="18"/>
                <w:color w:val="auto"/>
              </w:rPr>
            </w:pPr>
          </w:p>
        </w:tc>
        <w:tc>
          <w:tcPr>
            <w:tcW w:w="4460" w:type="dxa"/>
            <w:vAlign w:val="bottom"/>
            <w:tcBorders>
              <w:bottom w:val="single" w:sz="8" w:color="E5F1F8"/>
            </w:tcBorders>
            <w:shd w:val="clear" w:color="auto" w:fill="E5F1F8"/>
          </w:tcPr>
          <w:p>
            <w:pPr>
              <w:ind w:left="80"/>
              <w:spacing w:after="0"/>
              <w:rPr>
                <w:sz w:val="20"/>
                <w:szCs w:val="20"/>
                <w:color w:val="auto"/>
              </w:rPr>
            </w:pPr>
            <w:r>
              <w:rPr>
                <w:rFonts w:ascii="Calibri" w:cs="Calibri" w:eastAsia="Calibri" w:hAnsi="Calibri"/>
                <w:sz w:val="16"/>
                <w:szCs w:val="16"/>
                <w:color w:val="auto"/>
              </w:rPr>
              <w:t>2020)</w:t>
            </w:r>
          </w:p>
        </w:tc>
      </w:tr>
      <w:tr>
        <w:trPr>
          <w:trHeight w:val="184"/>
        </w:trPr>
        <w:tc>
          <w:tcPr>
            <w:tcW w:w="1920" w:type="dxa"/>
            <w:vAlign w:val="bottom"/>
            <w:tcBorders>
              <w:right w:val="single" w:sz="8" w:color="007CBA"/>
            </w:tcBorders>
          </w:tcPr>
          <w:p>
            <w:pPr>
              <w:ind w:left="80"/>
              <w:spacing w:after="0" w:line="184" w:lineRule="exact"/>
              <w:rPr>
                <w:sz w:val="20"/>
                <w:szCs w:val="20"/>
                <w:color w:val="auto"/>
              </w:rPr>
            </w:pPr>
            <w:r>
              <w:rPr>
                <w:rFonts w:ascii="Calibri" w:cs="Calibri" w:eastAsia="Calibri" w:hAnsi="Calibri"/>
                <w:sz w:val="16"/>
                <w:szCs w:val="16"/>
                <w:color w:val="auto"/>
              </w:rPr>
              <w:t>Robert J. Cardin</w:t>
            </w:r>
          </w:p>
        </w:tc>
        <w:tc>
          <w:tcPr>
            <w:tcW w:w="560" w:type="dxa"/>
            <w:vAlign w:val="bottom"/>
            <w:tcBorders>
              <w:right w:val="single" w:sz="8" w:color="007CBA"/>
            </w:tcBorders>
          </w:tcPr>
          <w:p>
            <w:pPr>
              <w:jc w:val="center"/>
              <w:spacing w:after="0" w:line="184" w:lineRule="exact"/>
              <w:rPr>
                <w:sz w:val="20"/>
                <w:szCs w:val="20"/>
                <w:color w:val="auto"/>
              </w:rPr>
            </w:pPr>
            <w:r>
              <w:rPr>
                <w:rFonts w:ascii="Calibri" w:cs="Calibri" w:eastAsia="Calibri" w:hAnsi="Calibri"/>
                <w:sz w:val="16"/>
                <w:szCs w:val="16"/>
                <w:color w:val="auto"/>
                <w:w w:val="98"/>
              </w:rPr>
              <w:t>61</w:t>
            </w:r>
          </w:p>
        </w:tc>
        <w:tc>
          <w:tcPr>
            <w:tcW w:w="2700" w:type="dxa"/>
            <w:vAlign w:val="bottom"/>
            <w:tcBorders>
              <w:right w:val="single" w:sz="8" w:color="007CBA"/>
            </w:tcBorders>
          </w:tcPr>
          <w:p>
            <w:pPr>
              <w:ind w:left="80"/>
              <w:spacing w:after="0" w:line="184" w:lineRule="exact"/>
              <w:rPr>
                <w:sz w:val="20"/>
                <w:szCs w:val="20"/>
                <w:color w:val="auto"/>
              </w:rPr>
            </w:pPr>
            <w:r>
              <w:rPr>
                <w:rFonts w:ascii="Calibri" w:cs="Calibri" w:eastAsia="Calibri" w:hAnsi="Calibri"/>
                <w:sz w:val="16"/>
                <w:szCs w:val="16"/>
                <w:color w:val="auto"/>
              </w:rPr>
              <w:t>Senior Vice President,</w:t>
            </w:r>
          </w:p>
        </w:tc>
        <w:tc>
          <w:tcPr>
            <w:tcW w:w="1460" w:type="dxa"/>
            <w:vAlign w:val="bottom"/>
            <w:tcBorders>
              <w:right w:val="single" w:sz="8" w:color="007CBA"/>
            </w:tcBorders>
          </w:tcPr>
          <w:p>
            <w:pPr>
              <w:jc w:val="center"/>
              <w:spacing w:after="0" w:line="184" w:lineRule="exact"/>
              <w:rPr>
                <w:sz w:val="20"/>
                <w:szCs w:val="20"/>
                <w:color w:val="auto"/>
              </w:rPr>
            </w:pPr>
            <w:r>
              <w:rPr>
                <w:rFonts w:ascii="Calibri" w:cs="Calibri" w:eastAsia="Calibri" w:hAnsi="Calibri"/>
                <w:sz w:val="16"/>
                <w:szCs w:val="16"/>
                <w:color w:val="auto"/>
                <w:w w:val="98"/>
              </w:rPr>
              <w:t>2019</w:t>
            </w:r>
          </w:p>
        </w:tc>
        <w:tc>
          <w:tcPr>
            <w:tcW w:w="4460" w:type="dxa"/>
            <w:vAlign w:val="bottom"/>
          </w:tcPr>
          <w:p>
            <w:pPr>
              <w:spacing w:after="0"/>
              <w:rPr>
                <w:sz w:val="16"/>
                <w:szCs w:val="16"/>
                <w:color w:val="auto"/>
              </w:rPr>
            </w:pPr>
          </w:p>
        </w:tc>
      </w:tr>
      <w:tr>
        <w:trPr>
          <w:trHeight w:val="194"/>
        </w:trPr>
        <w:tc>
          <w:tcPr>
            <w:tcW w:w="1920" w:type="dxa"/>
            <w:vAlign w:val="bottom"/>
            <w:tcBorders>
              <w:right w:val="single" w:sz="8" w:color="007CBA"/>
            </w:tcBorders>
          </w:tcPr>
          <w:p>
            <w:pPr>
              <w:spacing w:after="0"/>
              <w:rPr>
                <w:sz w:val="16"/>
                <w:szCs w:val="16"/>
                <w:color w:val="auto"/>
              </w:rPr>
            </w:pPr>
          </w:p>
        </w:tc>
        <w:tc>
          <w:tcPr>
            <w:tcW w:w="560" w:type="dxa"/>
            <w:vAlign w:val="bottom"/>
            <w:tcBorders>
              <w:right w:val="single" w:sz="8" w:color="007CBA"/>
            </w:tcBorders>
          </w:tcPr>
          <w:p>
            <w:pPr>
              <w:spacing w:after="0"/>
              <w:rPr>
                <w:sz w:val="16"/>
                <w:szCs w:val="16"/>
                <w:color w:val="auto"/>
              </w:rPr>
            </w:pPr>
          </w:p>
        </w:tc>
        <w:tc>
          <w:tcPr>
            <w:tcW w:w="2700" w:type="dxa"/>
            <w:vAlign w:val="bottom"/>
            <w:tcBorders>
              <w:right w:val="single" w:sz="8" w:color="007CBA"/>
            </w:tcBorders>
          </w:tcPr>
          <w:p>
            <w:pPr>
              <w:ind w:left="80"/>
              <w:spacing w:after="0" w:line="193" w:lineRule="exact"/>
              <w:rPr>
                <w:sz w:val="20"/>
                <w:szCs w:val="20"/>
                <w:color w:val="auto"/>
              </w:rPr>
            </w:pPr>
            <w:r>
              <w:rPr>
                <w:rFonts w:ascii="Calibri" w:cs="Calibri" w:eastAsia="Calibri" w:hAnsi="Calibri"/>
                <w:sz w:val="16"/>
                <w:szCs w:val="16"/>
                <w:color w:val="auto"/>
              </w:rPr>
              <w:t>Controller and</w:t>
            </w:r>
          </w:p>
        </w:tc>
        <w:tc>
          <w:tcPr>
            <w:tcW w:w="1460" w:type="dxa"/>
            <w:vAlign w:val="bottom"/>
            <w:tcBorders>
              <w:right w:val="single" w:sz="8" w:color="007CBA"/>
            </w:tcBorders>
          </w:tcPr>
          <w:p>
            <w:pPr>
              <w:spacing w:after="0"/>
              <w:rPr>
                <w:sz w:val="16"/>
                <w:szCs w:val="16"/>
                <w:color w:val="auto"/>
              </w:rPr>
            </w:pPr>
          </w:p>
        </w:tc>
        <w:tc>
          <w:tcPr>
            <w:tcW w:w="4460" w:type="dxa"/>
            <w:vAlign w:val="bottom"/>
          </w:tcPr>
          <w:p>
            <w:pPr>
              <w:spacing w:after="0"/>
              <w:rPr>
                <w:sz w:val="16"/>
                <w:szCs w:val="16"/>
                <w:color w:val="auto"/>
              </w:rPr>
            </w:pPr>
          </w:p>
        </w:tc>
      </w:tr>
      <w:tr>
        <w:trPr>
          <w:trHeight w:val="203"/>
        </w:trPr>
        <w:tc>
          <w:tcPr>
            <w:tcW w:w="1920" w:type="dxa"/>
            <w:vAlign w:val="bottom"/>
            <w:tcBorders>
              <w:right w:val="single" w:sz="8" w:color="007CBA"/>
            </w:tcBorders>
          </w:tcPr>
          <w:p>
            <w:pPr>
              <w:spacing w:after="0"/>
              <w:rPr>
                <w:sz w:val="17"/>
                <w:szCs w:val="17"/>
                <w:color w:val="auto"/>
              </w:rPr>
            </w:pPr>
          </w:p>
        </w:tc>
        <w:tc>
          <w:tcPr>
            <w:tcW w:w="560" w:type="dxa"/>
            <w:vAlign w:val="bottom"/>
            <w:tcBorders>
              <w:right w:val="single" w:sz="8" w:color="007CBA"/>
            </w:tcBorders>
          </w:tcPr>
          <w:p>
            <w:pPr>
              <w:spacing w:after="0"/>
              <w:rPr>
                <w:sz w:val="17"/>
                <w:szCs w:val="17"/>
                <w:color w:val="auto"/>
              </w:rPr>
            </w:pPr>
          </w:p>
        </w:tc>
        <w:tc>
          <w:tcPr>
            <w:tcW w:w="2700" w:type="dxa"/>
            <w:vAlign w:val="bottom"/>
            <w:tcBorders>
              <w:right w:val="single" w:sz="8" w:color="007CBA"/>
            </w:tcBorders>
          </w:tcPr>
          <w:p>
            <w:pPr>
              <w:ind w:left="80"/>
              <w:spacing w:after="0"/>
              <w:rPr>
                <w:sz w:val="20"/>
                <w:szCs w:val="20"/>
                <w:color w:val="auto"/>
              </w:rPr>
            </w:pPr>
            <w:r>
              <w:rPr>
                <w:rFonts w:ascii="Calibri" w:cs="Calibri" w:eastAsia="Calibri" w:hAnsi="Calibri"/>
                <w:sz w:val="16"/>
                <w:szCs w:val="16"/>
                <w:color w:val="auto"/>
              </w:rPr>
              <w:t>Chief Accountng Ofcer</w:t>
            </w:r>
          </w:p>
        </w:tc>
        <w:tc>
          <w:tcPr>
            <w:tcW w:w="1460" w:type="dxa"/>
            <w:vAlign w:val="bottom"/>
            <w:tcBorders>
              <w:right w:val="single" w:sz="8" w:color="007CBA"/>
            </w:tcBorders>
          </w:tcPr>
          <w:p>
            <w:pPr>
              <w:spacing w:after="0"/>
              <w:rPr>
                <w:sz w:val="17"/>
                <w:szCs w:val="17"/>
                <w:color w:val="auto"/>
              </w:rPr>
            </w:pPr>
          </w:p>
        </w:tc>
        <w:tc>
          <w:tcPr>
            <w:tcW w:w="4460" w:type="dxa"/>
            <w:vAlign w:val="bottom"/>
          </w:tcPr>
          <w:p>
            <w:pPr>
              <w:spacing w:after="0"/>
              <w:rPr>
                <w:sz w:val="17"/>
                <w:szCs w:val="17"/>
                <w:color w:val="auto"/>
              </w:rPr>
            </w:pPr>
          </w:p>
        </w:tc>
      </w:tr>
      <w:tr>
        <w:trPr>
          <w:trHeight w:val="28"/>
        </w:trPr>
        <w:tc>
          <w:tcPr>
            <w:tcW w:w="1920" w:type="dxa"/>
            <w:vAlign w:val="bottom"/>
            <w:tcBorders>
              <w:right w:val="single" w:sz="8" w:color="007CBA"/>
            </w:tcBorders>
          </w:tcPr>
          <w:p>
            <w:pPr>
              <w:spacing w:after="0"/>
              <w:rPr>
                <w:sz w:val="2"/>
                <w:szCs w:val="2"/>
                <w:color w:val="auto"/>
              </w:rPr>
            </w:pPr>
          </w:p>
        </w:tc>
        <w:tc>
          <w:tcPr>
            <w:tcW w:w="560" w:type="dxa"/>
            <w:vAlign w:val="bottom"/>
            <w:tcBorders>
              <w:right w:val="single" w:sz="8" w:color="007CBA"/>
            </w:tcBorders>
          </w:tcPr>
          <w:p>
            <w:pPr>
              <w:spacing w:after="0"/>
              <w:rPr>
                <w:sz w:val="2"/>
                <w:szCs w:val="2"/>
                <w:color w:val="auto"/>
              </w:rPr>
            </w:pPr>
          </w:p>
        </w:tc>
        <w:tc>
          <w:tcPr>
            <w:tcW w:w="2700" w:type="dxa"/>
            <w:vAlign w:val="bottom"/>
            <w:tcBorders>
              <w:right w:val="single" w:sz="8" w:color="007CBA"/>
            </w:tcBorders>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c>
          <w:tcPr>
            <w:tcW w:w="4460" w:type="dxa"/>
            <w:vAlign w:val="bottom"/>
          </w:tcPr>
          <w:p>
            <w:pPr>
              <w:spacing w:after="0"/>
              <w:rPr>
                <w:sz w:val="2"/>
                <w:szCs w:val="2"/>
                <w:color w:val="auto"/>
              </w:rPr>
            </w:pPr>
          </w:p>
        </w:tc>
      </w:tr>
      <w:tr>
        <w:trPr>
          <w:trHeight w:val="184"/>
        </w:trPr>
        <w:tc>
          <w:tcPr>
            <w:tcW w:w="1920" w:type="dxa"/>
            <w:vAlign w:val="bottom"/>
            <w:tcBorders>
              <w:right w:val="single" w:sz="8" w:color="007CBA"/>
            </w:tcBorders>
            <w:shd w:val="clear" w:color="auto" w:fill="E5F1F8"/>
          </w:tcPr>
          <w:p>
            <w:pPr>
              <w:ind w:left="80"/>
              <w:spacing w:after="0" w:line="184" w:lineRule="exact"/>
              <w:rPr>
                <w:sz w:val="20"/>
                <w:szCs w:val="20"/>
                <w:color w:val="auto"/>
              </w:rPr>
            </w:pPr>
            <w:r>
              <w:rPr>
                <w:rFonts w:ascii="Calibri" w:cs="Calibri" w:eastAsia="Calibri" w:hAnsi="Calibri"/>
                <w:sz w:val="16"/>
                <w:szCs w:val="16"/>
                <w:color w:val="auto"/>
              </w:rPr>
              <w:t>Bradley D. Kohn</w:t>
            </w:r>
          </w:p>
        </w:tc>
        <w:tc>
          <w:tcPr>
            <w:tcW w:w="560" w:type="dxa"/>
            <w:vAlign w:val="bottom"/>
            <w:tcBorders>
              <w:right w:val="single" w:sz="8" w:color="007CBA"/>
            </w:tcBorders>
            <w:shd w:val="clear" w:color="auto" w:fill="E5F1F8"/>
          </w:tcPr>
          <w:p>
            <w:pPr>
              <w:jc w:val="center"/>
              <w:spacing w:after="0" w:line="184" w:lineRule="exact"/>
              <w:rPr>
                <w:sz w:val="20"/>
                <w:szCs w:val="20"/>
                <w:color w:val="auto"/>
              </w:rPr>
            </w:pPr>
            <w:r>
              <w:rPr>
                <w:rFonts w:ascii="Calibri" w:cs="Calibri" w:eastAsia="Calibri" w:hAnsi="Calibri"/>
                <w:sz w:val="16"/>
                <w:szCs w:val="16"/>
                <w:color w:val="auto"/>
                <w:w w:val="98"/>
              </w:rPr>
              <w:t>56</w:t>
            </w:r>
          </w:p>
        </w:tc>
        <w:tc>
          <w:tcPr>
            <w:tcW w:w="2700" w:type="dxa"/>
            <w:vAlign w:val="bottom"/>
            <w:tcBorders>
              <w:right w:val="single" w:sz="8" w:color="007CBA"/>
            </w:tcBorders>
            <w:shd w:val="clear" w:color="auto" w:fill="E5F1F8"/>
          </w:tcPr>
          <w:p>
            <w:pPr>
              <w:ind w:left="80"/>
              <w:spacing w:after="0" w:line="184" w:lineRule="exact"/>
              <w:rPr>
                <w:sz w:val="20"/>
                <w:szCs w:val="20"/>
                <w:color w:val="auto"/>
              </w:rPr>
            </w:pPr>
            <w:r>
              <w:rPr>
                <w:rFonts w:ascii="Calibri" w:cs="Calibri" w:eastAsia="Calibri" w:hAnsi="Calibri"/>
                <w:sz w:val="16"/>
                <w:szCs w:val="16"/>
                <w:color w:val="auto"/>
              </w:rPr>
              <w:t>Senior Vice President,</w:t>
            </w:r>
          </w:p>
        </w:tc>
        <w:tc>
          <w:tcPr>
            <w:tcW w:w="1460" w:type="dxa"/>
            <w:vAlign w:val="bottom"/>
            <w:tcBorders>
              <w:right w:val="single" w:sz="8" w:color="007CBA"/>
            </w:tcBorders>
            <w:shd w:val="clear" w:color="auto" w:fill="E5F1F8"/>
          </w:tcPr>
          <w:p>
            <w:pPr>
              <w:jc w:val="center"/>
              <w:spacing w:after="0" w:line="184" w:lineRule="exact"/>
              <w:rPr>
                <w:sz w:val="20"/>
                <w:szCs w:val="20"/>
                <w:color w:val="auto"/>
              </w:rPr>
            </w:pPr>
            <w:r>
              <w:rPr>
                <w:rFonts w:ascii="Calibri" w:cs="Calibri" w:eastAsia="Calibri" w:hAnsi="Calibri"/>
                <w:sz w:val="16"/>
                <w:szCs w:val="16"/>
                <w:color w:val="auto"/>
                <w:w w:val="98"/>
              </w:rPr>
              <w:t>2024</w:t>
            </w:r>
          </w:p>
        </w:tc>
        <w:tc>
          <w:tcPr>
            <w:tcW w:w="4460" w:type="dxa"/>
            <w:vAlign w:val="bottom"/>
            <w:shd w:val="clear" w:color="auto" w:fill="E5F1F8"/>
          </w:tcPr>
          <w:p>
            <w:pPr>
              <w:ind w:left="80"/>
              <w:spacing w:after="0" w:line="184" w:lineRule="exact"/>
              <w:rPr>
                <w:sz w:val="20"/>
                <w:szCs w:val="20"/>
                <w:color w:val="auto"/>
              </w:rPr>
            </w:pPr>
            <w:r>
              <w:rPr>
                <w:rFonts w:ascii="Calibri" w:cs="Calibri" w:eastAsia="Calibri" w:hAnsi="Calibri"/>
                <w:sz w:val="16"/>
                <w:szCs w:val="16"/>
                <w:color w:val="auto"/>
              </w:rPr>
              <w:t>Senior Vice President, General Counsel, Head of Government</w:t>
            </w:r>
          </w:p>
        </w:tc>
      </w:tr>
      <w:tr>
        <w:trPr>
          <w:trHeight w:val="194"/>
        </w:trPr>
        <w:tc>
          <w:tcPr>
            <w:tcW w:w="1920" w:type="dxa"/>
            <w:vAlign w:val="bottom"/>
            <w:tcBorders>
              <w:right w:val="single" w:sz="8" w:color="007CBA"/>
            </w:tcBorders>
            <w:shd w:val="clear" w:color="auto" w:fill="E5F1F8"/>
          </w:tcPr>
          <w:p>
            <w:pPr>
              <w:spacing w:after="0"/>
              <w:rPr>
                <w:sz w:val="16"/>
                <w:szCs w:val="16"/>
                <w:color w:val="auto"/>
              </w:rPr>
            </w:pPr>
          </w:p>
        </w:tc>
        <w:tc>
          <w:tcPr>
            <w:tcW w:w="560" w:type="dxa"/>
            <w:vAlign w:val="bottom"/>
            <w:tcBorders>
              <w:right w:val="single" w:sz="8" w:color="007CBA"/>
            </w:tcBorders>
            <w:shd w:val="clear" w:color="auto" w:fill="E5F1F8"/>
          </w:tcPr>
          <w:p>
            <w:pPr>
              <w:spacing w:after="0"/>
              <w:rPr>
                <w:sz w:val="16"/>
                <w:szCs w:val="16"/>
                <w:color w:val="auto"/>
              </w:rPr>
            </w:pPr>
          </w:p>
        </w:tc>
        <w:tc>
          <w:tcPr>
            <w:tcW w:w="2700" w:type="dxa"/>
            <w:vAlign w:val="bottom"/>
            <w:tcBorders>
              <w:right w:val="single" w:sz="8" w:color="007CBA"/>
            </w:tcBorders>
            <w:shd w:val="clear" w:color="auto" w:fill="E5F1F8"/>
          </w:tcPr>
          <w:p>
            <w:pPr>
              <w:ind w:left="80"/>
              <w:spacing w:after="0" w:line="193" w:lineRule="exact"/>
              <w:rPr>
                <w:sz w:val="20"/>
                <w:szCs w:val="20"/>
                <w:color w:val="auto"/>
              </w:rPr>
            </w:pPr>
            <w:r>
              <w:rPr>
                <w:rFonts w:ascii="Calibri" w:cs="Calibri" w:eastAsia="Calibri" w:hAnsi="Calibri"/>
                <w:sz w:val="16"/>
                <w:szCs w:val="16"/>
                <w:color w:val="auto"/>
              </w:rPr>
              <w:t>General Counsel and</w:t>
            </w:r>
          </w:p>
        </w:tc>
        <w:tc>
          <w:tcPr>
            <w:tcW w:w="1460" w:type="dxa"/>
            <w:vAlign w:val="bottom"/>
            <w:tcBorders>
              <w:right w:val="single" w:sz="8" w:color="007CBA"/>
            </w:tcBorders>
            <w:shd w:val="clear" w:color="auto" w:fill="E5F1F8"/>
          </w:tcPr>
          <w:p>
            <w:pPr>
              <w:spacing w:after="0"/>
              <w:rPr>
                <w:sz w:val="16"/>
                <w:szCs w:val="16"/>
                <w:color w:val="auto"/>
              </w:rPr>
            </w:pPr>
          </w:p>
        </w:tc>
        <w:tc>
          <w:tcPr>
            <w:tcW w:w="4460" w:type="dxa"/>
            <w:vAlign w:val="bottom"/>
            <w:shd w:val="clear" w:color="auto" w:fill="E5F1F8"/>
          </w:tcPr>
          <w:p>
            <w:pPr>
              <w:ind w:left="80"/>
              <w:spacing w:after="0" w:line="193" w:lineRule="exact"/>
              <w:rPr>
                <w:sz w:val="20"/>
                <w:szCs w:val="20"/>
                <w:color w:val="auto"/>
              </w:rPr>
            </w:pPr>
            <w:r>
              <w:rPr>
                <w:rFonts w:ascii="Calibri" w:cs="Calibri" w:eastAsia="Calibri" w:hAnsi="Calibri"/>
                <w:sz w:val="16"/>
                <w:szCs w:val="16"/>
                <w:color w:val="auto"/>
              </w:rPr>
              <w:t>Afairs and Corporate Secretary, Wolfspeed Inc. (2013-2024)</w:t>
            </w:r>
          </w:p>
        </w:tc>
      </w:tr>
      <w:tr>
        <w:trPr>
          <w:trHeight w:val="210"/>
        </w:trPr>
        <w:tc>
          <w:tcPr>
            <w:tcW w:w="1920" w:type="dxa"/>
            <w:vAlign w:val="bottom"/>
            <w:tcBorders>
              <w:bottom w:val="single" w:sz="8" w:color="E5F1F8"/>
              <w:right w:val="single" w:sz="8" w:color="007CBA"/>
            </w:tcBorders>
            <w:shd w:val="clear" w:color="auto" w:fill="E5F1F8"/>
          </w:tcPr>
          <w:p>
            <w:pPr>
              <w:spacing w:after="0"/>
              <w:rPr>
                <w:sz w:val="18"/>
                <w:szCs w:val="18"/>
                <w:color w:val="auto"/>
              </w:rPr>
            </w:pPr>
          </w:p>
        </w:tc>
        <w:tc>
          <w:tcPr>
            <w:tcW w:w="560" w:type="dxa"/>
            <w:vAlign w:val="bottom"/>
            <w:tcBorders>
              <w:bottom w:val="single" w:sz="8" w:color="E5F1F8"/>
              <w:right w:val="single" w:sz="8" w:color="007CBA"/>
            </w:tcBorders>
            <w:shd w:val="clear" w:color="auto" w:fill="E5F1F8"/>
          </w:tcPr>
          <w:p>
            <w:pPr>
              <w:spacing w:after="0"/>
              <w:rPr>
                <w:sz w:val="18"/>
                <w:szCs w:val="18"/>
                <w:color w:val="auto"/>
              </w:rPr>
            </w:pPr>
          </w:p>
        </w:tc>
        <w:tc>
          <w:tcPr>
            <w:tcW w:w="2700" w:type="dxa"/>
            <w:vAlign w:val="bottom"/>
            <w:tcBorders>
              <w:bottom w:val="single" w:sz="8" w:color="E5F1F8"/>
              <w:right w:val="single" w:sz="8" w:color="007CBA"/>
            </w:tcBorders>
            <w:shd w:val="clear" w:color="auto" w:fill="E5F1F8"/>
          </w:tcPr>
          <w:p>
            <w:pPr>
              <w:ind w:left="80"/>
              <w:spacing w:after="0"/>
              <w:rPr>
                <w:sz w:val="20"/>
                <w:szCs w:val="20"/>
                <w:color w:val="auto"/>
              </w:rPr>
            </w:pPr>
            <w:r>
              <w:rPr>
                <w:rFonts w:ascii="Calibri" w:cs="Calibri" w:eastAsia="Calibri" w:hAnsi="Calibri"/>
                <w:sz w:val="16"/>
                <w:szCs w:val="16"/>
                <w:color w:val="auto"/>
              </w:rPr>
              <w:t>Corporate Secretary</w:t>
            </w:r>
          </w:p>
        </w:tc>
        <w:tc>
          <w:tcPr>
            <w:tcW w:w="1460" w:type="dxa"/>
            <w:vAlign w:val="bottom"/>
            <w:tcBorders>
              <w:bottom w:val="single" w:sz="8" w:color="E5F1F8"/>
              <w:right w:val="single" w:sz="8" w:color="007CBA"/>
            </w:tcBorders>
            <w:shd w:val="clear" w:color="auto" w:fill="E5F1F8"/>
          </w:tcPr>
          <w:p>
            <w:pPr>
              <w:spacing w:after="0"/>
              <w:rPr>
                <w:sz w:val="18"/>
                <w:szCs w:val="18"/>
                <w:color w:val="auto"/>
              </w:rPr>
            </w:pPr>
          </w:p>
        </w:tc>
        <w:tc>
          <w:tcPr>
            <w:tcW w:w="4460" w:type="dxa"/>
            <w:vAlign w:val="bottom"/>
            <w:tcBorders>
              <w:bottom w:val="single" w:sz="8" w:color="E5F1F8"/>
            </w:tcBorders>
            <w:shd w:val="clear" w:color="auto" w:fill="E5F1F8"/>
          </w:tcPr>
          <w:p>
            <w:pPr>
              <w:spacing w:after="0"/>
              <w:rPr>
                <w:sz w:val="18"/>
                <w:szCs w:val="18"/>
                <w:color w:val="auto"/>
              </w:rPr>
            </w:pPr>
          </w:p>
        </w:tc>
      </w:tr>
      <w:tr>
        <w:trPr>
          <w:trHeight w:val="184"/>
        </w:trPr>
        <w:tc>
          <w:tcPr>
            <w:tcW w:w="1920" w:type="dxa"/>
            <w:vAlign w:val="bottom"/>
            <w:tcBorders>
              <w:right w:val="single" w:sz="8" w:color="007CBA"/>
            </w:tcBorders>
          </w:tcPr>
          <w:p>
            <w:pPr>
              <w:ind w:left="80"/>
              <w:spacing w:after="0" w:line="184" w:lineRule="exact"/>
              <w:rPr>
                <w:sz w:val="20"/>
                <w:szCs w:val="20"/>
                <w:color w:val="auto"/>
              </w:rPr>
            </w:pPr>
            <w:r>
              <w:rPr>
                <w:rFonts w:ascii="Calibri" w:cs="Calibri" w:eastAsia="Calibri" w:hAnsi="Calibri"/>
                <w:sz w:val="16"/>
                <w:szCs w:val="16"/>
                <w:color w:val="auto"/>
              </w:rPr>
              <w:t>Michael J. Petro</w:t>
            </w:r>
          </w:p>
        </w:tc>
        <w:tc>
          <w:tcPr>
            <w:tcW w:w="560" w:type="dxa"/>
            <w:vAlign w:val="bottom"/>
            <w:tcBorders>
              <w:right w:val="single" w:sz="8" w:color="007CBA"/>
            </w:tcBorders>
          </w:tcPr>
          <w:p>
            <w:pPr>
              <w:jc w:val="center"/>
              <w:spacing w:after="0" w:line="184" w:lineRule="exact"/>
              <w:rPr>
                <w:sz w:val="20"/>
                <w:szCs w:val="20"/>
                <w:color w:val="auto"/>
              </w:rPr>
            </w:pPr>
            <w:r>
              <w:rPr>
                <w:rFonts w:ascii="Calibri" w:cs="Calibri" w:eastAsia="Calibri" w:hAnsi="Calibri"/>
                <w:sz w:val="16"/>
                <w:szCs w:val="16"/>
                <w:color w:val="auto"/>
                <w:w w:val="98"/>
              </w:rPr>
              <w:t>41</w:t>
            </w:r>
          </w:p>
        </w:tc>
        <w:tc>
          <w:tcPr>
            <w:tcW w:w="2700" w:type="dxa"/>
            <w:vAlign w:val="bottom"/>
            <w:tcBorders>
              <w:right w:val="single" w:sz="8" w:color="007CBA"/>
            </w:tcBorders>
          </w:tcPr>
          <w:p>
            <w:pPr>
              <w:ind w:left="80"/>
              <w:spacing w:after="0" w:line="184" w:lineRule="exact"/>
              <w:rPr>
                <w:sz w:val="20"/>
                <w:szCs w:val="20"/>
                <w:color w:val="auto"/>
              </w:rPr>
            </w:pPr>
            <w:r>
              <w:rPr>
                <w:rFonts w:ascii="Calibri" w:cs="Calibri" w:eastAsia="Calibri" w:hAnsi="Calibri"/>
                <w:sz w:val="16"/>
                <w:szCs w:val="16"/>
                <w:color w:val="auto"/>
              </w:rPr>
              <w:t>Senior Vice President,</w:t>
            </w:r>
          </w:p>
        </w:tc>
        <w:tc>
          <w:tcPr>
            <w:tcW w:w="1460" w:type="dxa"/>
            <w:vAlign w:val="bottom"/>
            <w:tcBorders>
              <w:right w:val="single" w:sz="8" w:color="007CBA"/>
            </w:tcBorders>
          </w:tcPr>
          <w:p>
            <w:pPr>
              <w:jc w:val="center"/>
              <w:spacing w:after="0" w:line="184" w:lineRule="exact"/>
              <w:rPr>
                <w:sz w:val="20"/>
                <w:szCs w:val="20"/>
                <w:color w:val="auto"/>
              </w:rPr>
            </w:pPr>
            <w:r>
              <w:rPr>
                <w:rFonts w:ascii="Calibri" w:cs="Calibri" w:eastAsia="Calibri" w:hAnsi="Calibri"/>
                <w:sz w:val="16"/>
                <w:szCs w:val="16"/>
                <w:color w:val="auto"/>
                <w:w w:val="98"/>
              </w:rPr>
              <w:t>2021</w:t>
            </w:r>
          </w:p>
        </w:tc>
        <w:tc>
          <w:tcPr>
            <w:tcW w:w="4460" w:type="dxa"/>
            <w:vAlign w:val="bottom"/>
          </w:tcPr>
          <w:p>
            <w:pPr>
              <w:ind w:left="80"/>
              <w:spacing w:after="0" w:line="184" w:lineRule="exact"/>
              <w:rPr>
                <w:sz w:val="20"/>
                <w:szCs w:val="20"/>
                <w:color w:val="auto"/>
              </w:rPr>
            </w:pPr>
            <w:r>
              <w:rPr>
                <w:rFonts w:ascii="Calibri" w:cs="Calibri" w:eastAsia="Calibri" w:hAnsi="Calibri"/>
                <w:sz w:val="16"/>
                <w:szCs w:val="16"/>
                <w:color w:val="auto"/>
              </w:rPr>
              <w:t>Vice President, Strategy and Development (2018-2021)</w:t>
            </w:r>
          </w:p>
        </w:tc>
      </w:tr>
      <w:tr>
        <w:trPr>
          <w:trHeight w:val="194"/>
        </w:trPr>
        <w:tc>
          <w:tcPr>
            <w:tcW w:w="1920" w:type="dxa"/>
            <w:vAlign w:val="bottom"/>
            <w:tcBorders>
              <w:right w:val="single" w:sz="8" w:color="007CBA"/>
            </w:tcBorders>
          </w:tcPr>
          <w:p>
            <w:pPr>
              <w:spacing w:after="0"/>
              <w:rPr>
                <w:sz w:val="16"/>
                <w:szCs w:val="16"/>
                <w:color w:val="auto"/>
              </w:rPr>
            </w:pPr>
          </w:p>
        </w:tc>
        <w:tc>
          <w:tcPr>
            <w:tcW w:w="560" w:type="dxa"/>
            <w:vAlign w:val="bottom"/>
            <w:tcBorders>
              <w:right w:val="single" w:sz="8" w:color="007CBA"/>
            </w:tcBorders>
          </w:tcPr>
          <w:p>
            <w:pPr>
              <w:spacing w:after="0"/>
              <w:rPr>
                <w:sz w:val="16"/>
                <w:szCs w:val="16"/>
                <w:color w:val="auto"/>
              </w:rPr>
            </w:pPr>
          </w:p>
        </w:tc>
        <w:tc>
          <w:tcPr>
            <w:tcW w:w="2700" w:type="dxa"/>
            <w:vAlign w:val="bottom"/>
            <w:tcBorders>
              <w:right w:val="single" w:sz="8" w:color="007CBA"/>
            </w:tcBorders>
          </w:tcPr>
          <w:p>
            <w:pPr>
              <w:ind w:left="80"/>
              <w:spacing w:after="0" w:line="193" w:lineRule="exact"/>
              <w:rPr>
                <w:sz w:val="20"/>
                <w:szCs w:val="20"/>
                <w:color w:val="auto"/>
              </w:rPr>
            </w:pPr>
            <w:r>
              <w:rPr>
                <w:rFonts w:ascii="Calibri" w:cs="Calibri" w:eastAsia="Calibri" w:hAnsi="Calibri"/>
                <w:sz w:val="16"/>
                <w:szCs w:val="16"/>
                <w:color w:val="auto"/>
              </w:rPr>
              <w:t>Strategy &amp; Development</w:t>
            </w:r>
          </w:p>
        </w:tc>
        <w:tc>
          <w:tcPr>
            <w:tcW w:w="1460" w:type="dxa"/>
            <w:vAlign w:val="bottom"/>
            <w:tcBorders>
              <w:right w:val="single" w:sz="8" w:color="007CBA"/>
            </w:tcBorders>
          </w:tcPr>
          <w:p>
            <w:pPr>
              <w:spacing w:after="0"/>
              <w:rPr>
                <w:sz w:val="16"/>
                <w:szCs w:val="16"/>
                <w:color w:val="auto"/>
              </w:rPr>
            </w:pPr>
          </w:p>
        </w:tc>
        <w:tc>
          <w:tcPr>
            <w:tcW w:w="4460" w:type="dxa"/>
            <w:vAlign w:val="bottom"/>
          </w:tcPr>
          <w:p>
            <w:pPr>
              <w:spacing w:after="0"/>
              <w:rPr>
                <w:sz w:val="16"/>
                <w:szCs w:val="16"/>
                <w:color w:val="auto"/>
              </w:rPr>
            </w:pPr>
          </w:p>
        </w:tc>
      </w:tr>
      <w:tr>
        <w:trPr>
          <w:trHeight w:val="28"/>
        </w:trPr>
        <w:tc>
          <w:tcPr>
            <w:tcW w:w="1920" w:type="dxa"/>
            <w:vAlign w:val="bottom"/>
            <w:tcBorders>
              <w:right w:val="single" w:sz="8" w:color="007CBA"/>
            </w:tcBorders>
          </w:tcPr>
          <w:p>
            <w:pPr>
              <w:spacing w:after="0"/>
              <w:rPr>
                <w:sz w:val="2"/>
                <w:szCs w:val="2"/>
                <w:color w:val="auto"/>
              </w:rPr>
            </w:pPr>
          </w:p>
        </w:tc>
        <w:tc>
          <w:tcPr>
            <w:tcW w:w="560" w:type="dxa"/>
            <w:vAlign w:val="bottom"/>
            <w:tcBorders>
              <w:right w:val="single" w:sz="8" w:color="007CBA"/>
            </w:tcBorders>
          </w:tcPr>
          <w:p>
            <w:pPr>
              <w:spacing w:after="0"/>
              <w:rPr>
                <w:sz w:val="2"/>
                <w:szCs w:val="2"/>
                <w:color w:val="auto"/>
              </w:rPr>
            </w:pPr>
          </w:p>
        </w:tc>
        <w:tc>
          <w:tcPr>
            <w:tcW w:w="2700" w:type="dxa"/>
            <w:vAlign w:val="bottom"/>
            <w:tcBorders>
              <w:right w:val="single" w:sz="8" w:color="007CBA"/>
            </w:tcBorders>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c>
          <w:tcPr>
            <w:tcW w:w="4460" w:type="dxa"/>
            <w:vAlign w:val="bottom"/>
          </w:tcPr>
          <w:p>
            <w:pPr>
              <w:spacing w:after="0"/>
              <w:rPr>
                <w:sz w:val="2"/>
                <w:szCs w:val="2"/>
                <w:color w:val="auto"/>
              </w:rPr>
            </w:pPr>
          </w:p>
        </w:tc>
      </w:tr>
    </w:tbl>
    <w:p>
      <w:pPr>
        <w:spacing w:after="0" w:line="32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3" w:name="page34"/>
    <w:bookmarkEnd w:id="3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5 – Market for Registrant’s Common Equity, Related Stockholder Maters and Issuer Purchases of Equity Securites</w:t>
      </w:r>
    </w:p>
    <w:p>
      <w:pPr>
        <w:spacing w:after="0" w:line="155" w:lineRule="exact"/>
        <w:rPr>
          <w:sz w:val="20"/>
          <w:szCs w:val="20"/>
          <w:color w:val="auto"/>
        </w:rPr>
      </w:pPr>
    </w:p>
    <w:p>
      <w:pPr>
        <w:jc w:val="center"/>
        <w:ind w:right="80"/>
        <w:spacing w:after="0"/>
        <w:rPr>
          <w:sz w:val="20"/>
          <w:szCs w:val="20"/>
          <w:color w:val="auto"/>
        </w:rPr>
      </w:pPr>
      <w:r>
        <w:rPr>
          <w:rFonts w:ascii="Calibri" w:cs="Calibri" w:eastAsia="Calibri" w:hAnsi="Calibri"/>
          <w:sz w:val="36"/>
          <w:szCs w:val="36"/>
          <w:color w:val="auto"/>
        </w:rPr>
        <w:t>PART II</w:t>
      </w:r>
    </w:p>
    <w:p>
      <w:pPr>
        <w:spacing w:after="0" w:line="213" w:lineRule="exact"/>
        <w:rPr>
          <w:sz w:val="20"/>
          <w:szCs w:val="20"/>
          <w:color w:val="auto"/>
        </w:rPr>
      </w:pPr>
    </w:p>
    <w:p>
      <w:pPr>
        <w:ind w:right="20"/>
        <w:spacing w:after="0"/>
        <w:rPr>
          <w:sz w:val="20"/>
          <w:szCs w:val="20"/>
          <w:color w:val="auto"/>
        </w:rPr>
      </w:pPr>
      <w:r>
        <w:rPr>
          <w:rFonts w:ascii="Calibri" w:cs="Calibri" w:eastAsia="Calibri" w:hAnsi="Calibri"/>
          <w:sz w:val="25"/>
          <w:szCs w:val="25"/>
          <w:b w:val="1"/>
          <w:bCs w:val="1"/>
          <w:color w:val="auto"/>
        </w:rPr>
        <w:t>ITEM 5 –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Market Informaton and Holders</w:t>
      </w:r>
    </w:p>
    <w:p>
      <w:pPr>
        <w:spacing w:after="0" w:line="6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Company’s common stock, $0.01 par value, is traded on the New York Stock Exchange (NYSE) (Symbol: MLM). There were 652 holders of record of the Company’s common stock as of February 17, 2025.</w:t>
      </w:r>
    </w:p>
    <w:p>
      <w:pPr>
        <w:spacing w:after="0" w:line="10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Common Stock Performance Graph</w:t>
      </w:r>
    </w:p>
    <w:p>
      <w:pPr>
        <w:spacing w:after="0" w:line="6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graph and accompanying table compare the fve-year cumulatve total return from December 31, 2019 to December 31, 2024 for (a) the Company’s common stock, (b) the Standard &amp; Poor’s 500 Index, and (c) the Standard &amp; Poor’s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49530</wp:posOffset>
            </wp:positionV>
            <wp:extent cx="5229225" cy="51263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29225"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4" w:name="page35"/>
    <w:bookmarkEnd w:id="34"/>
    <w:p>
      <w:pPr>
        <w:ind w:left="20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5 – Market for Registrant’s Common Equity, Related Stockholder Maters and Issuer Purchases of Equity Securites</w:t>
      </w:r>
    </w:p>
    <w:p>
      <w:pPr>
        <w:spacing w:after="0" w:line="18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Recent Sales of Unregistered Securites</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8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Issuer Purchases of Equity Securites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Borders>
              <w:right w:val="single" w:sz="8" w:color="007CBA"/>
            </w:tcBorders>
            <w:shd w:val="clear" w:color="auto" w:fill="007CBA"/>
          </w:tcPr>
          <w:p>
            <w:pPr>
              <w:spacing w:after="0"/>
              <w:rPr>
                <w:sz w:val="14"/>
                <w:szCs w:val="14"/>
                <w:color w:val="auto"/>
              </w:rPr>
            </w:pPr>
          </w:p>
        </w:tc>
        <w:tc>
          <w:tcPr>
            <w:tcW w:w="136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136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1340" w:type="dxa"/>
            <w:vAlign w:val="bottom"/>
            <w:shd w:val="clear" w:color="auto" w:fill="007CBA"/>
          </w:tcPr>
          <w:p>
            <w:pPr>
              <w:jc w:val="center"/>
              <w:ind w:left="328"/>
              <w:spacing w:after="0"/>
              <w:rPr>
                <w:sz w:val="20"/>
                <w:szCs w:val="20"/>
                <w:color w:val="auto"/>
              </w:rPr>
            </w:pPr>
            <w:r>
              <w:rPr>
                <w:rFonts w:ascii="Calibri" w:cs="Calibri" w:eastAsia="Calibri" w:hAnsi="Calibri"/>
                <w:sz w:val="14"/>
                <w:szCs w:val="14"/>
                <w:b w:val="1"/>
                <w:bCs w:val="1"/>
                <w:color w:val="FFFFFF"/>
              </w:rPr>
              <w:t>Total</w:t>
            </w:r>
          </w:p>
        </w:tc>
        <w:tc>
          <w:tcPr>
            <w:tcW w:w="42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spacing w:after="0"/>
              <w:rPr>
                <w:sz w:val="14"/>
                <w:szCs w:val="14"/>
                <w:color w:val="auto"/>
              </w:rPr>
            </w:pPr>
          </w:p>
        </w:tc>
      </w:tr>
      <w:tr>
        <w:trPr>
          <w:trHeight w:val="170"/>
        </w:trPr>
        <w:tc>
          <w:tcPr>
            <w:tcW w:w="4140" w:type="dxa"/>
            <w:vAlign w:val="bottom"/>
            <w:tcBorders>
              <w:right w:val="single" w:sz="8" w:color="007CBA"/>
            </w:tcBorders>
            <w:shd w:val="clear" w:color="auto" w:fill="007CBA"/>
          </w:tcPr>
          <w:p>
            <w:pPr>
              <w:spacing w:after="0"/>
              <w:rPr>
                <w:sz w:val="14"/>
                <w:szCs w:val="14"/>
                <w:color w:val="auto"/>
              </w:rPr>
            </w:pPr>
          </w:p>
        </w:tc>
        <w:tc>
          <w:tcPr>
            <w:tcW w:w="136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136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Number of</w:t>
            </w:r>
          </w:p>
        </w:tc>
        <w:tc>
          <w:tcPr>
            <w:tcW w:w="42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Maximum</w:t>
            </w:r>
          </w:p>
        </w:tc>
      </w:tr>
      <w:tr>
        <w:trPr>
          <w:trHeight w:val="176"/>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Shares</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Number of</w:t>
            </w:r>
          </w:p>
        </w:tc>
      </w:tr>
      <w:tr>
        <w:trPr>
          <w:trHeight w:val="176"/>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28"/>
              <w:spacing w:after="0"/>
              <w:rPr>
                <w:sz w:val="20"/>
                <w:szCs w:val="20"/>
                <w:color w:val="auto"/>
              </w:rPr>
            </w:pPr>
            <w:r>
              <w:rPr>
                <w:rFonts w:ascii="Calibri" w:cs="Calibri" w:eastAsia="Calibri" w:hAnsi="Calibri"/>
                <w:sz w:val="14"/>
                <w:szCs w:val="14"/>
                <w:b w:val="1"/>
                <w:bCs w:val="1"/>
                <w:color w:val="FFFFFF"/>
              </w:rPr>
              <w:t>Purchased</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w w:val="99"/>
              </w:rPr>
              <w:t>Shares that</w:t>
            </w:r>
          </w:p>
        </w:tc>
      </w:tr>
      <w:tr>
        <w:trPr>
          <w:trHeight w:val="175"/>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as Part of</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May Yet be</w:t>
            </w:r>
          </w:p>
        </w:tc>
      </w:tr>
      <w:tr>
        <w:trPr>
          <w:trHeight w:val="176"/>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Total</w:t>
            </w:r>
          </w:p>
        </w:tc>
        <w:tc>
          <w:tcPr>
            <w:tcW w:w="4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28"/>
              <w:spacing w:after="0"/>
              <w:rPr>
                <w:sz w:val="20"/>
                <w:szCs w:val="20"/>
                <w:color w:val="auto"/>
              </w:rPr>
            </w:pPr>
            <w:r>
              <w:rPr>
                <w:rFonts w:ascii="Calibri" w:cs="Calibri" w:eastAsia="Calibri" w:hAnsi="Calibri"/>
                <w:sz w:val="14"/>
                <w:szCs w:val="14"/>
                <w:b w:val="1"/>
                <w:bCs w:val="1"/>
                <w:color w:val="FFFFFF"/>
              </w:rPr>
              <w:t>Publicly</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Purchased</w:t>
            </w:r>
          </w:p>
        </w:tc>
      </w:tr>
      <w:tr>
        <w:trPr>
          <w:trHeight w:val="175"/>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jc w:val="center"/>
              <w:ind w:left="368"/>
              <w:spacing w:after="0"/>
              <w:rPr>
                <w:sz w:val="20"/>
                <w:szCs w:val="20"/>
                <w:color w:val="auto"/>
              </w:rPr>
            </w:pPr>
            <w:r>
              <w:rPr>
                <w:rFonts w:ascii="Calibri" w:cs="Calibri" w:eastAsia="Calibri" w:hAnsi="Calibri"/>
                <w:sz w:val="14"/>
                <w:szCs w:val="14"/>
                <w:b w:val="1"/>
                <w:bCs w:val="1"/>
                <w:color w:val="FFFFFF"/>
              </w:rPr>
              <w:t>Number of</w:t>
            </w:r>
          </w:p>
        </w:tc>
        <w:tc>
          <w:tcPr>
            <w:tcW w:w="4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jc w:val="center"/>
              <w:ind w:left="423"/>
              <w:spacing w:after="0"/>
              <w:rPr>
                <w:sz w:val="20"/>
                <w:szCs w:val="20"/>
                <w:color w:val="auto"/>
              </w:rPr>
            </w:pPr>
            <w:r>
              <w:rPr>
                <w:rFonts w:ascii="Calibri" w:cs="Calibri" w:eastAsia="Calibri" w:hAnsi="Calibri"/>
                <w:sz w:val="14"/>
                <w:szCs w:val="14"/>
                <w:b w:val="1"/>
                <w:bCs w:val="1"/>
                <w:color w:val="FFFFFF"/>
              </w:rPr>
              <w:t>Average</w:t>
            </w:r>
          </w:p>
        </w:tc>
        <w:tc>
          <w:tcPr>
            <w:tcW w:w="44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Announced</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Under the</w:t>
            </w:r>
          </w:p>
        </w:tc>
      </w:tr>
      <w:tr>
        <w:trPr>
          <w:trHeight w:val="159"/>
        </w:trPr>
        <w:tc>
          <w:tcPr>
            <w:tcW w:w="4140" w:type="dxa"/>
            <w:vAlign w:val="bottom"/>
            <w:tcBorders>
              <w:right w:val="single" w:sz="8" w:color="007CBA"/>
            </w:tcBorders>
            <w:shd w:val="clear" w:color="auto" w:fill="007CBA"/>
          </w:tcPr>
          <w:p>
            <w:pPr>
              <w:spacing w:after="0"/>
              <w:rPr>
                <w:sz w:val="13"/>
                <w:szCs w:val="13"/>
                <w:color w:val="auto"/>
              </w:rPr>
            </w:pPr>
          </w:p>
        </w:tc>
        <w:tc>
          <w:tcPr>
            <w:tcW w:w="1360" w:type="dxa"/>
            <w:vAlign w:val="bottom"/>
            <w:shd w:val="clear" w:color="auto" w:fill="007CBA"/>
          </w:tcPr>
          <w:p>
            <w:pPr>
              <w:jc w:val="center"/>
              <w:ind w:left="368"/>
              <w:spacing w:after="0" w:line="159" w:lineRule="exact"/>
              <w:rPr>
                <w:sz w:val="20"/>
                <w:szCs w:val="20"/>
                <w:color w:val="auto"/>
              </w:rPr>
            </w:pPr>
            <w:r>
              <w:rPr>
                <w:rFonts w:ascii="Calibri" w:cs="Calibri" w:eastAsia="Calibri" w:hAnsi="Calibri"/>
                <w:sz w:val="14"/>
                <w:szCs w:val="14"/>
                <w:b w:val="1"/>
                <w:bCs w:val="1"/>
                <w:color w:val="FFFFFF"/>
              </w:rPr>
              <w:t>Shares</w:t>
            </w:r>
          </w:p>
        </w:tc>
        <w:tc>
          <w:tcPr>
            <w:tcW w:w="440" w:type="dxa"/>
            <w:vAlign w:val="bottom"/>
            <w:tcBorders>
              <w:right w:val="single" w:sz="8" w:color="007CBA"/>
            </w:tcBorders>
            <w:shd w:val="clear" w:color="auto" w:fill="007CBA"/>
          </w:tcPr>
          <w:p>
            <w:pPr>
              <w:spacing w:after="0"/>
              <w:rPr>
                <w:sz w:val="13"/>
                <w:szCs w:val="13"/>
                <w:color w:val="auto"/>
              </w:rPr>
            </w:pPr>
          </w:p>
        </w:tc>
        <w:tc>
          <w:tcPr>
            <w:tcW w:w="1360" w:type="dxa"/>
            <w:vAlign w:val="bottom"/>
            <w:shd w:val="clear" w:color="auto" w:fill="007CBA"/>
          </w:tcPr>
          <w:p>
            <w:pPr>
              <w:jc w:val="center"/>
              <w:ind w:left="423"/>
              <w:spacing w:after="0" w:line="159" w:lineRule="exact"/>
              <w:rPr>
                <w:sz w:val="20"/>
                <w:szCs w:val="20"/>
                <w:color w:val="auto"/>
              </w:rPr>
            </w:pPr>
            <w:r>
              <w:rPr>
                <w:rFonts w:ascii="Calibri" w:cs="Calibri" w:eastAsia="Calibri" w:hAnsi="Calibri"/>
                <w:sz w:val="14"/>
                <w:szCs w:val="14"/>
                <w:b w:val="1"/>
                <w:bCs w:val="1"/>
                <w:color w:val="FFFFFF"/>
              </w:rPr>
              <w:t>Price Paid</w:t>
            </w:r>
          </w:p>
        </w:tc>
        <w:tc>
          <w:tcPr>
            <w:tcW w:w="440" w:type="dxa"/>
            <w:vAlign w:val="bottom"/>
            <w:tcBorders>
              <w:right w:val="single" w:sz="8" w:color="007CBA"/>
            </w:tcBorders>
            <w:shd w:val="clear" w:color="auto" w:fill="007CBA"/>
          </w:tcPr>
          <w:p>
            <w:pPr>
              <w:spacing w:after="0"/>
              <w:rPr>
                <w:sz w:val="13"/>
                <w:szCs w:val="13"/>
                <w:color w:val="auto"/>
              </w:rPr>
            </w:pPr>
          </w:p>
        </w:tc>
        <w:tc>
          <w:tcPr>
            <w:tcW w:w="1340" w:type="dxa"/>
            <w:vAlign w:val="bottom"/>
            <w:shd w:val="clear" w:color="auto" w:fill="007CBA"/>
          </w:tcPr>
          <w:p>
            <w:pPr>
              <w:jc w:val="center"/>
              <w:ind w:left="348"/>
              <w:spacing w:after="0" w:line="159" w:lineRule="exact"/>
              <w:rPr>
                <w:sz w:val="20"/>
                <w:szCs w:val="20"/>
                <w:color w:val="auto"/>
              </w:rPr>
            </w:pPr>
            <w:r>
              <w:rPr>
                <w:rFonts w:ascii="Calibri" w:cs="Calibri" w:eastAsia="Calibri" w:hAnsi="Calibri"/>
                <w:sz w:val="14"/>
                <w:szCs w:val="14"/>
                <w:b w:val="1"/>
                <w:bCs w:val="1"/>
                <w:color w:val="FFFFFF"/>
              </w:rPr>
              <w:t>Plans or</w:t>
            </w:r>
          </w:p>
        </w:tc>
        <w:tc>
          <w:tcPr>
            <w:tcW w:w="420" w:type="dxa"/>
            <w:vAlign w:val="bottom"/>
            <w:tcBorders>
              <w:right w:val="single" w:sz="8" w:color="007CBA"/>
            </w:tcBorders>
            <w:shd w:val="clear" w:color="auto" w:fill="007CBA"/>
          </w:tcPr>
          <w:p>
            <w:pPr>
              <w:spacing w:after="0"/>
              <w:rPr>
                <w:sz w:val="13"/>
                <w:szCs w:val="13"/>
                <w:color w:val="auto"/>
              </w:rPr>
            </w:pPr>
          </w:p>
        </w:tc>
        <w:tc>
          <w:tcPr>
            <w:tcW w:w="1740" w:type="dxa"/>
            <w:vAlign w:val="bottom"/>
            <w:shd w:val="clear" w:color="auto" w:fill="007CBA"/>
          </w:tcPr>
          <w:p>
            <w:pPr>
              <w:jc w:val="center"/>
              <w:spacing w:after="0" w:line="159" w:lineRule="exact"/>
              <w:rPr>
                <w:sz w:val="20"/>
                <w:szCs w:val="20"/>
                <w:color w:val="auto"/>
              </w:rPr>
            </w:pPr>
            <w:r>
              <w:rPr>
                <w:rFonts w:ascii="Calibri" w:cs="Calibri" w:eastAsia="Calibri" w:hAnsi="Calibri"/>
                <w:sz w:val="14"/>
                <w:szCs w:val="14"/>
                <w:b w:val="1"/>
                <w:bCs w:val="1"/>
                <w:color w:val="FFFFFF"/>
                <w:w w:val="98"/>
              </w:rPr>
              <w:t>Plans or</w:t>
            </w:r>
          </w:p>
        </w:tc>
      </w:tr>
      <w:tr>
        <w:trPr>
          <w:trHeight w:val="212"/>
        </w:trPr>
        <w:tc>
          <w:tcPr>
            <w:tcW w:w="4140" w:type="dxa"/>
            <w:vAlign w:val="bottom"/>
            <w:tcBorders>
              <w:right w:val="single" w:sz="8" w:color="007CBA"/>
            </w:tcBorders>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Period</w:t>
            </w:r>
          </w:p>
        </w:tc>
        <w:tc>
          <w:tcPr>
            <w:tcW w:w="136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Purchased</w:t>
            </w:r>
          </w:p>
        </w:tc>
        <w:tc>
          <w:tcPr>
            <w:tcW w:w="440" w:type="dxa"/>
            <w:vAlign w:val="bottom"/>
            <w:tcBorders>
              <w:right w:val="single" w:sz="8" w:color="007CBA"/>
            </w:tcBorders>
            <w:shd w:val="clear" w:color="auto" w:fill="007CBA"/>
          </w:tcPr>
          <w:p>
            <w:pPr>
              <w:spacing w:after="0"/>
              <w:rPr>
                <w:sz w:val="18"/>
                <w:szCs w:val="18"/>
                <w:color w:val="auto"/>
              </w:rPr>
            </w:pPr>
          </w:p>
        </w:tc>
        <w:tc>
          <w:tcPr>
            <w:tcW w:w="1360" w:type="dxa"/>
            <w:vAlign w:val="bottom"/>
            <w:shd w:val="clear" w:color="auto" w:fill="007CBA"/>
          </w:tcPr>
          <w:p>
            <w:pPr>
              <w:jc w:val="center"/>
              <w:ind w:left="423"/>
              <w:spacing w:after="0"/>
              <w:rPr>
                <w:sz w:val="20"/>
                <w:szCs w:val="20"/>
                <w:color w:val="auto"/>
              </w:rPr>
            </w:pPr>
            <w:r>
              <w:rPr>
                <w:rFonts w:ascii="Calibri" w:cs="Calibri" w:eastAsia="Calibri" w:hAnsi="Calibri"/>
                <w:sz w:val="14"/>
                <w:szCs w:val="14"/>
                <w:b w:val="1"/>
                <w:bCs w:val="1"/>
                <w:color w:val="FFFFFF"/>
              </w:rPr>
              <w:t>per Share</w:t>
            </w:r>
          </w:p>
        </w:tc>
        <w:tc>
          <w:tcPr>
            <w:tcW w:w="440" w:type="dxa"/>
            <w:vAlign w:val="bottom"/>
            <w:tcBorders>
              <w:right w:val="single" w:sz="8" w:color="007CBA"/>
            </w:tcBorders>
            <w:shd w:val="clear" w:color="auto" w:fill="007CBA"/>
          </w:tcPr>
          <w:p>
            <w:pPr>
              <w:spacing w:after="0"/>
              <w:rPr>
                <w:sz w:val="18"/>
                <w:szCs w:val="18"/>
                <w:color w:val="auto"/>
              </w:rPr>
            </w:pPr>
          </w:p>
        </w:tc>
        <w:tc>
          <w:tcPr>
            <w:tcW w:w="1340" w:type="dxa"/>
            <w:vAlign w:val="bottom"/>
            <w:shd w:val="clear" w:color="auto" w:fill="007CBA"/>
          </w:tcPr>
          <w:p>
            <w:pPr>
              <w:jc w:val="center"/>
              <w:ind w:left="348"/>
              <w:spacing w:after="0" w:line="212" w:lineRule="exact"/>
              <w:rPr>
                <w:sz w:val="20"/>
                <w:szCs w:val="20"/>
                <w:color w:val="auto"/>
              </w:rPr>
            </w:pPr>
            <w:r>
              <w:rPr>
                <w:rFonts w:ascii="Calibri" w:cs="Calibri" w:eastAsia="Calibri" w:hAnsi="Calibri"/>
                <w:sz w:val="14"/>
                <w:szCs w:val="14"/>
                <w:b w:val="1"/>
                <w:bCs w:val="1"/>
                <w:color w:val="FFFFFF"/>
                <w:w w:val="97"/>
              </w:rPr>
              <w:t>Programs</w:t>
            </w:r>
            <w:r>
              <w:rPr>
                <w:rFonts w:ascii="Calibri" w:cs="Calibri" w:eastAsia="Calibri" w:hAnsi="Calibri"/>
                <w:sz w:val="19"/>
                <w:szCs w:val="19"/>
                <w:b w:val="1"/>
                <w:bCs w:val="1"/>
                <w:color w:val="FFFFFF"/>
                <w:w w:val="97"/>
                <w:vertAlign w:val="superscript"/>
              </w:rPr>
              <w:t>(1)</w:t>
            </w:r>
          </w:p>
        </w:tc>
        <w:tc>
          <w:tcPr>
            <w:tcW w:w="420" w:type="dxa"/>
            <w:vAlign w:val="bottom"/>
            <w:tcBorders>
              <w:right w:val="single" w:sz="8" w:color="007CBA"/>
            </w:tcBorders>
            <w:shd w:val="clear" w:color="auto" w:fill="007CBA"/>
          </w:tcPr>
          <w:p>
            <w:pPr>
              <w:spacing w:after="0"/>
              <w:rPr>
                <w:sz w:val="18"/>
                <w:szCs w:val="18"/>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Programs</w:t>
            </w:r>
          </w:p>
        </w:tc>
      </w:tr>
      <w:tr>
        <w:trPr>
          <w:trHeight w:val="198"/>
        </w:trPr>
        <w:tc>
          <w:tcPr>
            <w:tcW w:w="414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October 1, 2024 — October 31, 2024</w:t>
            </w:r>
          </w:p>
        </w:tc>
        <w:tc>
          <w:tcPr>
            <w:tcW w:w="1360" w:type="dxa"/>
            <w:vAlign w:val="bottom"/>
          </w:tcPr>
          <w:p>
            <w:pPr>
              <w:spacing w:after="0"/>
              <w:rPr>
                <w:sz w:val="17"/>
                <w:szCs w:val="17"/>
                <w:color w:val="auto"/>
              </w:rPr>
            </w:pPr>
          </w:p>
        </w:tc>
        <w:tc>
          <w:tcPr>
            <w:tcW w:w="440" w:type="dxa"/>
            <w:vAlign w:val="bottom"/>
            <w:tcBorders>
              <w:right w:val="single" w:sz="8" w:color="007CBA"/>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1360" w:type="dxa"/>
            <w:vAlign w:val="bottom"/>
          </w:tcPr>
          <w:p>
            <w:pPr>
              <w:jc w:val="right"/>
              <w:ind w:right="1003"/>
              <w:spacing w:after="0" w:line="193" w:lineRule="exact"/>
              <w:rPr>
                <w:sz w:val="20"/>
                <w:szCs w:val="20"/>
                <w:color w:val="auto"/>
              </w:rPr>
            </w:pPr>
            <w:r>
              <w:rPr>
                <w:rFonts w:ascii="Calibri" w:cs="Calibri" w:eastAsia="Calibri" w:hAnsi="Calibri"/>
                <w:sz w:val="16"/>
                <w:szCs w:val="16"/>
                <w:color w:val="auto"/>
              </w:rPr>
              <w:t>$</w:t>
            </w:r>
          </w:p>
        </w:tc>
        <w:tc>
          <w:tcPr>
            <w:tcW w:w="440" w:type="dxa"/>
            <w:vAlign w:val="bottom"/>
            <w:tcBorders>
              <w:right w:val="single" w:sz="8" w:color="007CBA"/>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1340" w:type="dxa"/>
            <w:vAlign w:val="bottom"/>
          </w:tcPr>
          <w:p>
            <w:pPr>
              <w:spacing w:after="0"/>
              <w:rPr>
                <w:sz w:val="17"/>
                <w:szCs w:val="17"/>
                <w:color w:val="auto"/>
              </w:rPr>
            </w:pPr>
          </w:p>
        </w:tc>
        <w:tc>
          <w:tcPr>
            <w:tcW w:w="42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w:t>
            </w:r>
          </w:p>
        </w:tc>
        <w:tc>
          <w:tcPr>
            <w:tcW w:w="1740" w:type="dxa"/>
            <w:vAlign w:val="bottom"/>
          </w:tcPr>
          <w:p>
            <w:pPr>
              <w:jc w:val="right"/>
              <w:ind w:right="65"/>
              <w:spacing w:after="0" w:line="193" w:lineRule="exact"/>
              <w:rPr>
                <w:sz w:val="20"/>
                <w:szCs w:val="20"/>
                <w:color w:val="auto"/>
              </w:rPr>
            </w:pPr>
            <w:r>
              <w:rPr>
                <w:rFonts w:ascii="Calibri" w:cs="Calibri" w:eastAsia="Calibri" w:hAnsi="Calibri"/>
                <w:sz w:val="16"/>
                <w:szCs w:val="16"/>
                <w:color w:val="auto"/>
              </w:rPr>
              <w:t>11,935,338</w:t>
            </w:r>
          </w:p>
        </w:tc>
      </w:tr>
      <w:tr>
        <w:trPr>
          <w:trHeight w:val="207"/>
        </w:trPr>
        <w:tc>
          <w:tcPr>
            <w:tcW w:w="4140" w:type="dxa"/>
            <w:vAlign w:val="bottom"/>
            <w:tcBorders>
              <w:right w:val="single" w:sz="8" w:color="007CBA"/>
            </w:tcBorders>
            <w:shd w:val="clear" w:color="auto" w:fill="E5F1F8"/>
          </w:tcPr>
          <w:p>
            <w:pPr>
              <w:ind w:left="120"/>
              <w:spacing w:after="0"/>
              <w:rPr>
                <w:sz w:val="20"/>
                <w:szCs w:val="20"/>
                <w:color w:val="auto"/>
              </w:rPr>
            </w:pPr>
            <w:r>
              <w:rPr>
                <w:rFonts w:ascii="Calibri" w:cs="Calibri" w:eastAsia="Calibri" w:hAnsi="Calibri"/>
                <w:sz w:val="16"/>
                <w:szCs w:val="16"/>
                <w:color w:val="auto"/>
              </w:rPr>
              <w:t>November 1, 2024 — November 30, 2024</w:t>
            </w:r>
          </w:p>
        </w:tc>
        <w:tc>
          <w:tcPr>
            <w:tcW w:w="1360" w:type="dxa"/>
            <w:vAlign w:val="bottom"/>
            <w:shd w:val="clear" w:color="auto" w:fill="E5F1F8"/>
          </w:tcPr>
          <w:p>
            <w:pPr>
              <w:spacing w:after="0"/>
              <w:rPr>
                <w:sz w:val="18"/>
                <w:szCs w:val="18"/>
                <w:color w:val="auto"/>
              </w:rPr>
            </w:pPr>
          </w:p>
        </w:tc>
        <w:tc>
          <w:tcPr>
            <w:tcW w:w="440" w:type="dxa"/>
            <w:vAlign w:val="bottom"/>
            <w:tcBorders>
              <w:right w:val="single" w:sz="8" w:color="007CBA"/>
            </w:tcBorders>
            <w:shd w:val="clear" w:color="auto" w:fill="E5F1F8"/>
          </w:tcPr>
          <w:p>
            <w:pPr>
              <w:ind w:left="140"/>
              <w:spacing w:after="0"/>
              <w:rPr>
                <w:sz w:val="20"/>
                <w:szCs w:val="20"/>
                <w:color w:val="auto"/>
              </w:rPr>
            </w:pPr>
            <w:r>
              <w:rPr>
                <w:rFonts w:ascii="Calibri" w:cs="Calibri" w:eastAsia="Calibri" w:hAnsi="Calibri"/>
                <w:sz w:val="16"/>
                <w:szCs w:val="16"/>
                <w:color w:val="auto"/>
              </w:rPr>
              <w:t>—</w:t>
            </w:r>
          </w:p>
        </w:tc>
        <w:tc>
          <w:tcPr>
            <w:tcW w:w="1360" w:type="dxa"/>
            <w:vAlign w:val="bottom"/>
            <w:shd w:val="clear" w:color="auto" w:fill="E5F1F8"/>
          </w:tcPr>
          <w:p>
            <w:pPr>
              <w:jc w:val="right"/>
              <w:ind w:right="1003"/>
              <w:spacing w:after="0"/>
              <w:rPr>
                <w:sz w:val="20"/>
                <w:szCs w:val="20"/>
                <w:color w:val="auto"/>
              </w:rPr>
            </w:pPr>
            <w:r>
              <w:rPr>
                <w:rFonts w:ascii="Calibri" w:cs="Calibri" w:eastAsia="Calibri" w:hAnsi="Calibri"/>
                <w:sz w:val="16"/>
                <w:szCs w:val="16"/>
                <w:color w:val="auto"/>
              </w:rPr>
              <w:t>$</w:t>
            </w:r>
          </w:p>
        </w:tc>
        <w:tc>
          <w:tcPr>
            <w:tcW w:w="440" w:type="dxa"/>
            <w:vAlign w:val="bottom"/>
            <w:tcBorders>
              <w:right w:val="single" w:sz="8" w:color="007CBA"/>
            </w:tcBorders>
            <w:shd w:val="clear" w:color="auto" w:fill="E5F1F8"/>
          </w:tcPr>
          <w:p>
            <w:pPr>
              <w:ind w:left="140"/>
              <w:spacing w:after="0"/>
              <w:rPr>
                <w:sz w:val="20"/>
                <w:szCs w:val="20"/>
                <w:color w:val="auto"/>
              </w:rPr>
            </w:pPr>
            <w:r>
              <w:rPr>
                <w:rFonts w:ascii="Calibri" w:cs="Calibri" w:eastAsia="Calibri" w:hAnsi="Calibri"/>
                <w:sz w:val="16"/>
                <w:szCs w:val="16"/>
                <w:color w:val="auto"/>
              </w:rPr>
              <w:t>—</w:t>
            </w:r>
          </w:p>
        </w:tc>
        <w:tc>
          <w:tcPr>
            <w:tcW w:w="1340" w:type="dxa"/>
            <w:vAlign w:val="bottom"/>
            <w:shd w:val="clear" w:color="auto" w:fill="E5F1F8"/>
          </w:tcPr>
          <w:p>
            <w:pPr>
              <w:spacing w:after="0"/>
              <w:rPr>
                <w:sz w:val="18"/>
                <w:szCs w:val="18"/>
                <w:color w:val="auto"/>
              </w:rPr>
            </w:pPr>
          </w:p>
        </w:tc>
        <w:tc>
          <w:tcPr>
            <w:tcW w:w="420" w:type="dxa"/>
            <w:vAlign w:val="bottom"/>
            <w:tcBorders>
              <w:right w:val="single" w:sz="8" w:color="007CBA"/>
            </w:tcBorders>
            <w:shd w:val="clear" w:color="auto" w:fill="E5F1F8"/>
          </w:tcPr>
          <w:p>
            <w:pPr>
              <w:ind w:left="120"/>
              <w:spacing w:after="0"/>
              <w:rPr>
                <w:sz w:val="20"/>
                <w:szCs w:val="20"/>
                <w:color w:val="auto"/>
              </w:rPr>
            </w:pPr>
            <w:r>
              <w:rPr>
                <w:rFonts w:ascii="Calibri" w:cs="Calibri" w:eastAsia="Calibri" w:hAnsi="Calibri"/>
                <w:sz w:val="16"/>
                <w:szCs w:val="16"/>
                <w:color w:val="auto"/>
              </w:rPr>
              <w:t>—</w:t>
            </w:r>
          </w:p>
        </w:tc>
        <w:tc>
          <w:tcPr>
            <w:tcW w:w="1740" w:type="dxa"/>
            <w:vAlign w:val="bottom"/>
            <w:shd w:val="clear" w:color="auto" w:fill="E5F1F8"/>
          </w:tcPr>
          <w:p>
            <w:pPr>
              <w:jc w:val="right"/>
              <w:ind w:right="65"/>
              <w:spacing w:after="0"/>
              <w:rPr>
                <w:sz w:val="20"/>
                <w:szCs w:val="20"/>
                <w:color w:val="auto"/>
              </w:rPr>
            </w:pPr>
            <w:r>
              <w:rPr>
                <w:rFonts w:ascii="Calibri" w:cs="Calibri" w:eastAsia="Calibri" w:hAnsi="Calibri"/>
                <w:sz w:val="16"/>
                <w:szCs w:val="16"/>
                <w:color w:val="auto"/>
              </w:rPr>
              <w:t>11,935,338</w:t>
            </w:r>
          </w:p>
        </w:tc>
      </w:tr>
      <w:tr>
        <w:trPr>
          <w:trHeight w:val="198"/>
        </w:trPr>
        <w:tc>
          <w:tcPr>
            <w:tcW w:w="4140" w:type="dxa"/>
            <w:vAlign w:val="bottom"/>
            <w:tcBorders>
              <w:bottom w:val="single" w:sz="8" w:color="auto"/>
            </w:tcBorders>
          </w:tcPr>
          <w:p>
            <w:pPr>
              <w:ind w:left="120"/>
              <w:spacing w:after="0" w:line="193" w:lineRule="exact"/>
              <w:rPr>
                <w:sz w:val="20"/>
                <w:szCs w:val="20"/>
                <w:color w:val="auto"/>
              </w:rPr>
            </w:pPr>
            <w:r>
              <w:rPr>
                <w:rFonts w:ascii="Calibri" w:cs="Calibri" w:eastAsia="Calibri" w:hAnsi="Calibri"/>
                <w:sz w:val="16"/>
                <w:szCs w:val="16"/>
                <w:color w:val="auto"/>
              </w:rPr>
              <w:t>December 1, 2024 — December 31, 2024</w:t>
            </w: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1360" w:type="dxa"/>
            <w:vAlign w:val="bottom"/>
            <w:tcBorders>
              <w:bottom w:val="single" w:sz="8" w:color="auto"/>
            </w:tcBorders>
          </w:tcPr>
          <w:p>
            <w:pPr>
              <w:jc w:val="right"/>
              <w:ind w:right="1003"/>
              <w:spacing w:after="0" w:line="193" w:lineRule="exact"/>
              <w:rPr>
                <w:sz w:val="20"/>
                <w:szCs w:val="20"/>
                <w:color w:val="auto"/>
              </w:rPr>
            </w:pPr>
            <w:r>
              <w:rPr>
                <w:rFonts w:ascii="Calibri" w:cs="Calibri" w:eastAsia="Calibri" w:hAnsi="Calibri"/>
                <w:sz w:val="16"/>
                <w:szCs w:val="16"/>
                <w:color w:val="auto"/>
              </w:rPr>
              <w:t>$</w:t>
            </w:r>
          </w:p>
        </w:tc>
        <w:tc>
          <w:tcPr>
            <w:tcW w:w="1780" w:type="dxa"/>
            <w:vAlign w:val="bottom"/>
            <w:tcBorders>
              <w:bottom w:val="single" w:sz="8" w:color="auto"/>
            </w:tcBorders>
            <w:gridSpan w:val="2"/>
          </w:tcPr>
          <w:p>
            <w:pPr>
              <w:ind w:left="140"/>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auto"/>
            </w:tcBorders>
          </w:tcPr>
          <w:p>
            <w:pPr>
              <w:ind w:left="120"/>
              <w:spacing w:after="0" w:line="193" w:lineRule="exact"/>
              <w:rPr>
                <w:sz w:val="20"/>
                <w:szCs w:val="20"/>
                <w:color w:val="auto"/>
              </w:rPr>
            </w:pPr>
            <w:r>
              <w:rPr>
                <w:rFonts w:ascii="Calibri" w:cs="Calibri" w:eastAsia="Calibri" w:hAnsi="Calibri"/>
                <w:sz w:val="16"/>
                <w:szCs w:val="16"/>
                <w:color w:val="auto"/>
              </w:rPr>
              <w:t>—</w:t>
            </w:r>
          </w:p>
        </w:tc>
        <w:tc>
          <w:tcPr>
            <w:tcW w:w="1740" w:type="dxa"/>
            <w:vAlign w:val="bottom"/>
            <w:tcBorders>
              <w:bottom w:val="single" w:sz="8" w:color="auto"/>
            </w:tcBorders>
          </w:tcPr>
          <w:p>
            <w:pPr>
              <w:jc w:val="right"/>
              <w:ind w:right="65"/>
              <w:spacing w:after="0" w:line="193" w:lineRule="exact"/>
              <w:rPr>
                <w:sz w:val="20"/>
                <w:szCs w:val="20"/>
                <w:color w:val="auto"/>
              </w:rPr>
            </w:pPr>
            <w:r>
              <w:rPr>
                <w:rFonts w:ascii="Calibri" w:cs="Calibri" w:eastAsia="Calibri" w:hAnsi="Calibri"/>
                <w:sz w:val="16"/>
                <w:szCs w:val="16"/>
                <w:color w:val="auto"/>
              </w:rPr>
              <w:t>11,935,338</w:t>
            </w:r>
          </w:p>
        </w:tc>
      </w:tr>
      <w:tr>
        <w:trPr>
          <w:trHeight w:val="236"/>
        </w:trPr>
        <w:tc>
          <w:tcPr>
            <w:tcW w:w="4140" w:type="dxa"/>
            <w:vAlign w:val="bottom"/>
            <w:tcBorders>
              <w:bottom w:val="single" w:sz="8" w:color="auto"/>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Total</w:t>
            </w:r>
          </w:p>
        </w:tc>
        <w:tc>
          <w:tcPr>
            <w:tcW w:w="1360" w:type="dxa"/>
            <w:vAlign w:val="bottom"/>
            <w:tcBorders>
              <w:bottom w:val="single" w:sz="8" w:color="auto"/>
            </w:tcBorders>
            <w:shd w:val="clear" w:color="auto" w:fill="E5F1F8"/>
          </w:tcPr>
          <w:p>
            <w:pPr>
              <w:spacing w:after="0"/>
              <w:rPr>
                <w:sz w:val="20"/>
                <w:szCs w:val="20"/>
                <w:color w:val="auto"/>
              </w:rPr>
            </w:pPr>
          </w:p>
        </w:tc>
        <w:tc>
          <w:tcPr>
            <w:tcW w:w="440" w:type="dxa"/>
            <w:vAlign w:val="bottom"/>
            <w:tcBorders>
              <w:bottom w:val="single" w:sz="8" w:color="auto"/>
              <w:right w:val="single" w:sz="8" w:color="E5F1F8"/>
            </w:tcBorders>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1360" w:type="dxa"/>
            <w:vAlign w:val="bottom"/>
            <w:tcBorders>
              <w:bottom w:val="single" w:sz="8" w:color="auto"/>
            </w:tcBorders>
            <w:shd w:val="clear" w:color="auto" w:fill="E5F1F8"/>
          </w:tcPr>
          <w:p>
            <w:pPr>
              <w:jc w:val="right"/>
              <w:ind w:right="1003"/>
              <w:spacing w:after="0" w:line="193" w:lineRule="exact"/>
              <w:rPr>
                <w:sz w:val="20"/>
                <w:szCs w:val="20"/>
                <w:color w:val="auto"/>
              </w:rPr>
            </w:pPr>
            <w:r>
              <w:rPr>
                <w:rFonts w:ascii="Calibri" w:cs="Calibri" w:eastAsia="Calibri" w:hAnsi="Calibri"/>
                <w:sz w:val="16"/>
                <w:szCs w:val="16"/>
                <w:color w:val="auto"/>
              </w:rPr>
              <w:t>$</w:t>
            </w:r>
          </w:p>
        </w:tc>
        <w:tc>
          <w:tcPr>
            <w:tcW w:w="1780" w:type="dxa"/>
            <w:vAlign w:val="bottom"/>
            <w:tcBorders>
              <w:bottom w:val="single" w:sz="8" w:color="auto"/>
            </w:tcBorders>
            <w:gridSpan w:val="2"/>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auto"/>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w:t>
            </w:r>
          </w:p>
        </w:tc>
        <w:tc>
          <w:tcPr>
            <w:tcW w:w="1740" w:type="dxa"/>
            <w:vAlign w:val="bottom"/>
            <w:tcBorders>
              <w:bottom w:val="single" w:sz="8" w:color="auto"/>
            </w:tcBorders>
            <w:shd w:val="clear" w:color="auto" w:fill="E5F1F8"/>
          </w:tcPr>
          <w:p>
            <w:pPr>
              <w:jc w:val="right"/>
              <w:ind w:right="65"/>
              <w:spacing w:after="0" w:line="193" w:lineRule="exact"/>
              <w:rPr>
                <w:sz w:val="20"/>
                <w:szCs w:val="20"/>
                <w:color w:val="auto"/>
              </w:rPr>
            </w:pPr>
            <w:r>
              <w:rPr>
                <w:rFonts w:ascii="Calibri" w:cs="Calibri" w:eastAsia="Calibri" w:hAnsi="Calibri"/>
                <w:sz w:val="16"/>
                <w:szCs w:val="16"/>
                <w:color w:val="auto"/>
              </w:rPr>
              <w:t>11,935,338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-303530</wp:posOffset>
            </wp:positionV>
            <wp:extent cx="34290" cy="316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-303530</wp:posOffset>
            </wp:positionV>
            <wp:extent cx="34290" cy="316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-303530</wp:posOffset>
            </wp:positionV>
            <wp:extent cx="34290" cy="316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-303530</wp:posOffset>
            </wp:positionV>
            <wp:extent cx="33655" cy="316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20" w:lineRule="exact"/>
        <w:rPr>
          <w:sz w:val="20"/>
          <w:szCs w:val="20"/>
          <w:color w:val="auto"/>
        </w:rPr>
      </w:pPr>
    </w:p>
    <w:p>
      <w:pPr>
        <w:jc w:val="both"/>
        <w:ind w:left="800" w:hanging="397"/>
        <w:spacing w:after="0" w:line="246" w:lineRule="auto"/>
        <w:tabs>
          <w:tab w:leader="none" w:pos="80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The Company’s stock repurchase program, which currently authorizes the repurchase of 20 million shares of common stock, is approved by the Board of Directors from tme to tme, and updated as appropriate by the Board of Directors, and announced to the public by press release. The latest announcement on this topic was the Company’s press release dated February 10, 2015 that its Board of Directors had authorized the repurchase of up to 20 million shares of its outstanding common stock, which included 5 million shares authorized under the Company’s previous share repurchase program. Previous press releases announcing prior share repurchase programs and the related amounts of common stock included under the share repurchase authorizatons were as follows: (i) press release dated August 15, 2007 (5 million shares); (ii) press release dated February 22, 2006 (5 million shares); and (iii) May 6, 1994 (2.5 million shares).</w:t>
      </w:r>
    </w:p>
    <w:p>
      <w:pPr>
        <w:spacing w:after="0" w:line="20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6 – RESERVED</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Not required.</w:t>
      </w:r>
    </w:p>
    <w:p>
      <w:pPr>
        <w:spacing w:after="0" w:line="1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5" w:name="page36"/>
    <w:bookmarkEnd w:id="35"/>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4" w:lineRule="exact"/>
        <w:rPr>
          <w:sz w:val="20"/>
          <w:szCs w:val="20"/>
          <w:color w:val="auto"/>
        </w:rPr>
      </w:pPr>
    </w:p>
    <w:p>
      <w:pPr>
        <w:jc w:val="both"/>
        <w:spacing w:after="0"/>
        <w:rPr>
          <w:sz w:val="20"/>
          <w:szCs w:val="20"/>
          <w:color w:val="auto"/>
        </w:rPr>
      </w:pPr>
      <w:r>
        <w:rPr>
          <w:rFonts w:ascii="Calibri" w:cs="Calibri" w:eastAsia="Calibri" w:hAnsi="Calibri"/>
          <w:sz w:val="25"/>
          <w:szCs w:val="25"/>
          <w:b w:val="1"/>
          <w:bCs w:val="1"/>
          <w:color w:val="auto"/>
        </w:rPr>
        <w:t>ITEM 7 – MANAGEMENT’S DISCUSSION AND ANALYSIS OF FINANCIAL CONDITION AND RESULTS OF OPERATIONS</w:t>
      </w:r>
    </w:p>
    <w:p>
      <w:pPr>
        <w:spacing w:after="0" w:line="11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INTRODUCTORY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89535</wp:posOffset>
            </wp:positionV>
            <wp:extent cx="3917315" cy="3094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91731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Martn Marieta Materials, Inc. (the Company or Martn Marieta) is a natural resource-based building materials company, with 2024 revenues of $6.5 billion and 2024 net earnings from contnuing operatons atributable to Martn Marieta of $2.0 billion, inclusive of a $976 million afer-tax nonrecurring gain on the divestture of the Company's South Texas cement plant and related ready mixed concrete operatons (the Divestture). These results were achieved in part by supplying aggregates (crushed stone, sand and gravel) through its network of approximately 390 quarries, mines and distributon yards in 28 states, Canada and The Bahamas. Martn Marieta also provides cement and downstream products, namely ready mixed concrete, asphalt and paving services, in certain markets where the Company has a leading aggregates positon. Specifcally, the Company has one cement plant and two cement distributon facilites in Texas, ready mixed concrete operatons in Arizona and Texas, and asphalt operatons in Arizona, California, Colorado and Minnesota. Paving services are ofered in California and Colorado.</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product lines are reported collectvely as the “Building Materials” business.</w:t>
      </w:r>
    </w:p>
    <w:p>
      <w:pPr>
        <w:spacing w:after="0" w:line="12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6" w:name="page37"/>
    <w:bookmarkEnd w:id="36"/>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more fully discussed in the </w:t>
      </w:r>
      <w:r>
        <w:rPr>
          <w:rFonts w:ascii="Calibri" w:cs="Calibri" w:eastAsia="Calibri" w:hAnsi="Calibri"/>
          <w:sz w:val="18"/>
          <w:szCs w:val="18"/>
          <w:i w:val="1"/>
          <w:iCs w:val="1"/>
          <w:color w:val="auto"/>
        </w:rPr>
        <w:t>Strategic Objectves</w:t>
      </w:r>
      <w:r>
        <w:rPr>
          <w:rFonts w:ascii="Calibri" w:cs="Calibri" w:eastAsia="Calibri" w:hAnsi="Calibri"/>
          <w:sz w:val="18"/>
          <w:szCs w:val="18"/>
          <w:color w:val="auto"/>
        </w:rPr>
        <w:t xml:space="preserve"> secton, geography is critcally important for the Building Materials business. The Company conducts its Building Materials business through two reportable segments, organized by geography: East Group and West Group. The East Group, consistng of the East and Central divisions, provides aggregates and asphalt products. The West Group is comprised of the Southwest and West divisions and provides aggregates, cement, ready mixed concrete, asphalt and paving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85090</wp:posOffset>
            </wp:positionV>
            <wp:extent cx="5838190" cy="24174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3819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ten states accounted for 81% of the Building Materials business 2024 revenues: Texas, North Carolina, Colorado, California, Georgia, Florida, Minnesota, Arizona, South Carolina and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83820</wp:posOffset>
            </wp:positionV>
            <wp:extent cx="4354830" cy="31800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5483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7" w:name="page38"/>
    <w:bookmarkEnd w:id="37"/>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Magnesia Specialtes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operates a Magnesia Specialtes business with producton facilites in Michigan and Ohio. The Magnesia Specialtes business produces magnesia-based chemicals products used in industrial, agricultural and environmental applicatons. It also produces dolomitc lime sold primarily to customers for steel producton and soil stabilizaton. Magnesia Specialtes’ products are shipped to customers domestcally and worldwide.</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Strategic Objectves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Company’s strategic planning process, or </w:t>
      </w:r>
      <w:r>
        <w:rPr>
          <w:rFonts w:ascii="Calibri" w:cs="Calibri" w:eastAsia="Calibri" w:hAnsi="Calibri"/>
          <w:sz w:val="18"/>
          <w:szCs w:val="18"/>
          <w:b w:val="1"/>
          <w:bCs w:val="1"/>
          <w:color w:val="auto"/>
        </w:rPr>
        <w:t>S</w:t>
      </w:r>
      <w:r>
        <w:rPr>
          <w:rFonts w:ascii="Calibri" w:cs="Calibri" w:eastAsia="Calibri" w:hAnsi="Calibri"/>
          <w:sz w:val="18"/>
          <w:szCs w:val="18"/>
          <w:color w:val="auto"/>
        </w:rPr>
        <w:t xml:space="preserve">trategic </w:t>
      </w:r>
      <w:r>
        <w:rPr>
          <w:rFonts w:ascii="Calibri" w:cs="Calibri" w:eastAsia="Calibri" w:hAnsi="Calibri"/>
          <w:sz w:val="18"/>
          <w:szCs w:val="18"/>
          <w:b w:val="1"/>
          <w:bCs w:val="1"/>
          <w:color w:val="auto"/>
        </w:rPr>
        <w:t>O</w:t>
      </w:r>
      <w:r>
        <w:rPr>
          <w:rFonts w:ascii="Calibri" w:cs="Calibri" w:eastAsia="Calibri" w:hAnsi="Calibri"/>
          <w:sz w:val="18"/>
          <w:szCs w:val="18"/>
          <w:color w:val="auto"/>
        </w:rPr>
        <w:t xml:space="preserve">peratng </w:t>
      </w:r>
      <w:r>
        <w:rPr>
          <w:rFonts w:ascii="Calibri" w:cs="Calibri" w:eastAsia="Calibri" w:hAnsi="Calibri"/>
          <w:sz w:val="18"/>
          <w:szCs w:val="18"/>
          <w:b w:val="1"/>
          <w:bCs w:val="1"/>
          <w:color w:val="auto"/>
        </w:rPr>
        <w:t>A</w:t>
      </w:r>
      <w:r>
        <w:rPr>
          <w:rFonts w:ascii="Calibri" w:cs="Calibri" w:eastAsia="Calibri" w:hAnsi="Calibri"/>
          <w:sz w:val="18"/>
          <w:szCs w:val="18"/>
          <w:color w:val="auto"/>
        </w:rPr>
        <w:t xml:space="preserve">nalysis and </w:t>
      </w:r>
      <w:r>
        <w:rPr>
          <w:rFonts w:ascii="Calibri" w:cs="Calibri" w:eastAsia="Calibri" w:hAnsi="Calibri"/>
          <w:sz w:val="18"/>
          <w:szCs w:val="18"/>
          <w:b w:val="1"/>
          <w:bCs w:val="1"/>
          <w:color w:val="auto"/>
        </w:rPr>
        <w:t>R</w:t>
      </w:r>
      <w:r>
        <w:rPr>
          <w:rFonts w:ascii="Calibri" w:cs="Calibri" w:eastAsia="Calibri" w:hAnsi="Calibri"/>
          <w:sz w:val="18"/>
          <w:szCs w:val="18"/>
          <w:color w:val="auto"/>
        </w:rPr>
        <w:t>eview (SOAR), provides the framework for executon of Martn Marieta’s long-term strategic plan. Guided by this framework and considering the cyclicality of the Building Materials business, the Company determines capital allocaton priorites to maximize long-term shareholder value creaton. The Company’s strategy includes ongoing evaluaton of aggregates-led opportunites of scale in new domestc markets (</w:t>
      </w:r>
      <w:r>
        <w:rPr>
          <w:rFonts w:ascii="Calibri" w:cs="Calibri" w:eastAsia="Calibri" w:hAnsi="Calibri"/>
          <w:sz w:val="18"/>
          <w:szCs w:val="18"/>
          <w:i w:val="1"/>
          <w:iCs w:val="1"/>
          <w:color w:val="auto"/>
        </w:rPr>
        <w:t>i.e.</w:t>
      </w:r>
      <w:r>
        <w:rPr>
          <w:rFonts w:ascii="Calibri" w:cs="Calibri" w:eastAsia="Calibri" w:hAnsi="Calibri"/>
          <w:sz w:val="18"/>
          <w:szCs w:val="18"/>
          <w:color w:val="auto"/>
        </w:rPr>
        <w:t>, platorm acquisitons) and expansion through acquisitons that complement existng operatons (</w:t>
      </w:r>
      <w:r>
        <w:rPr>
          <w:rFonts w:ascii="Calibri" w:cs="Calibri" w:eastAsia="Calibri" w:hAnsi="Calibri"/>
          <w:sz w:val="18"/>
          <w:szCs w:val="18"/>
          <w:i w:val="1"/>
          <w:iCs w:val="1"/>
          <w:color w:val="auto"/>
        </w:rPr>
        <w:t>i.e.</w:t>
      </w:r>
      <w:r>
        <w:rPr>
          <w:rFonts w:ascii="Calibri" w:cs="Calibri" w:eastAsia="Calibri" w:hAnsi="Calibri"/>
          <w:sz w:val="18"/>
          <w:szCs w:val="18"/>
          <w:color w:val="auto"/>
        </w:rPr>
        <w:t xml:space="preserve">, bolt-on acquisitons). The Company fnances such opportunites with the goal of preserving its fnancial fexibility by having a leverage rato (consolidated net debt to consolidated earnings before interest, taxes, depreciaton, depleton and amortzaton, earnings/loss from nonconsolidated equity afliates and certain other adjustments as specifed in the </w:t>
      </w:r>
      <w:r>
        <w:rPr>
          <w:rFonts w:ascii="Calibri" w:cs="Calibri" w:eastAsia="Calibri" w:hAnsi="Calibri"/>
          <w:sz w:val="18"/>
          <w:szCs w:val="18"/>
          <w:i w:val="1"/>
          <w:iCs w:val="1"/>
          <w:color w:val="auto"/>
        </w:rPr>
        <w:t>Results of Operatons</w:t>
      </w:r>
      <w:r>
        <w:rPr>
          <w:rFonts w:ascii="Calibri" w:cs="Calibri" w:eastAsia="Calibri" w:hAnsi="Calibri"/>
          <w:sz w:val="18"/>
          <w:szCs w:val="18"/>
          <w:color w:val="auto"/>
        </w:rPr>
        <w:t xml:space="preserve"> secton, or Adjusted EBITDA) within a range of 2.0 tmes to 2.5 tmes within a reasonable period of tme (typically within 18 months) following the completon of a debt-fnanced transacton. SOAR also includes the identfcaton and potental dispositon of assets that are not consistent with stated strategic goals. Notably, the Company completed nearly $6.0 billion worth of portolio-optmizing transactons in 2024, divestng non-strategic cement and related ready mixed concrete businesses and redeploying the net proceeds into aggregates-led acquisitons in atractve markets (see Note B to the consolidated fnancial statements).</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by purposeful design, will contnue to be an aggregates-led business that focuses on markets with strong, underlying growth fundamentals where it can sustain or achieve a leading market positon. Aggregates gross proft represented 76% of 2024 total reportable segment gross proft. For Martn Marieta, strategic cement and targeted downstream operatons are located where the Company has, or envisions, among other things, a clear path toward a leading aggregates positon. Additonally, strategic cement operatons are geared toward markets in which supply cannot be meaningfully interdicted by waterborne product deliveries.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154305</wp:posOffset>
            </wp:positionV>
            <wp:extent cx="4046220" cy="3214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4622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8" w:name="page39"/>
    <w:bookmarkEnd w:id="3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the Company’s building materials are both sourced and sold locally. As a result, geography is critcally important when assessing market atractveness and growth opportunites. Atractve geographies generally exhibit (a) populaton growth and/or high populaton density, both of which are drivers of heavy-side building materials consumpton; (b) business and employment diversity, drivers of greater economic stability; and (c) a superior state fnancial positon, a driver of public infrastructure investment.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Populaton growth and density are typically assessed based on a site’s proximity to one of the megaregions in the United States. Megaregions are large networks of metropolitan populaton centers covering thousands of square miles. According to </w:t>
      </w:r>
      <w:r>
        <w:rPr>
          <w:rFonts w:ascii="Calibri" w:cs="Calibri" w:eastAsia="Calibri" w:hAnsi="Calibri"/>
          <w:sz w:val="18"/>
          <w:szCs w:val="18"/>
          <w:i w:val="1"/>
          <w:iCs w:val="1"/>
          <w:color w:val="auto"/>
        </w:rPr>
        <w:t>America 2050</w:t>
      </w:r>
      <w:r>
        <w:rPr>
          <w:rFonts w:ascii="Calibri" w:cs="Calibri" w:eastAsia="Calibri" w:hAnsi="Calibri"/>
          <w:sz w:val="18"/>
          <w:szCs w:val="18"/>
          <w:color w:val="auto"/>
        </w:rPr>
        <w:t>, a planning and policy program of the Regional Plan Associaton, most of the naton’s populaton and economic growth through 2050 will occur in 11 megaregions. The Company has a meaningful presence in ten megaregions. As evidence of the successful executon of SOAR, the Company’s leading positons in the Texas Triangle, Colorado’s Front Range, northern and southern California and Arizona’s Sun Corridor megaregions and its growth platorm in the southern porton of the Northeast megaregion are the results of acquisitons since 2011. The Company's enhanced positons in the Piedmont Atlantc megaregion and Florida megaregion were expanded with the Blue Water Industries LLC (BWI Southeast) acquisiton completed during 2024. The Company has a legacy presence in the southeastern porton of the Great Lakes megaregion, encompassing operatons in Indiana and Ohio, as well as the Gulf Coast megaregion 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95885</wp:posOffset>
            </wp:positionV>
            <wp:extent cx="5837555" cy="40119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37555" cy="401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focuses its geographic footprint along signifcant transportaton and commerce corridors, partcularly in key Sunbelt metropolitan statstcal areas (MSAs) across the Southeast and Southwest. The retail sector (both e-commerce as well as brick and mortar) values transportaton corridors, as logistcs and distributon are critcal consideratons for constructon supportng that industry. In additon, technology companies view these areas as atractve locatons for data centers.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considers a state’s fnancial health ratng, as issued by S&amp;P Global Ratngs, in determining the opportunites and atractveness of areas for both expansion and/or development. The Company’s top ten revenue-generatng states have been evaluated and scored a fnancial health ratng of AA- or higher, where AAA is the highest score. The Company also reviews the state’s ability to secure additonal infrastructure funding and fnancing.</w:t>
      </w:r>
    </w:p>
    <w:p>
      <w:pPr>
        <w:spacing w:after="0" w:line="12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9" w:name="page40"/>
    <w:bookmarkEnd w:id="39"/>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In line with the Company’s strategic objectves, management’s overall focus includes:</w:t>
      </w:r>
    </w:p>
    <w:p>
      <w:pPr>
        <w:spacing w:after="0" w:line="64" w:lineRule="exact"/>
        <w:rPr>
          <w:sz w:val="20"/>
          <w:szCs w:val="20"/>
          <w:color w:val="auto"/>
        </w:rPr>
      </w:pPr>
    </w:p>
    <w:p>
      <w:pPr>
        <w:ind w:left="880" w:hanging="279"/>
        <w:spacing w:after="0"/>
        <w:tabs>
          <w:tab w:leader="none" w:pos="8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Upholding the Company’s commitment to its Mission, Vision and Values</w:t>
      </w:r>
    </w:p>
    <w:p>
      <w:pPr>
        <w:spacing w:after="0" w:line="63"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Building and maintaining the world's safest, best-performing and most-durable aggregates-led public company</w:t>
      </w:r>
    </w:p>
    <w:p>
      <w:pPr>
        <w:spacing w:after="0" w:line="63"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Navigatng efectvely through constructon cycles to balance investment decisions against expected product demand</w:t>
      </w:r>
    </w:p>
    <w:p>
      <w:pPr>
        <w:spacing w:after="0" w:line="68" w:lineRule="exact"/>
        <w:rPr>
          <w:rFonts w:ascii="Times New Roman" w:cs="Times New Roman" w:eastAsia="Times New Roman" w:hAnsi="Times New Roman"/>
          <w:sz w:val="18"/>
          <w:szCs w:val="18"/>
          <w:color w:val="auto"/>
        </w:rPr>
      </w:pPr>
    </w:p>
    <w:p>
      <w:pPr>
        <w:ind w:left="880" w:hanging="279"/>
        <w:spacing w:after="0" w:line="235" w:lineRule="auto"/>
        <w:tabs>
          <w:tab w:leader="none" w:pos="8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Tracking shifs in populaton dynamics, as well as local, state and natonal economic conditons, to ensure changing trends are refected in the executon of the strategic plan</w:t>
      </w:r>
    </w:p>
    <w:p>
      <w:pPr>
        <w:spacing w:after="0" w:line="64"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Integratng acquired businesses efciently to maximize the return on the investment</w:t>
      </w:r>
    </w:p>
    <w:p>
      <w:pPr>
        <w:spacing w:after="0" w:line="63"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Allocatng capital in a prudent manner consistent with the following long-standing priorites while maintaining fnancial fexibility:</w:t>
      </w:r>
    </w:p>
    <w:p>
      <w:pPr>
        <w:spacing w:after="0" w:line="63" w:lineRule="exact"/>
        <w:rPr>
          <w:rFonts w:ascii="Times New Roman" w:cs="Times New Roman" w:eastAsia="Times New Roman" w:hAnsi="Times New Roman"/>
          <w:sz w:val="18"/>
          <w:szCs w:val="18"/>
          <w:color w:val="auto"/>
        </w:rPr>
      </w:pPr>
    </w:p>
    <w:p>
      <w:pPr>
        <w:ind w:left="1460" w:hanging="266"/>
        <w:spacing w:after="0"/>
        <w:tabs>
          <w:tab w:leader="none" w:pos="1460" w:val="left"/>
        </w:tabs>
        <w:numPr>
          <w:ilvl w:val="1"/>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Acquisitons</w:t>
      </w:r>
    </w:p>
    <w:p>
      <w:pPr>
        <w:spacing w:after="0" w:line="63" w:lineRule="exact"/>
        <w:rPr>
          <w:rFonts w:ascii="Times New Roman" w:cs="Times New Roman" w:eastAsia="Times New Roman" w:hAnsi="Times New Roman"/>
          <w:sz w:val="18"/>
          <w:szCs w:val="18"/>
          <w:color w:val="auto"/>
        </w:rPr>
      </w:pPr>
    </w:p>
    <w:p>
      <w:pPr>
        <w:ind w:left="1460" w:hanging="266"/>
        <w:spacing w:after="0"/>
        <w:tabs>
          <w:tab w:leader="none" w:pos="1460" w:val="left"/>
        </w:tabs>
        <w:numPr>
          <w:ilvl w:val="1"/>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Organic capital investment</w:t>
      </w:r>
    </w:p>
    <w:p>
      <w:pPr>
        <w:spacing w:after="0" w:line="50" w:lineRule="exact"/>
        <w:rPr>
          <w:rFonts w:ascii="Times New Roman" w:cs="Times New Roman" w:eastAsia="Times New Roman" w:hAnsi="Times New Roman"/>
          <w:sz w:val="18"/>
          <w:szCs w:val="18"/>
          <w:color w:val="auto"/>
        </w:rPr>
      </w:pPr>
    </w:p>
    <w:p>
      <w:pPr>
        <w:ind w:left="1460" w:hanging="266"/>
        <w:spacing w:after="0"/>
        <w:tabs>
          <w:tab w:leader="none" w:pos="1460" w:val="left"/>
        </w:tabs>
        <w:numPr>
          <w:ilvl w:val="1"/>
          <w:numId w:val="14"/>
        </w:numPr>
        <w:rPr>
          <w:rFonts w:ascii="Times New Roman" w:cs="Times New Roman" w:eastAsia="Times New Roman" w:hAnsi="Times New Roman"/>
          <w:sz w:val="16"/>
          <w:szCs w:val="16"/>
          <w:color w:val="auto"/>
        </w:rPr>
      </w:pPr>
      <w:r>
        <w:rPr>
          <w:rFonts w:ascii="Calibri" w:cs="Calibri" w:eastAsia="Calibri" w:hAnsi="Calibri"/>
          <w:sz w:val="18"/>
          <w:szCs w:val="18"/>
          <w:color w:val="auto"/>
        </w:rPr>
        <w:t>Return of cash to shareholders through both meaningful and sustainable dividends as well as share repurchases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Safety Performance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safety culture and performance sets the foundaton for its long-term strategic plan and its fnancial and operatonal strength. For 2024, the Company achieved a record company-wide Lost-Time Incident Rate (LTIR) of 0.129, the eighth consecutve year of world-class or beter LTIR thresholds, and a company-wide Total Injury Incident Rate (TIIR) of 0.650, the fourth consecutve year of world-class or beter TIIR thresholds.</w:t>
      </w:r>
    </w:p>
    <w:p>
      <w:pPr>
        <w:spacing w:after="0" w:line="24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BUSINESS ENVIRONMENT</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Building Materials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Building Materials business serves customers in the constructon marketplace. The business’ proftability is sensitve to natonal, regional and local economic conditons and cyclical swings in constructon spending, which are afected by fuctuatons in levels of public-sector infrastructure funding; interest rates; access to capital markets; and demographic, geographic, employment and populaton dynamics.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heavy-side constructon business, inclusive of much of the Company’s operatons, is conducted outdoors. Therefore, erratc weather paterns, precipitaton and other weather-related conditons, including fooding, hurricanes, extreme hot and cold temperatures, earthquakes, droughts and wildfres, can signifcantly afect producton schedules, shipments, costs, efciencies and proftability. Generally, the fnancial results for the frst and fourth quarters are infuenced by the impacts of winter weather, while the second and third quarters can be subject to the impacts of heavy precipitaton and excessive heat. The impacts of erratc weather paterns are more fully discussed in the </w:t>
      </w:r>
      <w:r>
        <w:rPr>
          <w:rFonts w:ascii="Calibri" w:cs="Calibri" w:eastAsia="Calibri" w:hAnsi="Calibri"/>
          <w:sz w:val="18"/>
          <w:szCs w:val="18"/>
          <w:i w:val="1"/>
          <w:iCs w:val="1"/>
          <w:color w:val="auto"/>
        </w:rPr>
        <w:t>Building Materials Business’ Key Consideratons</w:t>
      </w:r>
      <w:r>
        <w:rPr>
          <w:rFonts w:ascii="Calibri" w:cs="Calibri" w:eastAsia="Calibri" w:hAnsi="Calibri"/>
          <w:sz w:val="18"/>
          <w:szCs w:val="18"/>
          <w:color w:val="auto"/>
        </w:rPr>
        <w:t xml:space="preserve"> secton.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Product Lines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Aggregates are an engineered, granular material consistng of crushed stone, sand and gravel, manufactured to specifc sizes, grades and chemistry for use primarily in constructon applicatons. The Company’s operatons consist mostly of open pit quarries; however, the Company is also the largest operator of underground aggregates mines in the United States, with 14 actve underground mines located in the East Group. The Company’s aggregates reserves average more than 85 years at the 2024 annual producton level.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is the basic agent used to bind coarse aggregates, sand and water in the producton of ready mixed concrete. Calcium carbonate in the form of limestone is the principal raw material used in the producton of cement. The Company has a cement producton facility in Midlothian, Texas, south of Dallas/Fort Worth, and operates two related distributon terminals. This producton facility produces Portland limestone and specialty cements, with an annual clinker (an intermediary product of cement producton) capacity at December 31, 2024 of approximately 2.4 million tons. The facility operated at approximately 72% utlizaton for clinker producton in 2024. The Company completed a fnishing capacity expansion project at the Midlothian plant in August 2024, which will provide 0.45 million tons of incremental annual cement producton capacity. Further, the Company has converted its Midlothian plant to manufacture a less carbon-intensive Portland limestone cement, known as Type 1L, which has been approved by the Texas Department of Transportaton and allows the producton of more cement with less clinker.</w:t>
      </w:r>
    </w:p>
    <w:p>
      <w:pPr>
        <w:spacing w:after="0" w:line="13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0" w:name="page41"/>
    <w:bookmarkEnd w:id="40"/>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Ready mixed concrete is measured in cubic yards and specifcally batched or produced for customers’ constructon projects and then typically transported by mixer trucks and poured at the project site of a customer of the Company. The coarse aggregates used for ready mixed concrete are a washed material with limited amounts of fnes (</w:t>
      </w:r>
      <w:r>
        <w:rPr>
          <w:rFonts w:ascii="Calibri" w:cs="Calibri" w:eastAsia="Calibri" w:hAnsi="Calibri"/>
          <w:sz w:val="18"/>
          <w:szCs w:val="18"/>
          <w:i w:val="1"/>
          <w:iCs w:val="1"/>
          <w:color w:val="auto"/>
        </w:rPr>
        <w:t>i.e.</w:t>
      </w:r>
      <w:r>
        <w:rPr>
          <w:rFonts w:ascii="Calibri" w:cs="Calibri" w:eastAsia="Calibri" w:hAnsi="Calibri"/>
          <w:sz w:val="18"/>
          <w:szCs w:val="18"/>
          <w:color w:val="auto"/>
        </w:rPr>
        <w:t>, dirt and clay). The Company operates ready mixed concrete plants in Arizona and Texas.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Asphalt is typically used in surfacing roads and parking lots and consists of liquid asphalt, or bitumen (the binding medium), and aggregates. Similar to ready mixed concrete, each asphalt batch is produced to customer specifcatons. The Company’s asphalt operatons are in Arizona, California, Colorado and Minnesota and related paving services are ofered in California and Colorado.</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 dynamics for the downstream ready mixed concrete and asphalt product lines include a highly compettve environment and lower barriers to entry compared with the Company’s upstream product lines of aggregates and cement.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End-Use Trends</w:t>
      </w:r>
    </w:p>
    <w:p>
      <w:pPr>
        <w:spacing w:after="0" w:line="5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 principal end-use markets of the Building Materials business are public infrastructure (</w:t>
      </w:r>
      <w:r>
        <w:rPr>
          <w:rFonts w:ascii="Calibri" w:cs="Calibri" w:eastAsia="Calibri" w:hAnsi="Calibri"/>
          <w:sz w:val="17"/>
          <w:szCs w:val="17"/>
          <w:i w:val="1"/>
          <w:iCs w:val="1"/>
          <w:color w:val="auto"/>
        </w:rPr>
        <w:t>i.e.</w:t>
      </w:r>
      <w:r>
        <w:rPr>
          <w:rFonts w:ascii="Calibri" w:cs="Calibri" w:eastAsia="Calibri" w:hAnsi="Calibri"/>
          <w:sz w:val="17"/>
          <w:szCs w:val="17"/>
          <w:color w:val="auto"/>
        </w:rPr>
        <w:t>, highways; streets; roads; bridges; and schools); nonresidental constructon (</w:t>
      </w:r>
      <w:r>
        <w:rPr>
          <w:rFonts w:ascii="Calibri" w:cs="Calibri" w:eastAsia="Calibri" w:hAnsi="Calibri"/>
          <w:sz w:val="17"/>
          <w:szCs w:val="17"/>
          <w:i w:val="1"/>
          <w:iCs w:val="1"/>
          <w:color w:val="auto"/>
        </w:rPr>
        <w:t>i.e.</w:t>
      </w:r>
      <w:r>
        <w:rPr>
          <w:rFonts w:ascii="Calibri" w:cs="Calibri" w:eastAsia="Calibri" w:hAnsi="Calibri"/>
          <w:sz w:val="17"/>
          <w:szCs w:val="17"/>
          <w:color w:val="auto"/>
        </w:rPr>
        <w:t>, manufacturing and distributon facilites; data centers; industrial complexes; ofce buildings; large retailers and wholesalers; healthcare; hospitality; and energy-related actvity); and residental constructon (</w:t>
      </w:r>
      <w:r>
        <w:rPr>
          <w:rFonts w:ascii="Calibri" w:cs="Calibri" w:eastAsia="Calibri" w:hAnsi="Calibri"/>
          <w:sz w:val="17"/>
          <w:szCs w:val="17"/>
          <w:i w:val="1"/>
          <w:iCs w:val="1"/>
          <w:color w:val="auto"/>
        </w:rPr>
        <w:t>i.e.</w:t>
      </w:r>
      <w:r>
        <w:rPr>
          <w:rFonts w:ascii="Calibri" w:cs="Calibri" w:eastAsia="Calibri" w:hAnsi="Calibri"/>
          <w:sz w:val="17"/>
          <w:szCs w:val="17"/>
          <w:color w:val="auto"/>
        </w:rPr>
        <w:t>, subdivision development; and single- and mult-family housing). Aggregates are also used in agricultural, utlity and environmental applicatons and as railroad ballast, collectvely comprising the ChemRock/Rail market.</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Public infrastructure projects can require several years to complete, while residental and nonresidental constructon projects are usually completed within one year. Generally, customer purchase orders do not contain frm quantty commitments, regardless of end-use market.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Infrastructure</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public infrastructure market accounted for 37% of the Company’s aggregates shipments in 2024. The Company’s shipments to this end-use market are in line with the most recent fve-year average of 36% and the most recent ten-year average of 37%.</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Public constructon projects, once awarded, are typically seen through to completon. Thus, delays from weather or other factors can serve to extend the duraton of the constructon cycle. While constructon spending in the public and private market sectors is afected by economic cycles, public infrastructure spending has been comparatvely more stable due to the predictability of funding from federal, state and local governments. The Infrastructure Investments and Jobs Act (IIJ Act) was signed into law on November 15, 2021 and contains a fve-year surface transportaton reauthorizaton plus $110 billion in new funding for roads, bridges and other hard infrastructure projects.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State and local initatves that support infrastructure funding, including gas tax increases, new funding mechanisms and other ballot initatves, are increasing in size and number as these governments recognize the need for their expanded role in public infrastructure investment. In November 2024, 77% of all infrastructure funding measures up for vote were approved. These approved infrastructure initatves are estmated to generate $41 billion in one-tme and recurring revenues, with initatves in Texas, the Company’s largest revenue-generatng state, accountng for $5 billion of this total.</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Nonresidental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nonresidental constructon market accounted for 35% of the Company’s aggregates shipments in 2024. Large industrial projects of scale led by energy and domestc manufacturing contnue to lead the segment, accountng for the majority of total nonresidental shipments. The Company expects enhanced federal investments will further support and accelerate growth trends in this end use, with a renewed focus on data centers for artfcial intelligence infrastructure. While light nonresidental demand remained resilient through 2024, despite higher interest rates, high ofce vacancy rates and tghter commercial lending conditons, the Company expects 2025 demand in this segment to moderate, as it generally follows single-family residental development with a lag.</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Residental</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residental constructon market accounted for 23% of the Company’s aggregates shipments in 2024. This end use typically moves in direct correlaton with economic cycles. The Company’s exposure to residental constructon is split between aggregates used in the constructon of subdivisions (including streets, sidewalks, utlites and storm and sewage drainage), single-family homes and mult-family units. Constructon of both subdivisions and single-family homes is nearly three tmes</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1" w:name="page42"/>
    <w:bookmarkEnd w:id="41"/>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more aggregates intensive than constructon of mult-family units. Therefore, the level of new subdivision starts, as well as new single-family housing permits, is a strong leading indicator of residental volumes. According to the United States Census Bureau, for the year ended December 31, 2024, seasonally-adjusted natonal single-family housing starts decreased 3% to approximately 1.1 million units compared with 2023 and seasonally-adjusted natonal single-family housing permits decreased 3% versus 2023. Housing demand far exceeds supply in the Company’s key markets; however, a housing recovery is not expected untl mortgage rates decline and/or afordability headwinds recede.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ChemRock/Rail</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remaining 5% of the Company’s 2024 aggregates shipments was to the ChemRock/Rail market, which includes ballast and agricultural limestone. Ballast is an aggregates product used to stabilize railroad track beds. Agricultural lime, a high-calcium carbonate material, is used as a supplement in animal feed, a soil acidity neutralizer and agricultural growth enhancer. Additonally, ChemRock/Rail includes rip rap (used as a stabilizing material to control erosion caused by water runof at embankments, ocean beaches, inlets, rivers and streams) and high-calcium limestone (used as fller in glass, plastc, paint, rubber, adhesives, grease and paper). Chemical-grade, high-calcium limestone is used as a desulfurizaton material in utlity plants.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Pricing Trends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Materials pricing for constructon projects is generally based on terms commitng to the availability of specifed products of a stated quantty at an agreed-upon price during a defnitve period. Because infrastructure projects ofen span multple years, announced price changes can have a lag tme before taking efect while the Company sells products under existng price agreements. Pricing escalators included in mult-year infrastructure contracts serve to somewhat mitgate this efect. However, during periods of heightened or rapid increases in producton costs, mult-year infrastructure contract pricing may provide only nominal pricing growth. Additonally, the Company may implement multple price increases throughout the year, on a market-by-market basis, where appropriate. Pricing is determined locally and is afected by supply and demand characteristcs of the local market. For further informaton on pricing, see the discussion in the </w:t>
      </w:r>
      <w:r>
        <w:rPr>
          <w:rFonts w:ascii="Calibri" w:cs="Calibri" w:eastAsia="Calibri" w:hAnsi="Calibri"/>
          <w:sz w:val="18"/>
          <w:szCs w:val="18"/>
          <w:i w:val="1"/>
          <w:iCs w:val="1"/>
          <w:color w:val="auto"/>
        </w:rPr>
        <w:t>Financial Overview</w:t>
      </w:r>
      <w:r>
        <w:rPr>
          <w:rFonts w:ascii="Calibri" w:cs="Calibri" w:eastAsia="Calibri" w:hAnsi="Calibri"/>
          <w:sz w:val="18"/>
          <w:szCs w:val="18"/>
          <w:color w:val="auto"/>
        </w:rPr>
        <w:t xml:space="preserve"> secton.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86360</wp:posOffset>
            </wp:positionV>
            <wp:extent cx="3900170" cy="26574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90017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2" w:name="page43"/>
    <w:bookmarkEnd w:id="42"/>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Cost Structure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Costs of revenues for the Building Materials business are components of costs incurred at the quarries, mines, cement plants, ready mixed concrete plants, asphalt plants, paving operatons and distributon yards and facilites. Cost of revenues also includes the cost of resale materials, freight expenses to transport materials from a producing quarry or cement plant to a distributon yard or facility (internal freight), third-party freight and delivery costs incurred by the Company and then billed to customers (external freight) and producton overhead costs.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the signifcant components of cost of revenues for the aggregates product line are (1) labor and benefts; (2) depreciaton, depleton and amortzaton; (3) repairs and maintenance; (4) internal freight; (5) external freight; (6) supplies; (7) energy; and (8) contract services. In 2024, these categories represented 89% of the aggregates product line's total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84455</wp:posOffset>
            </wp:positionV>
            <wp:extent cx="3068955" cy="27432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06895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Variable costs are expenses that fuctuate with the level of producton volume, while fxed costs are expenses that do not vary based on producton or sales volume. Producton is the key driver in determining the levels of variable costs, as it afects the number of hourly employees and related labor hours. Further, components of energy, supplies and repairs and maintenance costs also increase in connecton with higher producton volumes. Accordingly, the Company’s operatng leverage can be meaningful.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when the Company invests capital in facilites and equipment, increased capacity and productvity reduce labor and repair costs serving to ofset increased fxed depreciaton costs. However, the increased productvity and related efciencies may not be fully realized in a lower-demand environment, resultng in under-absorpton of fxed costs.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Wage and beneft infaton as well as other increases in labor costs may be somewhat mitgated by enhanced productvity in an expanding economy. During economic downturns, the Company reviews its operatons and, where practcal, temporarily idles certain sites. The Company then serves these markets with other open and proximate facilites. In certain markets, management can create producton “super crews” that work on a rotatng basis at various locatons. For example, within a market, a crew may work three days per week at one quarry and the other two workdays at another quarry. This has allowed the Company to responsibly manage headcount in periods of lower product demand.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Typically, diesel fuel represents the single-largest component of energy costs for the Building Materials business. The average cost per gallon was $2.82 and $3.25 in 2024 and 2023, respectvely. Changes in energy costs also afect the prices that the Company pays for related supplies, including explosives, conveyor beltng and tres. Further, the Company’s contracts for shipping products on its rail and waterborne distributon network typically include provisions for escalatons or reductons in the amounts paid by the Company if the price of fuel moves outside a stated range.</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3" w:name="page44"/>
    <w:bookmarkEnd w:id="4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producton is a capital-intensive operaton with high fxed costs requiring plants to operate contnuously, except during maintenance shutdowns. Maintenance of kiln and fnishing mills typically necessitates a temporary plant shut-down for repairs. The Company adjusts producton levels in antcipaton of these planned maintenance periods.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producton of ready mixed concrete and asphalt requires the use of cement and liquid asphalt raw materials, respectvely. Therefore, fuctuatons in availability and prices for these raw materials directly afect the Company’s operatng results.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Building Materials Business’ Key Consideratons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Growth markets with limited supply of indigenous stone must be served via a long-haul distributon network</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U.S. Department of the Interior identfed possible sources of indigenous rock and documented its limited supply in certain areas of the United States, including the coastal areas from Virginia to Texas. Further, certain interior United States markets may experience limited availability of locally sourced aggregates resultng from increasingly restrictve zoning, permitng and/or environmental laws and regulatons. The Company’s long-haul distributon network is used to supplement or, in many cases, wholly supply, the local crushed stone needs of these areas and provides the Company with the fexibility to efectvely serve customers primarily in the Southwest and Southeast coastal markets.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long-haul distributon network can also diversify market risk for locatons that engage in long-haul transportaton of aggregates products. This is partcularly true where a producing quarry both serves a local market and transports products via rail, water and/or truck to be sold in other markets. The risk of a downturn in one market may be somewhat mitgated by other distant markets served by the locaton.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Product shipments are moved by truck, rail and water through the Company’s long-haul distributon network. The Company’s rail network primarily serves its Texas, Southeast and Gulf Coast markets, while the Company’s Bahamas and Nova Scota locatons transport materials via oceangoing ships. The Company’s strategic focus includes expanding inland and ofshore capacity and acquiring distributon yards and port locatons to ofoad transported material. As of December 31, 2024, the Company's distributon network consisted of 78 aggregates yards and 2 cement terminals.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85090</wp:posOffset>
            </wp:positionV>
            <wp:extent cx="3968750" cy="27260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9687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rail shipments result in contnued reliance on railroad operatons, which are impacted by track congeston, crew and locomotve availability, the efects of adverse weather conditons and the ability to negotate favorable railroad shipping contracts. Further, changes in the operatng strategy of rail transportaton providers can create operatonal inefciencies and increased costs from the Company’s rail network.</w:t>
      </w:r>
    </w:p>
    <w:p>
      <w:pPr>
        <w:spacing w:after="0" w:line="12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4" w:name="page45"/>
    <w:bookmarkEnd w:id="44"/>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porton of railcars and all ships in the Company’s long-haul distributon network are under short- and long-term leases, some with purchase optons, and contracts of afreightment. The limited availability of water and rail transportaton providers, coupled with limited distributon sites, can adversely afect lease rates for such services and ultmately the freight rates.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agreements providing dedicated shipping capacity from its Bahamas and Nova Scota operatons to its coastal ports that expire in 2026 and 2027, respectvely. These contracts of afreightment are take-or-pay contracts with minimum and maximum shipping requirements. The minimum requirements were met in 2024. There can be no assurance that such contracts will be renewed upon expiraton or that terms will contnue without signifcant increases.</w:t>
      </w:r>
    </w:p>
    <w:p>
      <w:pPr>
        <w:spacing w:after="0" w:line="227"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965F6E"/>
        </w:rPr>
        <w:t>Public infrastructure, historically the Company’s largest end-use market, is funded through a combinaton of federal, state and local sources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Transportaton investments generally boost the economy by creatng jobs and enhancing mobility and access, which are priorites of many of the government’s economic plans. Public-sector constructon related to transportaton infrastructure is funded through a combinaton of federal, state and local sources. The federal highway bill, currently the IIJ Act, provides annual funding for public-sector highway constructon projects and includes spending authorizatons, which represent the maximum fnancial obligaton that will result from the immediate or future outlays of federal funds for highway and transit programs. The federal government’s surface transportaton programs are funded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Of the currently imposed federal gas tax of $0.184 per gallon, which has been statc since 1993, $0.15 is allocated to the Highway Account of the Highway Trust Fund.</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Since most states are required to balance their budgets, reductons in revenues generally require a reducton in states’ expenditures. However, the impact of state revenue reductons on highway investment will vary depending on whether the monies come from dedicated revenue sources, such as highway user fees, or whether portons are paid for with general funds.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federal appropriatons, each state typically funds its infrastructure investment from specifcally allocated amounts collected from various user fees, typically gasoline taxes and vehicle fees. States have assumed a signifcantly larger role in funding infrastructure investment, including initatng special-purpose taxes and raising state gas taxes. Management believes that fnancing at the state and local levels, such as bond issuances, toll roads, vehicle miles traveled fees and tax initatves, will contnue to grow and have a fundamental role in advancing infrastructure projects. State infrastructure investment generally leads to increased growth opportunites for the Company. The level of state public-works spending is varied across the naton and dependent upon individual state economies; the degree to which the Company could be afected by a reducton or slowdown in infrastructure spending varies by state. The state economies of the Building Materials business’ ten largest revenue-generatng states may disproportonately afect the Company’s fnancial performance.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Governmental appropriatons and expenditures are typically less interest rate-sensitve than private-sector spending. Obligatons of federal funds are a leading indicator of highway constructon actvity in the United States. Before a state or local department of transportaton can solicit bids on an eligible constructon project, it enters into an agreement with the Federal Highway Administraton to obligate the federal government to pay its porton of the project cost. These Federal obligatons are subject to annual funding appropriaton reviews by Congress.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highways and bridges, transportaton infrastructure includes aviaton, mass transit, ports and waterways. Railroad constructon contnues to beneft from economic growth, which ultmately generates a need for additonal maintenance and improvements.</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Erratc weather can signifcantly impact operatons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Producton and shipment levels for the Building Materials business correlate with general constructon actvity, most of which occurs outdoors and, as a result, is afected by erratc weather, seasonal changes and other environmental conditons. Typically, due to a general slowdown in heavy constructon actvity during winter months, the frst and fourth quarters experience lower producton and shipment actvity. As such, temperatures in the months of March and November can meaningfully afect the Company’s frst- and fourth-quarter results, respectvely, where warm and/or moderate temperatures in March and November allow the constructon season to start earlier and end later, respectvely. Additonally, extreme heat during summer months can impact constructon actvites, as outdoor work may be limited to protect the health and safety of constructon workers.</w:t>
      </w:r>
    </w:p>
    <w:p>
      <w:pPr>
        <w:spacing w:after="0" w:line="13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Excessive rainfall jeopardizes producton efciencies, shipments and proftability in all markets served by the Company. In partcular, the Company’s operatons near the Atlantc Ocean and Gulf Coast regions of the United States and The Bahamas are at risk for hurricane actvity from June through November, but most notably in August, September and October. The Company’s California operatons are at risk for fooding, wildfre actvity and water use restrictons in severe drought conditons.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Capital investment decisions are driven by capital intensity of the Building Materials business and focus on land</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organic capital program is designed to leverage constructon market growth through investment in both permanent and portable facilites at the Company’s operatons. Over an economic cycle, the Company typically invests organic capital at an annual level that approximates depreciaton expense. At mid-cycle and through cyclical peaks, organic capital investment usually exceeds depreciaton expense, as the Company supports current capacity needs and future growth. Conversely, at a cyclical trough, the Company may reduce levels of capital investment. Regardless of cycle, the Company sets a priority of investng capital to ensure safe, environmentally sound and efcient operatons, as well as to provide the highest quality of customer service and establish a foundaton for future growth.</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diligent in its focus on land opportunites, including potental new sites (greensites) and existng site expansion. Land purchases are usually opportunistc and can include contguous property around existng quarry locatons. Such property can serve as bufer property or additonal mineral reserves, assuming regulatory hurdles can be cleared and the underlying geology supports economical aggregates mining. In either instance, the acquisiton of additonal property around an existng quarry typically allows the expansion of the quarry footprint and an extension of quarry life.</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Magnesia Specialtes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manufactures magnesia-based chemicals products for industrial, agricultural and environmental applicatons at its Manistee, Michigan facility. The chemical products business focuses on higher-margin specialty chemicals that can be produced at volumes that support efcient operatons. The Magnesia Specialtes business also produces and sells dolomitc lime from its Woodville, Ohio facility. Dolomitc lime products sold to external customers are primarily used by the domestc steel industry, while the remaining lime shipments are used internally as a raw material for the manufacturing of chemical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85725</wp:posOffset>
            </wp:positionV>
            <wp:extent cx="2983230" cy="21856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8323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With 44% of Magnesia Specialtes’ 2024 revenues related to products used in the steel industry, a porton of the segment’s revenues and profts is afected by producton and inventory trends within the steel industry, which are guided by the rate of consumer consumpton, the fow of ofshore imports and other economic factors. The dolomitc lime business runs most proftably at 70% or greater steel capacity utlizaton. Domestc steel producton averaged 70% of capacity in 2024 and 74% in 2023.</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revenues of the Magnesia Specialtes business were predominantly derived from domestc customers in 2024, fnancial results can be afected by foreign currency exchange rates, increasing transportaton costs or weak economic conditons in</w:t>
      </w:r>
    </w:p>
    <w:p>
      <w:pPr>
        <w:spacing w:after="0" w:line="12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6" w:name="page47"/>
    <w:bookmarkEnd w:id="46"/>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foreign markets. To mitgate the short-term efect of currency exchange rates, foreign transactons are denominated in United States dollars.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signifcant porton of the Magnesia Specialtes business’ costs is of a fxed or semi-fxed nature. The producton process requires the use of natural gas, coal and petroleum coke; therefore, fuctuatons in their pricing directly afect operatng results. To help mitgate this risk, the Company has fxed-price agreements for 43% of its antcipated 2025 energy needs for coal, petroleum coke and natural gas. Given inherently high fxed costs, low capacity utlizaton can negatvely afect the segment’s results of operatons. Management expects future organic proft growth to result from increased pricing, commercializaton of new products, entry into new markets and optmizaton of overall product mix.</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In 2024, direct producton costs represented 81% of the Magnesia Specialtes business' total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83185</wp:posOffset>
            </wp:positionV>
            <wp:extent cx="3051810" cy="27171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5181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Magnesia Specialtes business is highly dependent on rail transportaton, partcularly for movement of dolomitc lime from Woodville to Manistee and direct customer shipments of dolomitc lime and magnesia chemicals products from both Woodville and Manistee. The segment can be afected by the risks mentoned in the long-haul distributon discussion in the </w:t>
      </w:r>
      <w:r>
        <w:rPr>
          <w:rFonts w:ascii="Calibri" w:cs="Calibri" w:eastAsia="Calibri" w:hAnsi="Calibri"/>
          <w:sz w:val="18"/>
          <w:szCs w:val="18"/>
          <w:i w:val="1"/>
          <w:iCs w:val="1"/>
          <w:color w:val="auto"/>
        </w:rPr>
        <w:t>Building Materials Business’ Key Consideratons</w:t>
      </w:r>
      <w:r>
        <w:rPr>
          <w:rFonts w:ascii="Calibri" w:cs="Calibri" w:eastAsia="Calibri" w:hAnsi="Calibri"/>
          <w:sz w:val="18"/>
          <w:szCs w:val="18"/>
          <w:color w:val="auto"/>
        </w:rPr>
        <w:t xml:space="preserve"> secton.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Environmental Regulaton and Litgaton</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expansion and growth of the aggregates industry is subject to increasing challenges from environmental and politcal advocates aiming to control the pace and directon of future development. Certain environmental groups have published lists of targeted municipal areas, including areas within the Company’s marketplace, for environmental and suburban growth control. The efect of these initatves on the Company’s growth is typically localized. Further challenges are expected as the momentum of these initatves ebb and fow. Rail and other transportaton alternatves are being heralded by these special-interest groups as solutons to mitgate road trafc congeston and overcrowding.</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operatons are subject to and afected by federal, state and local laws, rules and regulatons relatng to the environment, health and safety and other regulatory maters. Certain of the Company’s operatons may occasionally use substances classifed as toxic or hazardous. The Company regularly monitors and reviews its operatons, procedures and policies for compliance with these laws and regulatons. Despite these compliance eforts, risk of environmental liability is inherent in the operaton of the Company’s businesses, as it is with other enttes engaged in similar businesses.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Environmental operatng permits are, or may be, required for certain of the Company’s operatons; such permits are subject to modifcaton, renewal and revocaton. New permits are generally required for opening new sites or for expansion at existng operatons and can take several years to obtain. Moreover, land use, rezoning and special or conditonal use permits are increasingly difcult to obtain. Once a permit is issued, the locaton is required to generally operate in accordance with the approved site plan.</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7" w:name="page48"/>
    <w:bookmarkEnd w:id="47"/>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Clean Air Act, originally passed in 1963 and periodically updated by amendments, is the United States’ natonal air polluton control program that granted the United States Environmental Protecton Agency (USEPA) authority to set limits on the level of various air pollutants. To meet Natonal Ambient Air Quality Standards, a defned geographic area must be below established limits for six pollutants. Environmental groups have been successful in proceedings against the federal and certain state departments of transportaton, delaying highway constructon in municipal areas not in compliance with the Clean Air Act. The USEPA designates geographic areas as nonatainment areas when the level of air pollutants exceeds the natonal standard. Nonatainment areas receive deadlines to reduce air pollutants by insttutng various control strategies or otherwise face fnes or control by the USEPA. Included as nonatainment areas are several major metropolitan areas in the Company’s markets, such as Houston/Brazoria/Galveston, Texas; Dallas/Fort Worth, Texas; Bexar County in San Antonio/New Braunfels, Texas; Denver, Colorado; Boulder, Colorado; Fort Collins/Greeley/Loveland, Colorado; Baltmore, Maryland; Los Angeles-San Bernardino Countes, California; Los Angeles – South Coast Basin, California; Phoenix/Mesa, Arizona; San Diego County, California; San Francisco Bay Area, California; San Joaquin Valley, California; and Sacramento County, California. Federal transportaton funding has been directly ted to compliance with the Clean Air Act.</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Large emiters (facilites that emit 25,000 metric tons or more per year) of greenhouse gases (GHG) must report GHG generaton to comply with the USEPA’s Mandatory Greenhouse Gases Reportng Rule (GHG Rule). In 2024, the Company fled annual reports in accordance with the GHG Rule relatng to operatons at its cement plant in Texas, as well as its Magnesia Specialtes facilites in Woodville, Ohio, and Manistee, Michigan, each of which emit certain GHG, including carbon dioxide, methane and nitrous oxide. If Congress passes additonal legislaton limitng GHG emissions, these operatons will likely be subject to such legislaton. The Company believes that any increased operatng costs or taxes related to GHG emission limitatons at its cement or Woodville operatons would be passed on to its customers. The Manistee facility may have to absorb extra costs due to the regulaton of GHG emissions to maintain compettve pricing in its markets. The Company cannot reasonably predict the amount of those potental increased costs.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engaged in certain legal and administratve proceedings incidental to its normal business actvites. In management's and counsel's opinion, based upon currently available facts, the likelihood is remote that the ultmate outcome of any litgaton or other proceedings, including those pertaining to environmental maters, relatng to the Company and its subsidiaries, will have a material adverse efect on the overall results of the Company’s operatons, cash fows or fnancial positon.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FINANCIAL OVERVIEW</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Results of Operatons</w:t>
      </w:r>
    </w:p>
    <w:p>
      <w:pPr>
        <w:spacing w:after="0" w:line="115" w:lineRule="exact"/>
        <w:rPr>
          <w:sz w:val="20"/>
          <w:szCs w:val="20"/>
          <w:color w:val="auto"/>
        </w:rPr>
      </w:pPr>
    </w:p>
    <w:p>
      <w:pPr>
        <w:jc w:val="both"/>
        <w:spacing w:after="0" w:line="235" w:lineRule="auto"/>
        <w:rPr>
          <w:rFonts w:ascii="Calibri" w:cs="Calibri" w:eastAsia="Calibri" w:hAnsi="Calibri"/>
          <w:sz w:val="18"/>
          <w:szCs w:val="18"/>
          <w:color w:val="000000"/>
        </w:rPr>
      </w:pPr>
      <w:r>
        <w:rPr>
          <w:rFonts w:ascii="Calibri" w:cs="Calibri" w:eastAsia="Calibri" w:hAnsi="Calibri"/>
          <w:sz w:val="18"/>
          <w:szCs w:val="18"/>
          <w:color w:val="auto"/>
        </w:rPr>
        <w:t>The following discussion and analysis refect management’s assessment of the fnancial conditon and results of operatons (MD&amp;A) of the Company for contnuing operatons and should be read in conjuncton with the audited consolidated fnancial statements (</w:t>
      </w:r>
      <w:r>
        <w:rPr>
          <w:rFonts w:ascii="Calibri" w:cs="Calibri" w:eastAsia="Calibri" w:hAnsi="Calibri"/>
          <w:sz w:val="18"/>
          <w:szCs w:val="18"/>
          <w:u w:val="single" w:color="auto"/>
          <w:color w:val="007DC6"/>
        </w:rPr>
        <w:t>Item 8, Financial Statements and</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Supplementary Data</w:t>
      </w:r>
      <w:r>
        <w:rPr>
          <w:rFonts w:ascii="Calibri" w:cs="Calibri" w:eastAsia="Calibri" w:hAnsi="Calibri"/>
          <w:sz w:val="18"/>
          <w:szCs w:val="18"/>
          <w:color w:val="000000"/>
        </w:rPr>
        <w:t>). As discussed in more detail, the Company’s operatng results are highly dependent upon actvity within the constructon marketplace,</w:t>
      </w:r>
      <w:r>
        <w:rPr>
          <w:rFonts w:ascii="Calibri" w:cs="Calibri" w:eastAsia="Calibri" w:hAnsi="Calibri"/>
          <w:sz w:val="18"/>
          <w:szCs w:val="18"/>
          <w:color w:val="007DC6"/>
        </w:rPr>
        <w:t xml:space="preserve"> </w:t>
      </w:r>
      <w:r>
        <w:rPr>
          <w:rFonts w:ascii="Calibri" w:cs="Calibri" w:eastAsia="Calibri" w:hAnsi="Calibri"/>
          <w:sz w:val="18"/>
          <w:szCs w:val="18"/>
          <w:color w:val="000000"/>
        </w:rPr>
        <w:t xml:space="preserve">economic cycles within the public and private business sectors, and seasonal and other weather-related conditons. Accordingly, fnancial results for any year presented, or year-to-year comparisons of reported results, may not be indicatve of future operatng results. As permited by the Securites and Exchange Commission (SEC) under the FAST Act Modernizaton and Simplifcaton of Regulaton S-K, the Company has elected to omit the discussion of the earliest period (2022) presented because it was included in its MD&amp;A in its 2023 Annual Report on Form 10-K fled on February 23, 2024, incorporated by reference from </w:t>
      </w:r>
      <w:hyperlink r:id="rId195">
        <w:r>
          <w:rPr>
            <w:rFonts w:ascii="Calibri" w:cs="Calibri" w:eastAsia="Calibri" w:hAnsi="Calibri"/>
            <w:sz w:val="18"/>
            <w:szCs w:val="18"/>
            <w:u w:val="single" w:color="auto"/>
            <w:color w:val="007DC6"/>
          </w:rPr>
          <w:t>Item 7, Management’s Discussion and Analysis of Financial Conditon and Results of Operatons</w:t>
        </w:r>
        <w:r>
          <w:rPr>
            <w:rFonts w:ascii="Calibri" w:cs="Calibri" w:eastAsia="Calibri" w:hAnsi="Calibri"/>
            <w:sz w:val="18"/>
            <w:szCs w:val="18"/>
            <w:u w:val="single" w:color="auto"/>
            <w:color w:val="000000"/>
          </w:rPr>
          <w:t xml:space="preserve"> </w:t>
        </w:r>
      </w:hyperlink>
      <w:r>
        <w:rPr>
          <w:rFonts w:ascii="Calibri" w:cs="Calibri" w:eastAsia="Calibri" w:hAnsi="Calibri"/>
          <w:sz w:val="18"/>
          <w:szCs w:val="18"/>
          <w:color w:val="000000"/>
        </w:rPr>
        <w:t>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5494655</wp:posOffset>
            </wp:positionH>
            <wp:positionV relativeFrom="paragraph">
              <wp:posOffset>-838200</wp:posOffset>
            </wp:positionV>
            <wp:extent cx="16370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637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9283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9283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-15240</wp:posOffset>
            </wp:positionV>
            <wp:extent cx="43084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4308475" cy="8890"/>
                    </a:xfrm>
                    <a:prstGeom prst="rect">
                      <a:avLst/>
                    </a:prstGeom>
                    <a:noFill/>
                  </pic:spPr>
                </pic:pic>
              </a:graphicData>
            </a:graphic>
          </wp:anchor>
        </w:drawing>
      </w:r>
    </w:p>
    <w:p>
      <w:pPr>
        <w:spacing w:after="0" w:line="9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Building Materials business generated the majority of consolidated revenues and earnings from contnuing operatons. The following comparatve analysis and discussion should be read within this context. Further, sensitvity analysis and certain other data are provided to enhance the reader’s understanding of MD&amp;A and are not intended to be indicatve of management’s judgment of materiality.</w:t>
      </w:r>
    </w:p>
    <w:p>
      <w:pPr>
        <w:spacing w:after="0" w:line="12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8" w:name="page49"/>
    <w:bookmarkEnd w:id="4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20" w:type="dxa"/>
            <w:vAlign w:val="bottom"/>
            <w:gridSpan w:val="4"/>
          </w:tcPr>
          <w:p>
            <w:pPr>
              <w:spacing w:after="0"/>
              <w:rPr>
                <w:sz w:val="20"/>
                <w:szCs w:val="20"/>
                <w:color w:val="auto"/>
              </w:rPr>
            </w:pPr>
            <w:r>
              <w:rPr>
                <w:rFonts w:ascii="Calibri" w:cs="Calibri" w:eastAsia="Calibri" w:hAnsi="Calibri"/>
                <w:sz w:val="18"/>
                <w:szCs w:val="18"/>
                <w:color w:val="auto"/>
              </w:rPr>
              <w:t>The Company’s consolidated operatng results and operatng results as a percentage of revenues are as follows:</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32"/>
        </w:trPr>
        <w:tc>
          <w:tcPr>
            <w:tcW w:w="5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94"/>
        </w:trPr>
        <w:tc>
          <w:tcPr>
            <w:tcW w:w="592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jc w:val="right"/>
              <w:ind w:right="330"/>
              <w:spacing w:after="0" w:line="194" w:lineRule="exact"/>
              <w:rPr>
                <w:sz w:val="20"/>
                <w:szCs w:val="20"/>
                <w:color w:val="auto"/>
              </w:rPr>
            </w:pPr>
            <w:r>
              <w:rPr>
                <w:rFonts w:ascii="Calibri" w:cs="Calibri" w:eastAsia="Calibri" w:hAnsi="Calibri"/>
                <w:sz w:val="18"/>
                <w:szCs w:val="18"/>
                <w:b w:val="1"/>
                <w:bCs w:val="1"/>
                <w:color w:val="FFFFFF"/>
              </w:rPr>
              <w:t>% of</w:t>
            </w:r>
          </w:p>
        </w:tc>
        <w:tc>
          <w:tcPr>
            <w:tcW w:w="420" w:type="dxa"/>
            <w:vAlign w:val="bottom"/>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spacing w:after="0"/>
              <w:rPr>
                <w:sz w:val="16"/>
                <w:szCs w:val="16"/>
                <w:color w:val="auto"/>
              </w:rPr>
            </w:pPr>
          </w:p>
        </w:tc>
        <w:tc>
          <w:tcPr>
            <w:tcW w:w="1080" w:type="dxa"/>
            <w:vAlign w:val="bottom"/>
            <w:shd w:val="clear" w:color="auto" w:fill="007CBA"/>
          </w:tcPr>
          <w:p>
            <w:pPr>
              <w:jc w:val="right"/>
              <w:ind w:right="290"/>
              <w:spacing w:after="0" w:line="194" w:lineRule="exact"/>
              <w:rPr>
                <w:sz w:val="20"/>
                <w:szCs w:val="20"/>
                <w:color w:val="auto"/>
              </w:rPr>
            </w:pPr>
            <w:r>
              <w:rPr>
                <w:rFonts w:ascii="Calibri" w:cs="Calibri" w:eastAsia="Calibri" w:hAnsi="Calibri"/>
                <w:sz w:val="18"/>
                <w:szCs w:val="18"/>
                <w:b w:val="1"/>
                <w:bCs w:val="1"/>
                <w:color w:val="FFFFFF"/>
              </w:rPr>
              <w:t>% of</w:t>
            </w:r>
          </w:p>
        </w:tc>
      </w:tr>
      <w:tr>
        <w:trPr>
          <w:trHeight w:val="233"/>
        </w:trPr>
        <w:tc>
          <w:tcPr>
            <w:tcW w:w="5920" w:type="dxa"/>
            <w:vAlign w:val="bottom"/>
            <w:tcBorders>
              <w:bottom w:val="single" w:sz="8" w:color="auto"/>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 except for % of revenues)</w:t>
            </w:r>
          </w:p>
        </w:tc>
        <w:tc>
          <w:tcPr>
            <w:tcW w:w="460" w:type="dxa"/>
            <w:vAlign w:val="bottom"/>
            <w:tcBorders>
              <w:bottom w:val="single" w:sz="8" w:color="007CBA"/>
            </w:tcBorders>
            <w:shd w:val="clear" w:color="auto" w:fill="007CBA"/>
          </w:tcPr>
          <w:p>
            <w:pPr>
              <w:spacing w:after="0"/>
              <w:rPr>
                <w:sz w:val="20"/>
                <w:szCs w:val="20"/>
                <w:color w:val="auto"/>
              </w:rPr>
            </w:pPr>
          </w:p>
        </w:tc>
        <w:tc>
          <w:tcPr>
            <w:tcW w:w="1120" w:type="dxa"/>
            <w:vAlign w:val="bottom"/>
            <w:tcBorders>
              <w:bottom w:val="single" w:sz="8" w:color="007CBA"/>
              <w:right w:val="single" w:sz="8" w:color="007CBA"/>
            </w:tcBorders>
            <w:shd w:val="clear" w:color="auto" w:fill="007CBA"/>
          </w:tcPr>
          <w:p>
            <w:pPr>
              <w:jc w:val="right"/>
              <w:ind w:right="490"/>
              <w:spacing w:after="0"/>
              <w:rPr>
                <w:sz w:val="20"/>
                <w:szCs w:val="20"/>
                <w:color w:val="auto"/>
              </w:rPr>
            </w:pPr>
            <w:r>
              <w:rPr>
                <w:rFonts w:ascii="Calibri" w:cs="Calibri" w:eastAsia="Calibri" w:hAnsi="Calibri"/>
                <w:sz w:val="18"/>
                <w:szCs w:val="18"/>
                <w:b w:val="1"/>
                <w:bCs w:val="1"/>
                <w:color w:val="FFFFFF"/>
              </w:rPr>
              <w:t>2024</w:t>
            </w:r>
          </w:p>
        </w:tc>
        <w:tc>
          <w:tcPr>
            <w:tcW w:w="1120" w:type="dxa"/>
            <w:vAlign w:val="bottom"/>
            <w:tcBorders>
              <w:bottom w:val="single" w:sz="8" w:color="007CBA"/>
              <w:right w:val="single" w:sz="8" w:color="007CBA"/>
            </w:tcBorders>
            <w:shd w:val="clear" w:color="auto" w:fill="007CBA"/>
          </w:tcPr>
          <w:p>
            <w:pPr>
              <w:jc w:val="right"/>
              <w:ind w:right="130"/>
              <w:spacing w:after="0"/>
              <w:rPr>
                <w:sz w:val="20"/>
                <w:szCs w:val="20"/>
                <w:color w:val="auto"/>
              </w:rPr>
            </w:pPr>
            <w:r>
              <w:rPr>
                <w:rFonts w:ascii="Calibri" w:cs="Calibri" w:eastAsia="Calibri" w:hAnsi="Calibri"/>
                <w:sz w:val="18"/>
                <w:szCs w:val="18"/>
                <w:b w:val="1"/>
                <w:bCs w:val="1"/>
                <w:color w:val="FFFFFF"/>
              </w:rPr>
              <w:t>Revenues</w:t>
            </w:r>
          </w:p>
        </w:tc>
        <w:tc>
          <w:tcPr>
            <w:tcW w:w="420" w:type="dxa"/>
            <w:vAlign w:val="bottom"/>
            <w:tcBorders>
              <w:bottom w:val="single" w:sz="8" w:color="007CBA"/>
            </w:tcBorders>
            <w:shd w:val="clear" w:color="auto" w:fill="007CBA"/>
          </w:tcPr>
          <w:p>
            <w:pPr>
              <w:spacing w:after="0"/>
              <w:rPr>
                <w:sz w:val="20"/>
                <w:szCs w:val="20"/>
                <w:color w:val="auto"/>
              </w:rPr>
            </w:pPr>
          </w:p>
        </w:tc>
        <w:tc>
          <w:tcPr>
            <w:tcW w:w="1120" w:type="dxa"/>
            <w:vAlign w:val="bottom"/>
            <w:tcBorders>
              <w:bottom w:val="single" w:sz="8" w:color="007CBA"/>
              <w:right w:val="single" w:sz="8" w:color="007CBA"/>
            </w:tcBorders>
            <w:shd w:val="clear" w:color="auto" w:fill="007CBA"/>
          </w:tcPr>
          <w:p>
            <w:pPr>
              <w:jc w:val="right"/>
              <w:ind w:right="490"/>
              <w:spacing w:after="0"/>
              <w:rPr>
                <w:sz w:val="20"/>
                <w:szCs w:val="20"/>
                <w:color w:val="auto"/>
              </w:rPr>
            </w:pPr>
            <w:r>
              <w:rPr>
                <w:rFonts w:ascii="Calibri" w:cs="Calibri" w:eastAsia="Calibri" w:hAnsi="Calibri"/>
                <w:sz w:val="18"/>
                <w:szCs w:val="18"/>
                <w:color w:val="FFFFFF"/>
              </w:rPr>
              <w:t>2023</w:t>
            </w:r>
          </w:p>
        </w:tc>
        <w:tc>
          <w:tcPr>
            <w:tcW w:w="1080" w:type="dxa"/>
            <w:vAlign w:val="bottom"/>
            <w:tcBorders>
              <w:bottom w:val="single" w:sz="8" w:color="007CBA"/>
            </w:tcBorders>
            <w:shd w:val="clear" w:color="auto" w:fill="007CBA"/>
          </w:tcPr>
          <w:p>
            <w:pPr>
              <w:jc w:val="right"/>
              <w:ind w:right="110"/>
              <w:spacing w:after="0"/>
              <w:rPr>
                <w:sz w:val="20"/>
                <w:szCs w:val="20"/>
                <w:color w:val="auto"/>
              </w:rPr>
            </w:pPr>
            <w:r>
              <w:rPr>
                <w:rFonts w:ascii="Calibri" w:cs="Calibri" w:eastAsia="Calibri" w:hAnsi="Calibri"/>
                <w:sz w:val="18"/>
                <w:szCs w:val="18"/>
                <w:b w:val="1"/>
                <w:bCs w:val="1"/>
                <w:color w:val="FFFFFF"/>
              </w:rPr>
              <w:t>Revenues</w:t>
            </w:r>
          </w:p>
        </w:tc>
      </w:tr>
      <w:tr>
        <w:trPr>
          <w:trHeight w:val="214"/>
        </w:trPr>
        <w:tc>
          <w:tcPr>
            <w:tcW w:w="5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b w:val="1"/>
                <w:bCs w:val="1"/>
                <w:color w:val="auto"/>
              </w:rPr>
              <w:t>Revenues</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6,536</w:t>
            </w: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100</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6,777</w:t>
            </w:r>
          </w:p>
        </w:tc>
        <w:tc>
          <w:tcPr>
            <w:tcW w:w="10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100</w:t>
            </w:r>
          </w:p>
        </w:tc>
      </w:tr>
      <w:tr>
        <w:trPr>
          <w:trHeight w:val="215"/>
        </w:trPr>
        <w:tc>
          <w:tcPr>
            <w:tcW w:w="592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Cost of revenues</w:t>
            </w:r>
          </w:p>
        </w:tc>
        <w:tc>
          <w:tcPr>
            <w:tcW w:w="460" w:type="dxa"/>
            <w:vAlign w:val="bottom"/>
            <w:tcBorders>
              <w:bottom w:val="single" w:sz="8" w:color="auto"/>
            </w:tcBorders>
            <w:shd w:val="clear" w:color="auto" w:fill="E5F1F8"/>
          </w:tcPr>
          <w:p>
            <w:pPr>
              <w:spacing w:after="0"/>
              <w:rPr>
                <w:sz w:val="18"/>
                <w:szCs w:val="18"/>
                <w:color w:val="auto"/>
              </w:rPr>
            </w:pPr>
          </w:p>
        </w:tc>
        <w:tc>
          <w:tcPr>
            <w:tcW w:w="112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4,658</w:t>
            </w:r>
          </w:p>
        </w:tc>
        <w:tc>
          <w:tcPr>
            <w:tcW w:w="112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71</w:t>
            </w:r>
          </w:p>
        </w:tc>
        <w:tc>
          <w:tcPr>
            <w:tcW w:w="420" w:type="dxa"/>
            <w:vAlign w:val="bottom"/>
            <w:tcBorders>
              <w:bottom w:val="single" w:sz="8" w:color="auto"/>
            </w:tcBorders>
            <w:shd w:val="clear" w:color="auto" w:fill="E5F1F8"/>
          </w:tcPr>
          <w:p>
            <w:pPr>
              <w:spacing w:after="0"/>
              <w:rPr>
                <w:sz w:val="18"/>
                <w:szCs w:val="18"/>
                <w:color w:val="auto"/>
              </w:rPr>
            </w:pPr>
          </w:p>
        </w:tc>
        <w:tc>
          <w:tcPr>
            <w:tcW w:w="112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4,754</w:t>
            </w:r>
          </w:p>
        </w:tc>
        <w:tc>
          <w:tcPr>
            <w:tcW w:w="108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70</w:t>
            </w:r>
          </w:p>
        </w:tc>
      </w:tr>
      <w:tr>
        <w:trPr>
          <w:trHeight w:val="210"/>
        </w:trPr>
        <w:tc>
          <w:tcPr>
            <w:tcW w:w="5920" w:type="dxa"/>
            <w:vAlign w:val="bottom"/>
            <w:tcBorders>
              <w:right w:val="single" w:sz="8" w:color="007CBA"/>
            </w:tcBorders>
          </w:tcPr>
          <w:p>
            <w:pPr>
              <w:ind w:left="120"/>
              <w:spacing w:after="0" w:line="209" w:lineRule="exact"/>
              <w:rPr>
                <w:sz w:val="20"/>
                <w:szCs w:val="20"/>
                <w:color w:val="auto"/>
              </w:rPr>
            </w:pPr>
            <w:r>
              <w:rPr>
                <w:rFonts w:ascii="Calibri" w:cs="Calibri" w:eastAsia="Calibri" w:hAnsi="Calibri"/>
                <w:sz w:val="18"/>
                <w:szCs w:val="18"/>
                <w:b w:val="1"/>
                <w:bCs w:val="1"/>
                <w:color w:val="auto"/>
              </w:rPr>
              <w:t>Gross Proft</w:t>
            </w:r>
          </w:p>
        </w:tc>
        <w:tc>
          <w:tcPr>
            <w:tcW w:w="460" w:type="dxa"/>
            <w:vAlign w:val="bottom"/>
          </w:tcPr>
          <w:p>
            <w:pPr>
              <w:spacing w:after="0"/>
              <w:rPr>
                <w:sz w:val="18"/>
                <w:szCs w:val="18"/>
                <w:color w:val="auto"/>
              </w:rPr>
            </w:pPr>
          </w:p>
        </w:tc>
        <w:tc>
          <w:tcPr>
            <w:tcW w:w="1120" w:type="dxa"/>
            <w:vAlign w:val="bottom"/>
            <w:tcBorders>
              <w:right w:val="single" w:sz="8" w:color="007CBA"/>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1,878</w:t>
            </w:r>
          </w:p>
        </w:tc>
        <w:tc>
          <w:tcPr>
            <w:tcW w:w="1120" w:type="dxa"/>
            <w:vAlign w:val="bottom"/>
            <w:tcBorders>
              <w:right w:val="single" w:sz="8" w:color="007CBA"/>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29</w:t>
            </w:r>
          </w:p>
        </w:tc>
        <w:tc>
          <w:tcPr>
            <w:tcW w:w="420" w:type="dxa"/>
            <w:vAlign w:val="bottom"/>
          </w:tcPr>
          <w:p>
            <w:pPr>
              <w:spacing w:after="0"/>
              <w:rPr>
                <w:sz w:val="18"/>
                <w:szCs w:val="18"/>
                <w:color w:val="auto"/>
              </w:rPr>
            </w:pPr>
          </w:p>
        </w:tc>
        <w:tc>
          <w:tcPr>
            <w:tcW w:w="1120" w:type="dxa"/>
            <w:vAlign w:val="bottom"/>
            <w:tcBorders>
              <w:right w:val="single" w:sz="8" w:color="007CBA"/>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2,023</w:t>
            </w:r>
          </w:p>
        </w:tc>
        <w:tc>
          <w:tcPr>
            <w:tcW w:w="1080" w:type="dxa"/>
            <w:vAlign w:val="bottom"/>
          </w:tcPr>
          <w:p>
            <w:pPr>
              <w:jc w:val="right"/>
              <w:ind w:right="50"/>
              <w:spacing w:after="0" w:line="209" w:lineRule="exact"/>
              <w:rPr>
                <w:sz w:val="20"/>
                <w:szCs w:val="20"/>
                <w:color w:val="auto"/>
              </w:rPr>
            </w:pPr>
            <w:r>
              <w:rPr>
                <w:rFonts w:ascii="Calibri" w:cs="Calibri" w:eastAsia="Calibri" w:hAnsi="Calibri"/>
                <w:sz w:val="18"/>
                <w:szCs w:val="18"/>
                <w:b w:val="1"/>
                <w:bCs w:val="1"/>
                <w:color w:val="auto"/>
              </w:rPr>
              <w:t>30</w:t>
            </w:r>
          </w:p>
        </w:tc>
      </w:tr>
      <w:tr>
        <w:trPr>
          <w:trHeight w:val="217"/>
        </w:trPr>
        <w:tc>
          <w:tcPr>
            <w:tcW w:w="592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Selling, general and administratve expenses</w:t>
            </w:r>
          </w:p>
        </w:tc>
        <w:tc>
          <w:tcPr>
            <w:tcW w:w="46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447</w:t>
            </w:r>
          </w:p>
        </w:tc>
        <w:tc>
          <w:tcPr>
            <w:tcW w:w="11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7</w:t>
            </w:r>
          </w:p>
        </w:tc>
        <w:tc>
          <w:tcPr>
            <w:tcW w:w="42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443</w:t>
            </w:r>
          </w:p>
        </w:tc>
        <w:tc>
          <w:tcPr>
            <w:tcW w:w="10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7</w:t>
            </w:r>
          </w:p>
        </w:tc>
      </w:tr>
      <w:tr>
        <w:trPr>
          <w:trHeight w:val="216"/>
        </w:trPr>
        <w:tc>
          <w:tcPr>
            <w:tcW w:w="5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Acquisiton, divestture and integraton expenses</w:t>
            </w:r>
          </w:p>
        </w:tc>
        <w:tc>
          <w:tcPr>
            <w:tcW w:w="460" w:type="dxa"/>
            <w:vAlign w:val="bottom"/>
          </w:tcPr>
          <w:p>
            <w:pPr>
              <w:spacing w:after="0"/>
              <w:rPr>
                <w:sz w:val="18"/>
                <w:szCs w:val="18"/>
                <w:color w:val="auto"/>
              </w:rPr>
            </w:pP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50</w:t>
            </w:r>
          </w:p>
        </w:tc>
        <w:tc>
          <w:tcPr>
            <w:tcW w:w="1120" w:type="dxa"/>
            <w:vAlign w:val="bottom"/>
            <w:tcBorders>
              <w:right w:val="single" w:sz="8" w:color="007CBA"/>
            </w:tcBorders>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12</w:t>
            </w:r>
          </w:p>
        </w:tc>
        <w:tc>
          <w:tcPr>
            <w:tcW w:w="1080" w:type="dxa"/>
            <w:vAlign w:val="bottom"/>
          </w:tcPr>
          <w:p>
            <w:pPr>
              <w:spacing w:after="0"/>
              <w:rPr>
                <w:sz w:val="18"/>
                <w:szCs w:val="18"/>
                <w:color w:val="auto"/>
              </w:rPr>
            </w:pPr>
          </w:p>
        </w:tc>
      </w:tr>
      <w:tr>
        <w:trPr>
          <w:trHeight w:val="215"/>
        </w:trPr>
        <w:tc>
          <w:tcPr>
            <w:tcW w:w="592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operatng income, net</w:t>
            </w:r>
          </w:p>
        </w:tc>
        <w:tc>
          <w:tcPr>
            <w:tcW w:w="460" w:type="dxa"/>
            <w:vAlign w:val="bottom"/>
            <w:tcBorders>
              <w:bottom w:val="single" w:sz="8" w:color="auto"/>
            </w:tcBorders>
            <w:shd w:val="clear" w:color="auto" w:fill="E5F1F8"/>
          </w:tcPr>
          <w:p>
            <w:pPr>
              <w:spacing w:after="0"/>
              <w:rPr>
                <w:sz w:val="18"/>
                <w:szCs w:val="18"/>
                <w:color w:val="auto"/>
              </w:rPr>
            </w:pPr>
          </w:p>
        </w:tc>
        <w:tc>
          <w:tcPr>
            <w:tcW w:w="112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(1,326 )</w:t>
            </w:r>
          </w:p>
        </w:tc>
        <w:tc>
          <w:tcPr>
            <w:tcW w:w="1120" w:type="dxa"/>
            <w:vAlign w:val="bottom"/>
            <w:tcBorders>
              <w:bottom w:val="single" w:sz="8" w:color="auto"/>
              <w:right w:val="single" w:sz="8" w:color="E5F1F8"/>
            </w:tcBorders>
            <w:shd w:val="clear" w:color="auto" w:fill="E5F1F8"/>
          </w:tcPr>
          <w:p>
            <w:pPr>
              <w:spacing w:after="0"/>
              <w:rPr>
                <w:sz w:val="18"/>
                <w:szCs w:val="18"/>
                <w:color w:val="auto"/>
              </w:rPr>
            </w:pPr>
          </w:p>
        </w:tc>
        <w:tc>
          <w:tcPr>
            <w:tcW w:w="420" w:type="dxa"/>
            <w:vAlign w:val="bottom"/>
            <w:tcBorders>
              <w:bottom w:val="single" w:sz="8" w:color="auto"/>
            </w:tcBorders>
            <w:shd w:val="clear" w:color="auto" w:fill="E5F1F8"/>
          </w:tcPr>
          <w:p>
            <w:pPr>
              <w:spacing w:after="0"/>
              <w:rPr>
                <w:sz w:val="18"/>
                <w:szCs w:val="18"/>
                <w:color w:val="auto"/>
              </w:rPr>
            </w:pPr>
          </w:p>
        </w:tc>
        <w:tc>
          <w:tcPr>
            <w:tcW w:w="112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(28 )</w:t>
            </w:r>
          </w:p>
        </w:tc>
        <w:tc>
          <w:tcPr>
            <w:tcW w:w="1080" w:type="dxa"/>
            <w:vAlign w:val="bottom"/>
            <w:tcBorders>
              <w:bottom w:val="single" w:sz="8" w:color="auto"/>
            </w:tcBorders>
            <w:shd w:val="clear" w:color="auto" w:fill="E5F1F8"/>
          </w:tcPr>
          <w:p>
            <w:pPr>
              <w:spacing w:after="0"/>
              <w:rPr>
                <w:sz w:val="18"/>
                <w:szCs w:val="18"/>
                <w:color w:val="auto"/>
              </w:rPr>
            </w:pPr>
          </w:p>
        </w:tc>
      </w:tr>
      <w:tr>
        <w:trPr>
          <w:trHeight w:val="210"/>
        </w:trPr>
        <w:tc>
          <w:tcPr>
            <w:tcW w:w="5920" w:type="dxa"/>
            <w:vAlign w:val="bottom"/>
            <w:tcBorders>
              <w:right w:val="single" w:sz="8" w:color="007CBA"/>
            </w:tcBorders>
          </w:tcPr>
          <w:p>
            <w:pPr>
              <w:ind w:left="120"/>
              <w:spacing w:after="0" w:line="209" w:lineRule="exact"/>
              <w:rPr>
                <w:sz w:val="20"/>
                <w:szCs w:val="20"/>
                <w:color w:val="auto"/>
              </w:rPr>
            </w:pPr>
            <w:r>
              <w:rPr>
                <w:rFonts w:ascii="Calibri" w:cs="Calibri" w:eastAsia="Calibri" w:hAnsi="Calibri"/>
                <w:sz w:val="18"/>
                <w:szCs w:val="18"/>
                <w:b w:val="1"/>
                <w:bCs w:val="1"/>
                <w:color w:val="auto"/>
              </w:rPr>
              <w:t>Earnings from Operatons</w:t>
            </w:r>
          </w:p>
        </w:tc>
        <w:tc>
          <w:tcPr>
            <w:tcW w:w="460" w:type="dxa"/>
            <w:vAlign w:val="bottom"/>
          </w:tcPr>
          <w:p>
            <w:pPr>
              <w:spacing w:after="0"/>
              <w:rPr>
                <w:sz w:val="18"/>
                <w:szCs w:val="18"/>
                <w:color w:val="auto"/>
              </w:rPr>
            </w:pPr>
          </w:p>
        </w:tc>
        <w:tc>
          <w:tcPr>
            <w:tcW w:w="1120" w:type="dxa"/>
            <w:vAlign w:val="bottom"/>
            <w:tcBorders>
              <w:right w:val="single" w:sz="8" w:color="007CBA"/>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2,707</w:t>
            </w:r>
          </w:p>
        </w:tc>
        <w:tc>
          <w:tcPr>
            <w:tcW w:w="1120" w:type="dxa"/>
            <w:vAlign w:val="bottom"/>
            <w:tcBorders>
              <w:right w:val="single" w:sz="8" w:color="007CBA"/>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41</w:t>
            </w:r>
          </w:p>
        </w:tc>
        <w:tc>
          <w:tcPr>
            <w:tcW w:w="420" w:type="dxa"/>
            <w:vAlign w:val="bottom"/>
          </w:tcPr>
          <w:p>
            <w:pPr>
              <w:spacing w:after="0"/>
              <w:rPr>
                <w:sz w:val="18"/>
                <w:szCs w:val="18"/>
                <w:color w:val="auto"/>
              </w:rPr>
            </w:pPr>
          </w:p>
        </w:tc>
        <w:tc>
          <w:tcPr>
            <w:tcW w:w="1120" w:type="dxa"/>
            <w:vAlign w:val="bottom"/>
            <w:tcBorders>
              <w:right w:val="single" w:sz="8" w:color="007CBA"/>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1,596</w:t>
            </w:r>
          </w:p>
        </w:tc>
        <w:tc>
          <w:tcPr>
            <w:tcW w:w="1080" w:type="dxa"/>
            <w:vAlign w:val="bottom"/>
          </w:tcPr>
          <w:p>
            <w:pPr>
              <w:jc w:val="right"/>
              <w:ind w:right="50"/>
              <w:spacing w:after="0" w:line="209" w:lineRule="exact"/>
              <w:rPr>
                <w:sz w:val="20"/>
                <w:szCs w:val="20"/>
                <w:color w:val="auto"/>
              </w:rPr>
            </w:pPr>
            <w:r>
              <w:rPr>
                <w:rFonts w:ascii="Calibri" w:cs="Calibri" w:eastAsia="Calibri" w:hAnsi="Calibri"/>
                <w:sz w:val="18"/>
                <w:szCs w:val="18"/>
                <w:b w:val="1"/>
                <w:bCs w:val="1"/>
                <w:color w:val="auto"/>
              </w:rPr>
              <w:t>24</w:t>
            </w:r>
          </w:p>
        </w:tc>
      </w:tr>
      <w:tr>
        <w:trPr>
          <w:trHeight w:val="217"/>
        </w:trPr>
        <w:tc>
          <w:tcPr>
            <w:tcW w:w="592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Interest expense</w:t>
            </w:r>
          </w:p>
        </w:tc>
        <w:tc>
          <w:tcPr>
            <w:tcW w:w="46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169</w:t>
            </w:r>
          </w:p>
        </w:tc>
        <w:tc>
          <w:tcPr>
            <w:tcW w:w="1120" w:type="dxa"/>
            <w:vAlign w:val="bottom"/>
            <w:tcBorders>
              <w:right w:val="single" w:sz="8" w:color="007CBA"/>
            </w:tcBorders>
            <w:shd w:val="clear" w:color="auto" w:fill="E5F1F8"/>
          </w:tcPr>
          <w:p>
            <w:pPr>
              <w:spacing w:after="0"/>
              <w:rPr>
                <w:sz w:val="18"/>
                <w:szCs w:val="18"/>
                <w:color w:val="auto"/>
              </w:rPr>
            </w:pPr>
          </w:p>
        </w:tc>
        <w:tc>
          <w:tcPr>
            <w:tcW w:w="42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165</w:t>
            </w:r>
          </w:p>
        </w:tc>
        <w:tc>
          <w:tcPr>
            <w:tcW w:w="1080" w:type="dxa"/>
            <w:vAlign w:val="bottom"/>
            <w:shd w:val="clear" w:color="auto" w:fill="E5F1F8"/>
          </w:tcPr>
          <w:p>
            <w:pPr>
              <w:spacing w:after="0"/>
              <w:rPr>
                <w:sz w:val="18"/>
                <w:szCs w:val="18"/>
                <w:color w:val="auto"/>
              </w:rPr>
            </w:pPr>
          </w:p>
        </w:tc>
      </w:tr>
      <w:tr>
        <w:trPr>
          <w:trHeight w:val="215"/>
        </w:trPr>
        <w:tc>
          <w:tcPr>
            <w:tcW w:w="59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Other nonoperatng income, net</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(58 )</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(62 )</w:t>
            </w:r>
          </w:p>
        </w:tc>
        <w:tc>
          <w:tcPr>
            <w:tcW w:w="1080" w:type="dxa"/>
            <w:vAlign w:val="bottom"/>
            <w:tcBorders>
              <w:bottom w:val="single" w:sz="8" w:color="auto"/>
            </w:tcBorders>
          </w:tcPr>
          <w:p>
            <w:pPr>
              <w:spacing w:after="0"/>
              <w:rPr>
                <w:sz w:val="18"/>
                <w:szCs w:val="18"/>
                <w:color w:val="auto"/>
              </w:rPr>
            </w:pPr>
          </w:p>
        </w:tc>
      </w:tr>
      <w:tr>
        <w:trPr>
          <w:trHeight w:val="188"/>
        </w:trPr>
        <w:tc>
          <w:tcPr>
            <w:tcW w:w="5920" w:type="dxa"/>
            <w:vAlign w:val="bottom"/>
            <w:tcBorders>
              <w:right w:val="single" w:sz="8" w:color="007CBA"/>
            </w:tcBorders>
            <w:shd w:val="clear" w:color="auto" w:fill="E5F1F8"/>
          </w:tcPr>
          <w:p>
            <w:pPr>
              <w:ind w:left="120"/>
              <w:spacing w:after="0" w:line="187" w:lineRule="exact"/>
              <w:rPr>
                <w:sz w:val="20"/>
                <w:szCs w:val="20"/>
                <w:color w:val="auto"/>
              </w:rPr>
            </w:pPr>
            <w:r>
              <w:rPr>
                <w:rFonts w:ascii="Calibri" w:cs="Calibri" w:eastAsia="Calibri" w:hAnsi="Calibri"/>
                <w:sz w:val="18"/>
                <w:szCs w:val="18"/>
                <w:color w:val="auto"/>
              </w:rPr>
              <w:t>Earnings from contnuing operatons before income tax</w:t>
            </w:r>
          </w:p>
        </w:tc>
        <w:tc>
          <w:tcPr>
            <w:tcW w:w="460" w:type="dxa"/>
            <w:vAlign w:val="bottom"/>
            <w:shd w:val="clear" w:color="auto" w:fill="E5F1F8"/>
          </w:tcPr>
          <w:p>
            <w:pPr>
              <w:spacing w:after="0"/>
              <w:rPr>
                <w:sz w:val="16"/>
                <w:szCs w:val="16"/>
                <w:color w:val="auto"/>
              </w:rPr>
            </w:pPr>
          </w:p>
        </w:tc>
        <w:tc>
          <w:tcPr>
            <w:tcW w:w="1120" w:type="dxa"/>
            <w:vAlign w:val="bottom"/>
            <w:tcBorders>
              <w:right w:val="single" w:sz="8" w:color="007CBA"/>
            </w:tcBorders>
            <w:shd w:val="clear" w:color="auto" w:fill="E5F1F8"/>
          </w:tcPr>
          <w:p>
            <w:pPr>
              <w:spacing w:after="0"/>
              <w:rPr>
                <w:sz w:val="16"/>
                <w:szCs w:val="16"/>
                <w:color w:val="auto"/>
              </w:rPr>
            </w:pPr>
          </w:p>
        </w:tc>
        <w:tc>
          <w:tcPr>
            <w:tcW w:w="1120" w:type="dxa"/>
            <w:vAlign w:val="bottom"/>
            <w:tcBorders>
              <w:right w:val="single" w:sz="8" w:color="007CBA"/>
            </w:tcBorders>
            <w:shd w:val="clear" w:color="auto" w:fill="E5F1F8"/>
          </w:tcPr>
          <w:p>
            <w:pPr>
              <w:spacing w:after="0"/>
              <w:rPr>
                <w:sz w:val="16"/>
                <w:szCs w:val="16"/>
                <w:color w:val="auto"/>
              </w:rPr>
            </w:pPr>
          </w:p>
        </w:tc>
        <w:tc>
          <w:tcPr>
            <w:tcW w:w="420" w:type="dxa"/>
            <w:vAlign w:val="bottom"/>
            <w:shd w:val="clear" w:color="auto" w:fill="E5F1F8"/>
          </w:tcPr>
          <w:p>
            <w:pPr>
              <w:spacing w:after="0"/>
              <w:rPr>
                <w:sz w:val="16"/>
                <w:szCs w:val="16"/>
                <w:color w:val="auto"/>
              </w:rPr>
            </w:pPr>
          </w:p>
        </w:tc>
        <w:tc>
          <w:tcPr>
            <w:tcW w:w="1120" w:type="dxa"/>
            <w:vAlign w:val="bottom"/>
            <w:tcBorders>
              <w:right w:val="single" w:sz="8" w:color="007CBA"/>
            </w:tcBorders>
            <w:shd w:val="clear" w:color="auto" w:fill="E5F1F8"/>
          </w:tcPr>
          <w:p>
            <w:pPr>
              <w:spacing w:after="0"/>
              <w:rPr>
                <w:sz w:val="16"/>
                <w:szCs w:val="16"/>
                <w:color w:val="auto"/>
              </w:rPr>
            </w:pPr>
          </w:p>
        </w:tc>
        <w:tc>
          <w:tcPr>
            <w:tcW w:w="1080" w:type="dxa"/>
            <w:vAlign w:val="bottom"/>
            <w:shd w:val="clear" w:color="auto" w:fill="E5F1F8"/>
          </w:tcPr>
          <w:p>
            <w:pPr>
              <w:spacing w:after="0"/>
              <w:rPr>
                <w:sz w:val="16"/>
                <w:szCs w:val="16"/>
                <w:color w:val="auto"/>
              </w:rPr>
            </w:pPr>
          </w:p>
        </w:tc>
      </w:tr>
      <w:tr>
        <w:trPr>
          <w:trHeight w:val="218"/>
        </w:trPr>
        <w:tc>
          <w:tcPr>
            <w:tcW w:w="592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expense</w:t>
            </w:r>
          </w:p>
        </w:tc>
        <w:tc>
          <w:tcPr>
            <w:tcW w:w="460" w:type="dxa"/>
            <w:vAlign w:val="bottom"/>
            <w:tcBorders>
              <w:bottom w:val="single" w:sz="8" w:color="E5F1F8"/>
            </w:tcBorders>
            <w:shd w:val="clear" w:color="auto" w:fill="E5F1F8"/>
          </w:tcPr>
          <w:p>
            <w:pPr>
              <w:spacing w:after="0"/>
              <w:rPr>
                <w:sz w:val="18"/>
                <w:szCs w:val="18"/>
                <w:color w:val="auto"/>
              </w:rPr>
            </w:pPr>
          </w:p>
        </w:tc>
        <w:tc>
          <w:tcPr>
            <w:tcW w:w="11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2,596</w:t>
            </w:r>
          </w:p>
        </w:tc>
        <w:tc>
          <w:tcPr>
            <w:tcW w:w="1120" w:type="dxa"/>
            <w:vAlign w:val="bottom"/>
            <w:tcBorders>
              <w:bottom w:val="single" w:sz="8" w:color="E5F1F8"/>
              <w:right w:val="single" w:sz="8" w:color="007CBA"/>
            </w:tcBorders>
            <w:shd w:val="clear" w:color="auto" w:fill="E5F1F8"/>
          </w:tcPr>
          <w:p>
            <w:pPr>
              <w:spacing w:after="0"/>
              <w:rPr>
                <w:sz w:val="18"/>
                <w:szCs w:val="18"/>
                <w:color w:val="auto"/>
              </w:rPr>
            </w:pPr>
          </w:p>
        </w:tc>
        <w:tc>
          <w:tcPr>
            <w:tcW w:w="420" w:type="dxa"/>
            <w:vAlign w:val="bottom"/>
            <w:tcBorders>
              <w:bottom w:val="single" w:sz="8" w:color="E5F1F8"/>
            </w:tcBorders>
            <w:shd w:val="clear" w:color="auto" w:fill="E5F1F8"/>
          </w:tcPr>
          <w:p>
            <w:pPr>
              <w:spacing w:after="0"/>
              <w:rPr>
                <w:sz w:val="18"/>
                <w:szCs w:val="18"/>
                <w:color w:val="auto"/>
              </w:rPr>
            </w:pPr>
          </w:p>
        </w:tc>
        <w:tc>
          <w:tcPr>
            <w:tcW w:w="11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1,493</w:t>
            </w:r>
          </w:p>
        </w:tc>
        <w:tc>
          <w:tcPr>
            <w:tcW w:w="1080" w:type="dxa"/>
            <w:vAlign w:val="bottom"/>
            <w:tcBorders>
              <w:bottom w:val="single" w:sz="8" w:color="E5F1F8"/>
            </w:tcBorders>
            <w:shd w:val="clear" w:color="auto" w:fill="E5F1F8"/>
          </w:tcPr>
          <w:p>
            <w:pPr>
              <w:spacing w:after="0"/>
              <w:rPr>
                <w:sz w:val="18"/>
                <w:szCs w:val="18"/>
                <w:color w:val="auto"/>
              </w:rPr>
            </w:pPr>
          </w:p>
        </w:tc>
      </w:tr>
      <w:tr>
        <w:trPr>
          <w:trHeight w:val="215"/>
        </w:trPr>
        <w:tc>
          <w:tcPr>
            <w:tcW w:w="59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Income tax expense</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600</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293</w:t>
            </w:r>
          </w:p>
        </w:tc>
        <w:tc>
          <w:tcPr>
            <w:tcW w:w="1080" w:type="dxa"/>
            <w:vAlign w:val="bottom"/>
            <w:tcBorders>
              <w:bottom w:val="single" w:sz="8" w:color="auto"/>
            </w:tcBorders>
          </w:tcPr>
          <w:p>
            <w:pPr>
              <w:spacing w:after="0"/>
              <w:rPr>
                <w:sz w:val="18"/>
                <w:szCs w:val="18"/>
                <w:color w:val="auto"/>
              </w:rPr>
            </w:pPr>
          </w:p>
        </w:tc>
      </w:tr>
      <w:tr>
        <w:trPr>
          <w:trHeight w:val="210"/>
        </w:trPr>
        <w:tc>
          <w:tcPr>
            <w:tcW w:w="5920" w:type="dxa"/>
            <w:vAlign w:val="bottom"/>
            <w:tcBorders>
              <w:right w:val="single" w:sz="8" w:color="007CBA"/>
            </w:tcBorders>
            <w:shd w:val="clear" w:color="auto" w:fill="E5F1F8"/>
          </w:tcPr>
          <w:p>
            <w:pPr>
              <w:ind w:left="120"/>
              <w:spacing w:after="0" w:line="210" w:lineRule="exact"/>
              <w:rPr>
                <w:sz w:val="20"/>
                <w:szCs w:val="20"/>
                <w:color w:val="auto"/>
              </w:rPr>
            </w:pPr>
            <w:r>
              <w:rPr>
                <w:rFonts w:ascii="Calibri" w:cs="Calibri" w:eastAsia="Calibri" w:hAnsi="Calibri"/>
                <w:sz w:val="18"/>
                <w:szCs w:val="18"/>
                <w:color w:val="auto"/>
              </w:rPr>
              <w:t>Earnings from contnuing operatons</w:t>
            </w:r>
          </w:p>
        </w:tc>
        <w:tc>
          <w:tcPr>
            <w:tcW w:w="46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1,996</w:t>
            </w:r>
          </w:p>
        </w:tc>
        <w:tc>
          <w:tcPr>
            <w:tcW w:w="112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31</w:t>
            </w:r>
          </w:p>
        </w:tc>
        <w:tc>
          <w:tcPr>
            <w:tcW w:w="42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1,200</w:t>
            </w:r>
          </w:p>
        </w:tc>
        <w:tc>
          <w:tcPr>
            <w:tcW w:w="1080" w:type="dxa"/>
            <w:vAlign w:val="bottom"/>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18</w:t>
            </w:r>
          </w:p>
        </w:tc>
      </w:tr>
      <w:tr>
        <w:trPr>
          <w:trHeight w:val="194"/>
        </w:trPr>
        <w:tc>
          <w:tcPr>
            <w:tcW w:w="5920" w:type="dxa"/>
            <w:vAlign w:val="bottom"/>
          </w:tcPr>
          <w:p>
            <w:pPr>
              <w:ind w:left="120"/>
              <w:spacing w:after="0" w:line="194" w:lineRule="exact"/>
              <w:rPr>
                <w:sz w:val="20"/>
                <w:szCs w:val="20"/>
                <w:color w:val="auto"/>
              </w:rPr>
            </w:pPr>
            <w:r>
              <w:rPr>
                <w:rFonts w:ascii="Calibri" w:cs="Calibri" w:eastAsia="Calibri" w:hAnsi="Calibri"/>
                <w:sz w:val="18"/>
                <w:szCs w:val="18"/>
                <w:color w:val="auto"/>
              </w:rPr>
              <w:t>Loss from discontnued operatons, net of income</w:t>
            </w: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5"/>
        </w:trPr>
        <w:tc>
          <w:tcPr>
            <w:tcW w:w="5920" w:type="dxa"/>
            <w:vAlign w:val="bottom"/>
          </w:tcPr>
          <w:p>
            <w:pPr>
              <w:ind w:left="200"/>
              <w:spacing w:after="0" w:line="215" w:lineRule="exact"/>
              <w:rPr>
                <w:sz w:val="20"/>
                <w:szCs w:val="20"/>
                <w:color w:val="auto"/>
              </w:rPr>
            </w:pPr>
            <w:r>
              <w:rPr>
                <w:rFonts w:ascii="Calibri" w:cs="Calibri" w:eastAsia="Calibri" w:hAnsi="Calibri"/>
                <w:sz w:val="18"/>
                <w:szCs w:val="18"/>
                <w:color w:val="auto"/>
              </w:rPr>
              <w:t>tax beneft</w:t>
            </w:r>
          </w:p>
        </w:tc>
        <w:tc>
          <w:tcPr>
            <w:tcW w:w="460" w:type="dxa"/>
            <w:vAlign w:val="bottom"/>
          </w:tcPr>
          <w:p>
            <w:pPr>
              <w:spacing w:after="0"/>
              <w:rPr>
                <w:sz w:val="18"/>
                <w:szCs w:val="18"/>
                <w:color w:val="auto"/>
              </w:rPr>
            </w:pP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(30 )</w:t>
            </w:r>
          </w:p>
        </w:tc>
        <w:tc>
          <w:tcPr>
            <w:tcW w:w="1080" w:type="dxa"/>
            <w:vAlign w:val="bottom"/>
          </w:tcPr>
          <w:p>
            <w:pPr>
              <w:spacing w:after="0"/>
              <w:rPr>
                <w:sz w:val="18"/>
                <w:szCs w:val="18"/>
                <w:color w:val="auto"/>
              </w:rPr>
            </w:pPr>
          </w:p>
        </w:tc>
      </w:tr>
      <w:tr>
        <w:trPr>
          <w:trHeight w:val="23"/>
        </w:trPr>
        <w:tc>
          <w:tcPr>
            <w:tcW w:w="5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5920" w:type="dxa"/>
            <w:vAlign w:val="bottom"/>
            <w:tcBorders>
              <w:right w:val="single" w:sz="8" w:color="007CBA"/>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Consolidated net earnings</w:t>
            </w:r>
          </w:p>
        </w:tc>
        <w:tc>
          <w:tcPr>
            <w:tcW w:w="46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1,996</w:t>
            </w:r>
          </w:p>
        </w:tc>
        <w:tc>
          <w:tcPr>
            <w:tcW w:w="1120" w:type="dxa"/>
            <w:vAlign w:val="bottom"/>
            <w:tcBorders>
              <w:right w:val="single" w:sz="8" w:color="007CBA"/>
            </w:tcBorders>
            <w:shd w:val="clear" w:color="auto" w:fill="E5F1F8"/>
          </w:tcPr>
          <w:p>
            <w:pPr>
              <w:spacing w:after="0"/>
              <w:rPr>
                <w:sz w:val="18"/>
                <w:szCs w:val="18"/>
                <w:color w:val="auto"/>
              </w:rPr>
            </w:pPr>
          </w:p>
        </w:tc>
        <w:tc>
          <w:tcPr>
            <w:tcW w:w="42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1,170</w:t>
            </w:r>
          </w:p>
        </w:tc>
        <w:tc>
          <w:tcPr>
            <w:tcW w:w="1080" w:type="dxa"/>
            <w:vAlign w:val="bottom"/>
            <w:shd w:val="clear" w:color="auto" w:fill="E5F1F8"/>
          </w:tcPr>
          <w:p>
            <w:pPr>
              <w:spacing w:after="0"/>
              <w:rPr>
                <w:sz w:val="18"/>
                <w:szCs w:val="18"/>
                <w:color w:val="auto"/>
              </w:rPr>
            </w:pPr>
          </w:p>
        </w:tc>
      </w:tr>
      <w:tr>
        <w:trPr>
          <w:trHeight w:val="215"/>
        </w:trPr>
        <w:tc>
          <w:tcPr>
            <w:tcW w:w="59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Less: Net earnings atributable to noncontrolling interests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1</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1</w:t>
            </w:r>
          </w:p>
        </w:tc>
        <w:tc>
          <w:tcPr>
            <w:tcW w:w="1080" w:type="dxa"/>
            <w:vAlign w:val="bottom"/>
            <w:tcBorders>
              <w:bottom w:val="single" w:sz="8" w:color="auto"/>
            </w:tcBorders>
          </w:tcPr>
          <w:p>
            <w:pPr>
              <w:spacing w:after="0"/>
              <w:rPr>
                <w:sz w:val="18"/>
                <w:szCs w:val="18"/>
                <w:color w:val="auto"/>
              </w:rPr>
            </w:pPr>
          </w:p>
        </w:tc>
      </w:tr>
      <w:tr>
        <w:trPr>
          <w:trHeight w:val="250"/>
        </w:trPr>
        <w:tc>
          <w:tcPr>
            <w:tcW w:w="592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b w:val="1"/>
                <w:bCs w:val="1"/>
                <w:color w:val="auto"/>
              </w:rPr>
              <w:t>Net Earnings Atributable to Martn Marieta</w:t>
            </w:r>
          </w:p>
        </w:tc>
        <w:tc>
          <w:tcPr>
            <w:tcW w:w="46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1,995</w:t>
            </w:r>
          </w:p>
        </w:tc>
        <w:tc>
          <w:tcPr>
            <w:tcW w:w="112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31</w:t>
            </w:r>
          </w:p>
        </w:tc>
        <w:tc>
          <w:tcPr>
            <w:tcW w:w="420" w:type="dxa"/>
            <w:vAlign w:val="bottom"/>
            <w:tcBorders>
              <w:bottom w:val="single" w:sz="8" w:color="auto"/>
            </w:tcBorders>
            <w:shd w:val="clear" w:color="auto" w:fill="E5F1F8"/>
          </w:tcPr>
          <w:p>
            <w:pPr>
              <w:jc w:val="right"/>
              <w:ind w:right="90"/>
              <w:spacing w:after="0" w:line="209"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1,169</w:t>
            </w:r>
          </w:p>
        </w:tc>
        <w:tc>
          <w:tcPr>
            <w:tcW w:w="108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-2553970</wp:posOffset>
            </wp:positionV>
            <wp:extent cx="1028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-2421255</wp:posOffset>
            </wp:positionV>
            <wp:extent cx="3365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-2421255</wp:posOffset>
            </wp:positionV>
            <wp:extent cx="3429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-2421255</wp:posOffset>
            </wp:positionV>
            <wp:extent cx="33655"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-2421255</wp:posOffset>
            </wp:positionV>
            <wp:extent cx="3365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-1863725</wp:posOffset>
            </wp:positionV>
            <wp:extent cx="3365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-1863725</wp:posOffset>
            </wp:positionV>
            <wp:extent cx="3429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-1863725</wp:posOffset>
            </wp:positionV>
            <wp:extent cx="3365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-1863725</wp:posOffset>
            </wp:positionV>
            <wp:extent cx="33655"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-1443990</wp:posOffset>
            </wp:positionV>
            <wp:extent cx="33655" cy="1708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-1443990</wp:posOffset>
            </wp:positionV>
            <wp:extent cx="34290" cy="1708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-1443990</wp:posOffset>
            </wp:positionV>
            <wp:extent cx="33655" cy="1708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-1443990</wp:posOffset>
            </wp:positionV>
            <wp:extent cx="33655" cy="1708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-1023620</wp:posOffset>
            </wp:positionV>
            <wp:extent cx="33655" cy="1708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-1023620</wp:posOffset>
            </wp:positionV>
            <wp:extent cx="34290" cy="1708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-1023620</wp:posOffset>
            </wp:positionV>
            <wp:extent cx="33655" cy="1708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-1023620</wp:posOffset>
            </wp:positionV>
            <wp:extent cx="33655" cy="1708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-741045</wp:posOffset>
            </wp:positionV>
            <wp:extent cx="33655" cy="308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3655" cy="308610"/>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-741045</wp:posOffset>
            </wp:positionV>
            <wp:extent cx="34290" cy="3086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4290" cy="30861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-741045</wp:posOffset>
            </wp:positionV>
            <wp:extent cx="33655" cy="3086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3655" cy="30861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-741045</wp:posOffset>
            </wp:positionV>
            <wp:extent cx="33655" cy="3086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33655" cy="30861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-320675</wp:posOffset>
            </wp:positionV>
            <wp:extent cx="33655" cy="3340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-320675</wp:posOffset>
            </wp:positionV>
            <wp:extent cx="34290" cy="3340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-320675</wp:posOffset>
            </wp:positionV>
            <wp:extent cx="33655" cy="3340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-320675</wp:posOffset>
            </wp:positionV>
            <wp:extent cx="33655" cy="3340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Consolidated Adjusted EBITDA</w:t>
      </w:r>
    </w:p>
    <w:p>
      <w:pPr>
        <w:spacing w:after="0" w:line="59" w:lineRule="exact"/>
        <w:rPr>
          <w:sz w:val="20"/>
          <w:szCs w:val="20"/>
          <w:color w:val="auto"/>
        </w:rPr>
      </w:pPr>
    </w:p>
    <w:p>
      <w:pPr>
        <w:jc w:val="both"/>
        <w:spacing w:after="0" w:line="239" w:lineRule="auto"/>
        <w:rPr>
          <w:sz w:val="20"/>
          <w:szCs w:val="20"/>
          <w:color w:val="auto"/>
        </w:rPr>
      </w:pPr>
      <w:r>
        <w:rPr>
          <w:rFonts w:ascii="Calibri" w:cs="Calibri" w:eastAsia="Calibri" w:hAnsi="Calibri"/>
          <w:sz w:val="18"/>
          <w:szCs w:val="18"/>
          <w:color w:val="auto"/>
        </w:rPr>
        <w:t>Earnings from contnuing operatons before interest; income taxes; depreciaton, depleton and amortzaton; earnings/loss from nonconsolidated equity afliates; acquisiton, divestture and integraton expenses; the impact of selling acquired inventory afer its markup to fair value as part of acquisiton accountng (Inventory Markup); nonrecurring gain on divestture; and noncash asset and portolio ratonalizaton charge, or Adjusted EBITDA, is an indicator used by the Company and investors to evaluate the Company’s operatng performance from period to period. Efectve January 1, 2024, the Company has elected to add back, for purposes of its Adjusted EBITDA calculaton, acquisiton, divestture and integraton expenses and the Inventory Markup only for transactons with consideraton of $2.0 billion or more and expected acquisiton, divestture and integraton expenses of at least $15 million. For 2024, this includes the acquisiton of 20 actve aggregates operatons from afliates of Blue Water Industries LLC (BWI Southeast) and the Divestture. See Note B to the consolidated fnancial statements for additonal informaton regarding the BWI Southeast acquisiton and the Divestture.</w:t>
      </w:r>
    </w:p>
    <w:p>
      <w:pPr>
        <w:spacing w:after="0" w:line="5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EBITDA is not defned by U.S. generally accepted accountng principles (GAAP) and, as such, should not be construed as an alternatve to net earnings atributable to Martn Marieta, earnings from operatons or operatng cash fow. Because Adjusted EBITDA excludes some, but not all, items that afect net earnings and may vary among businesses, Adjusted EBITDA as presented by the Company may not be comparable to similarly ttled measures of other companies.</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9" w:name="page50"/>
    <w:bookmarkEnd w:id="49"/>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a reconciliaton of net earnings from contnuing operatons atributable to Martn Marieta to consolidated Adjusted EBITDA: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6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380" w:type="dxa"/>
            <w:vAlign w:val="bottom"/>
            <w:shd w:val="clear" w:color="auto" w:fill="007CBA"/>
          </w:tcPr>
          <w:p>
            <w:pPr>
              <w:spacing w:after="0"/>
              <w:rPr>
                <w:sz w:val="19"/>
                <w:szCs w:val="19"/>
                <w:color w:val="auto"/>
              </w:rPr>
            </w:pPr>
          </w:p>
        </w:tc>
      </w:tr>
      <w:tr>
        <w:trPr>
          <w:trHeight w:val="216"/>
        </w:trPr>
        <w:tc>
          <w:tcPr>
            <w:tcW w:w="73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shd w:val="clear" w:color="auto" w:fill="007CBA"/>
          </w:tcPr>
          <w:p>
            <w:pPr>
              <w:spacing w:after="0"/>
              <w:rPr>
                <w:sz w:val="18"/>
                <w:szCs w:val="18"/>
                <w:color w:val="auto"/>
              </w:rPr>
            </w:pPr>
          </w:p>
        </w:tc>
        <w:tc>
          <w:tcPr>
            <w:tcW w:w="1380" w:type="dxa"/>
            <w:vAlign w:val="bottom"/>
            <w:tcBorders>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shd w:val="clear" w:color="auto" w:fill="007CBA"/>
          </w:tcPr>
          <w:p>
            <w:pPr>
              <w:spacing w:after="0"/>
              <w:rPr>
                <w:sz w:val="18"/>
                <w:szCs w:val="18"/>
                <w:color w:val="auto"/>
              </w:rPr>
            </w:pPr>
          </w:p>
        </w:tc>
        <w:tc>
          <w:tcPr>
            <w:tcW w:w="1380" w:type="dxa"/>
            <w:vAlign w:val="bottom"/>
            <w:shd w:val="clear" w:color="auto" w:fill="007CBA"/>
          </w:tcPr>
          <w:p>
            <w:pPr>
              <w:jc w:val="right"/>
              <w:ind w:right="670"/>
              <w:spacing w:after="0" w:line="215" w:lineRule="exact"/>
              <w:rPr>
                <w:sz w:val="20"/>
                <w:szCs w:val="20"/>
                <w:color w:val="auto"/>
              </w:rPr>
            </w:pPr>
            <w:r>
              <w:rPr>
                <w:rFonts w:ascii="Calibri" w:cs="Calibri" w:eastAsia="Calibri" w:hAnsi="Calibri"/>
                <w:sz w:val="18"/>
                <w:szCs w:val="18"/>
                <w:color w:val="FFFFFF"/>
              </w:rPr>
              <w:t>2023</w:t>
            </w:r>
          </w:p>
        </w:tc>
      </w:tr>
      <w:tr>
        <w:trPr>
          <w:trHeight w:val="216"/>
        </w:trPr>
        <w:tc>
          <w:tcPr>
            <w:tcW w:w="736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Net earnings from contnuing operatons atributable to Martn Marieta</w:t>
            </w:r>
          </w:p>
        </w:tc>
        <w:tc>
          <w:tcPr>
            <w:tcW w:w="560" w:type="dxa"/>
            <w:vAlign w:val="bottom"/>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1,995</w:t>
            </w:r>
          </w:p>
        </w:tc>
        <w:tc>
          <w:tcPr>
            <w:tcW w:w="560" w:type="dxa"/>
            <w:vAlign w:val="bottom"/>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1,199</w:t>
            </w:r>
          </w:p>
        </w:tc>
      </w:tr>
      <w:tr>
        <w:trPr>
          <w:trHeight w:val="215"/>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Add back (deduct):</w:t>
            </w:r>
          </w:p>
        </w:tc>
        <w:tc>
          <w:tcPr>
            <w:tcW w:w="560" w:type="dxa"/>
            <w:vAlign w:val="bottom"/>
          </w:tcPr>
          <w:p>
            <w:pPr>
              <w:spacing w:after="0"/>
              <w:rPr>
                <w:sz w:val="18"/>
                <w:szCs w:val="18"/>
                <w:color w:val="auto"/>
              </w:rPr>
            </w:pPr>
          </w:p>
        </w:tc>
        <w:tc>
          <w:tcPr>
            <w:tcW w:w="1380" w:type="dxa"/>
            <w:vAlign w:val="bottom"/>
            <w:tcBorders>
              <w:right w:val="single" w:sz="8" w:color="007CBA"/>
            </w:tcBorders>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360" w:type="dxa"/>
            <w:vAlign w:val="bottom"/>
            <w:tcBorders>
              <w:right w:val="single" w:sz="8" w:color="007CBA"/>
            </w:tcBorders>
            <w:shd w:val="clear" w:color="auto" w:fill="E5F1F8"/>
          </w:tcPr>
          <w:p>
            <w:pPr>
              <w:ind w:left="200"/>
              <w:spacing w:after="0" w:line="216" w:lineRule="exact"/>
              <w:rPr>
                <w:sz w:val="20"/>
                <w:szCs w:val="20"/>
                <w:color w:val="auto"/>
              </w:rPr>
            </w:pPr>
            <w:r>
              <w:rPr>
                <w:rFonts w:ascii="Calibri" w:cs="Calibri" w:eastAsia="Calibri" w:hAnsi="Calibri"/>
                <w:sz w:val="18"/>
                <w:szCs w:val="18"/>
                <w:color w:val="auto"/>
              </w:rPr>
              <w:t>Interest expense, net of interest income</w:t>
            </w:r>
          </w:p>
        </w:tc>
        <w:tc>
          <w:tcPr>
            <w:tcW w:w="56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128</w:t>
            </w:r>
          </w:p>
        </w:tc>
        <w:tc>
          <w:tcPr>
            <w:tcW w:w="560" w:type="dxa"/>
            <w:vAlign w:val="bottom"/>
            <w:shd w:val="clear" w:color="auto" w:fill="E5F1F8"/>
          </w:tcPr>
          <w:p>
            <w:pPr>
              <w:spacing w:after="0"/>
              <w:rPr>
                <w:sz w:val="18"/>
                <w:szCs w:val="18"/>
                <w:color w:val="auto"/>
              </w:rPr>
            </w:pPr>
          </w:p>
        </w:tc>
        <w:tc>
          <w:tcPr>
            <w:tcW w:w="13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119</w:t>
            </w:r>
          </w:p>
        </w:tc>
      </w:tr>
      <w:tr>
        <w:trPr>
          <w:trHeight w:val="215"/>
        </w:trPr>
        <w:tc>
          <w:tcPr>
            <w:tcW w:w="73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Income tax expense for controlling interests</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600</w:t>
            </w:r>
          </w:p>
        </w:tc>
        <w:tc>
          <w:tcPr>
            <w:tcW w:w="560" w:type="dxa"/>
            <w:vAlign w:val="bottom"/>
          </w:tcPr>
          <w:p>
            <w:pPr>
              <w:spacing w:after="0"/>
              <w:rPr>
                <w:sz w:val="18"/>
                <w:szCs w:val="18"/>
                <w:color w:val="auto"/>
              </w:rPr>
            </w:pP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293</w:t>
            </w:r>
          </w:p>
        </w:tc>
      </w:tr>
      <w:tr>
        <w:trPr>
          <w:trHeight w:val="194"/>
        </w:trPr>
        <w:tc>
          <w:tcPr>
            <w:tcW w:w="7360" w:type="dxa"/>
            <w:vAlign w:val="bottom"/>
            <w:tcBorders>
              <w:right w:val="single" w:sz="8" w:color="007CBA"/>
            </w:tcBorders>
            <w:shd w:val="clear" w:color="auto" w:fill="E5F1F8"/>
          </w:tcPr>
          <w:p>
            <w:pPr>
              <w:ind w:left="200"/>
              <w:spacing w:after="0" w:line="194" w:lineRule="exact"/>
              <w:rPr>
                <w:sz w:val="20"/>
                <w:szCs w:val="20"/>
                <w:color w:val="auto"/>
              </w:rPr>
            </w:pPr>
            <w:r>
              <w:rPr>
                <w:rFonts w:ascii="Calibri" w:cs="Calibri" w:eastAsia="Calibri" w:hAnsi="Calibri"/>
                <w:sz w:val="18"/>
                <w:szCs w:val="18"/>
                <w:color w:val="auto"/>
              </w:rPr>
              <w:t>Depreciaton, depleton and amortzaton expense and earnings/loss from</w:t>
            </w:r>
          </w:p>
        </w:tc>
        <w:tc>
          <w:tcPr>
            <w:tcW w:w="560" w:type="dxa"/>
            <w:vAlign w:val="bottom"/>
            <w:shd w:val="clear" w:color="auto" w:fill="E5F1F8"/>
          </w:tcPr>
          <w:p>
            <w:pPr>
              <w:spacing w:after="0"/>
              <w:rPr>
                <w:sz w:val="16"/>
                <w:szCs w:val="16"/>
                <w:color w:val="auto"/>
              </w:rPr>
            </w:pPr>
          </w:p>
        </w:tc>
        <w:tc>
          <w:tcPr>
            <w:tcW w:w="1380" w:type="dxa"/>
            <w:vAlign w:val="bottom"/>
            <w:tcBorders>
              <w:right w:val="single" w:sz="8" w:color="007CBA"/>
            </w:tcBorders>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1380" w:type="dxa"/>
            <w:vAlign w:val="bottom"/>
            <w:shd w:val="clear" w:color="auto" w:fill="E5F1F8"/>
          </w:tcPr>
          <w:p>
            <w:pPr>
              <w:spacing w:after="0"/>
              <w:rPr>
                <w:sz w:val="16"/>
                <w:szCs w:val="16"/>
                <w:color w:val="auto"/>
              </w:rPr>
            </w:pPr>
          </w:p>
        </w:tc>
      </w:tr>
      <w:tr>
        <w:trPr>
          <w:trHeight w:val="218"/>
        </w:trPr>
        <w:tc>
          <w:tcPr>
            <w:tcW w:w="7360" w:type="dxa"/>
            <w:vAlign w:val="bottom"/>
            <w:tcBorders>
              <w:bottom w:val="single" w:sz="8" w:color="E5F1F8"/>
              <w:right w:val="single" w:sz="8" w:color="007CBA"/>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nonconsolidated equity afliates</w:t>
            </w:r>
          </w:p>
        </w:tc>
        <w:tc>
          <w:tcPr>
            <w:tcW w:w="560" w:type="dxa"/>
            <w:vAlign w:val="bottom"/>
            <w:tcBorders>
              <w:bottom w:val="single" w:sz="8" w:color="E5F1F8"/>
            </w:tcBorders>
            <w:shd w:val="clear" w:color="auto" w:fill="E5F1F8"/>
          </w:tcPr>
          <w:p>
            <w:pPr>
              <w:spacing w:after="0"/>
              <w:rPr>
                <w:sz w:val="18"/>
                <w:szCs w:val="18"/>
                <w:color w:val="auto"/>
              </w:rPr>
            </w:pPr>
          </w:p>
        </w:tc>
        <w:tc>
          <w:tcPr>
            <w:tcW w:w="13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564</w:t>
            </w:r>
          </w:p>
        </w:tc>
        <w:tc>
          <w:tcPr>
            <w:tcW w:w="560" w:type="dxa"/>
            <w:vAlign w:val="bottom"/>
            <w:tcBorders>
              <w:bottom w:val="single" w:sz="8" w:color="E5F1F8"/>
            </w:tcBorders>
            <w:shd w:val="clear" w:color="auto" w:fill="E5F1F8"/>
          </w:tcPr>
          <w:p>
            <w:pPr>
              <w:spacing w:after="0"/>
              <w:rPr>
                <w:sz w:val="18"/>
                <w:szCs w:val="18"/>
                <w:color w:val="auto"/>
              </w:rPr>
            </w:pPr>
          </w:p>
        </w:tc>
        <w:tc>
          <w:tcPr>
            <w:tcW w:w="13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505</w:t>
            </w:r>
          </w:p>
        </w:tc>
      </w:tr>
      <w:tr>
        <w:trPr>
          <w:trHeight w:val="215"/>
        </w:trPr>
        <w:tc>
          <w:tcPr>
            <w:tcW w:w="73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Acquisiton, divestture and integraton expenses</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40</w:t>
            </w:r>
          </w:p>
        </w:tc>
        <w:tc>
          <w:tcPr>
            <w:tcW w:w="560" w:type="dxa"/>
            <w:vAlign w:val="bottom"/>
          </w:tcPr>
          <w:p>
            <w:pPr>
              <w:spacing w:after="0"/>
              <w:rPr>
                <w:sz w:val="18"/>
                <w:szCs w:val="18"/>
                <w:color w:val="auto"/>
              </w:rPr>
            </w:pP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12</w:t>
            </w:r>
          </w:p>
        </w:tc>
      </w:tr>
      <w:tr>
        <w:trPr>
          <w:trHeight w:val="194"/>
        </w:trPr>
        <w:tc>
          <w:tcPr>
            <w:tcW w:w="7360" w:type="dxa"/>
            <w:vAlign w:val="bottom"/>
            <w:tcBorders>
              <w:right w:val="single" w:sz="8" w:color="007CBA"/>
            </w:tcBorders>
            <w:shd w:val="clear" w:color="auto" w:fill="E5F1F8"/>
          </w:tcPr>
          <w:p>
            <w:pPr>
              <w:ind w:left="200"/>
              <w:spacing w:after="0" w:line="194" w:lineRule="exact"/>
              <w:rPr>
                <w:sz w:val="20"/>
                <w:szCs w:val="20"/>
                <w:color w:val="auto"/>
              </w:rPr>
            </w:pPr>
            <w:r>
              <w:rPr>
                <w:rFonts w:ascii="Calibri" w:cs="Calibri" w:eastAsia="Calibri" w:hAnsi="Calibri"/>
                <w:sz w:val="18"/>
                <w:szCs w:val="18"/>
                <w:color w:val="auto"/>
              </w:rPr>
              <w:t>Impact of selling acquired inventory afer markup to fair value as part of</w:t>
            </w:r>
          </w:p>
        </w:tc>
        <w:tc>
          <w:tcPr>
            <w:tcW w:w="560" w:type="dxa"/>
            <w:vAlign w:val="bottom"/>
            <w:shd w:val="clear" w:color="auto" w:fill="E5F1F8"/>
          </w:tcPr>
          <w:p>
            <w:pPr>
              <w:spacing w:after="0"/>
              <w:rPr>
                <w:sz w:val="16"/>
                <w:szCs w:val="16"/>
                <w:color w:val="auto"/>
              </w:rPr>
            </w:pPr>
          </w:p>
        </w:tc>
        <w:tc>
          <w:tcPr>
            <w:tcW w:w="1380" w:type="dxa"/>
            <w:vAlign w:val="bottom"/>
            <w:tcBorders>
              <w:right w:val="single" w:sz="8" w:color="007CBA"/>
            </w:tcBorders>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1380" w:type="dxa"/>
            <w:vAlign w:val="bottom"/>
            <w:shd w:val="clear" w:color="auto" w:fill="E5F1F8"/>
          </w:tcPr>
          <w:p>
            <w:pPr>
              <w:spacing w:after="0"/>
              <w:rPr>
                <w:sz w:val="16"/>
                <w:szCs w:val="16"/>
                <w:color w:val="auto"/>
              </w:rPr>
            </w:pPr>
          </w:p>
        </w:tc>
      </w:tr>
      <w:tr>
        <w:trPr>
          <w:trHeight w:val="218"/>
        </w:trPr>
        <w:tc>
          <w:tcPr>
            <w:tcW w:w="7360" w:type="dxa"/>
            <w:vAlign w:val="bottom"/>
            <w:tcBorders>
              <w:bottom w:val="single" w:sz="8" w:color="E5F1F8"/>
              <w:right w:val="single" w:sz="8" w:color="007CBA"/>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acquisiton accountng</w:t>
            </w:r>
          </w:p>
        </w:tc>
        <w:tc>
          <w:tcPr>
            <w:tcW w:w="560" w:type="dxa"/>
            <w:vAlign w:val="bottom"/>
            <w:tcBorders>
              <w:bottom w:val="single" w:sz="8" w:color="E5F1F8"/>
            </w:tcBorders>
            <w:shd w:val="clear" w:color="auto" w:fill="E5F1F8"/>
          </w:tcPr>
          <w:p>
            <w:pPr>
              <w:spacing w:after="0"/>
              <w:rPr>
                <w:sz w:val="18"/>
                <w:szCs w:val="18"/>
                <w:color w:val="auto"/>
              </w:rPr>
            </w:pPr>
          </w:p>
        </w:tc>
        <w:tc>
          <w:tcPr>
            <w:tcW w:w="13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w:t>
            </w:r>
          </w:p>
        </w:tc>
        <w:tc>
          <w:tcPr>
            <w:tcW w:w="560" w:type="dxa"/>
            <w:vAlign w:val="bottom"/>
            <w:tcBorders>
              <w:bottom w:val="single" w:sz="8" w:color="E5F1F8"/>
            </w:tcBorders>
            <w:shd w:val="clear" w:color="auto" w:fill="E5F1F8"/>
          </w:tcPr>
          <w:p>
            <w:pPr>
              <w:spacing w:after="0"/>
              <w:rPr>
                <w:sz w:val="18"/>
                <w:szCs w:val="18"/>
                <w:color w:val="auto"/>
              </w:rPr>
            </w:pPr>
          </w:p>
        </w:tc>
        <w:tc>
          <w:tcPr>
            <w:tcW w:w="13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73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Nonrecurring gain on divestture</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(1,331 )</w:t>
            </w:r>
          </w:p>
        </w:tc>
        <w:tc>
          <w:tcPr>
            <w:tcW w:w="560" w:type="dxa"/>
            <w:vAlign w:val="bottom"/>
          </w:tcPr>
          <w:p>
            <w:pPr>
              <w:spacing w:after="0"/>
              <w:rPr>
                <w:sz w:val="18"/>
                <w:szCs w:val="18"/>
                <w:color w:val="auto"/>
              </w:rPr>
            </w:pPr>
          </w:p>
        </w:tc>
        <w:tc>
          <w:tcPr>
            <w:tcW w:w="13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360" w:type="dxa"/>
            <w:vAlign w:val="bottom"/>
            <w:tcBorders>
              <w:bottom w:val="single" w:sz="8" w:color="auto"/>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Noncash asset and portolio ratonalizaton charge</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50</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0"/>
        </w:trPr>
        <w:tc>
          <w:tcPr>
            <w:tcW w:w="736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Consolidated Adjusted EBITDA</w:t>
            </w:r>
          </w:p>
        </w:tc>
        <w:tc>
          <w:tcPr>
            <w:tcW w:w="560" w:type="dxa"/>
            <w:vAlign w:val="bottom"/>
            <w:tcBorders>
              <w:bottom w:val="single" w:sz="8" w:color="auto"/>
            </w:tcBorders>
          </w:tcPr>
          <w:p>
            <w:pPr>
              <w:jc w:val="right"/>
              <w:ind w:right="190"/>
              <w:spacing w:after="0" w:line="209"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2,066</w:t>
            </w:r>
          </w:p>
        </w:tc>
        <w:tc>
          <w:tcPr>
            <w:tcW w:w="560" w:type="dxa"/>
            <w:vAlign w:val="bottom"/>
            <w:tcBorders>
              <w:bottom w:val="single" w:sz="8" w:color="auto"/>
            </w:tcBorders>
          </w:tcPr>
          <w:p>
            <w:pPr>
              <w:jc w:val="right"/>
              <w:ind w:right="19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2,128</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-320675</wp:posOffset>
            </wp:positionV>
            <wp:extent cx="33655" cy="3340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-320675</wp:posOffset>
            </wp:positionV>
            <wp:extent cx="34290" cy="3340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Mix-Adjusted Average Selling Price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Mix-adjusted average selling price (mix-adjusted ASP) is a non-GAAP measure that excludes the impact of period-over-period product, geographic and other mix on the Company's average selling price. Mix-adjusted ASP is calculated by comparing current-period shipments to like-for-like shipments in the comparable prior period. Management uses this metric to evaluate the realizaton of pricing changes and believes this informaton is useful to investors because it provides same-on-same pricing trends.</w:t>
      </w:r>
    </w:p>
    <w:p>
      <w:pPr>
        <w:spacing w:after="0" w:line="5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reconciles reported average selling price per ton to organic mix-adjusted ASP and corresponding variances: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80" w:type="dxa"/>
            <w:vAlign w:val="bottom"/>
            <w:gridSpan w:val="2"/>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360" w:type="dxa"/>
            <w:vAlign w:val="bottom"/>
            <w:shd w:val="clear" w:color="auto" w:fill="007CBA"/>
          </w:tcPr>
          <w:p>
            <w:pPr>
              <w:spacing w:after="0"/>
              <w:rPr>
                <w:sz w:val="19"/>
                <w:szCs w:val="19"/>
                <w:color w:val="auto"/>
              </w:rPr>
            </w:pPr>
          </w:p>
        </w:tc>
        <w:tc>
          <w:tcPr>
            <w:tcW w:w="1460" w:type="dxa"/>
            <w:vAlign w:val="bottom"/>
            <w:tcBorders>
              <w:right w:val="single" w:sz="8" w:color="007CBA"/>
            </w:tcBorders>
            <w:shd w:val="clear" w:color="auto" w:fill="007CBA"/>
          </w:tcPr>
          <w:p>
            <w:pPr>
              <w:jc w:val="right"/>
              <w:ind w:right="730"/>
              <w:spacing w:after="0"/>
              <w:rPr>
                <w:sz w:val="20"/>
                <w:szCs w:val="20"/>
                <w:color w:val="auto"/>
              </w:rPr>
            </w:pPr>
            <w:r>
              <w:rPr>
                <w:rFonts w:ascii="Calibri" w:cs="Calibri" w:eastAsia="Calibri" w:hAnsi="Calibri"/>
                <w:sz w:val="18"/>
                <w:szCs w:val="18"/>
                <w:b w:val="1"/>
                <w:bCs w:val="1"/>
                <w:color w:val="FFFFFF"/>
              </w:rPr>
              <w:t>2024</w:t>
            </w:r>
          </w:p>
        </w:tc>
        <w:tc>
          <w:tcPr>
            <w:tcW w:w="180" w:type="dxa"/>
            <w:vAlign w:val="bottom"/>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380" w:type="dxa"/>
            <w:vAlign w:val="bottom"/>
            <w:shd w:val="clear" w:color="auto" w:fill="007CBA"/>
          </w:tcPr>
          <w:p>
            <w:pPr>
              <w:jc w:val="right"/>
              <w:ind w:right="670"/>
              <w:spacing w:after="0"/>
              <w:rPr>
                <w:sz w:val="20"/>
                <w:szCs w:val="20"/>
                <w:color w:val="auto"/>
              </w:rPr>
            </w:pPr>
            <w:r>
              <w:rPr>
                <w:rFonts w:ascii="Calibri" w:cs="Calibri" w:eastAsia="Calibri" w:hAnsi="Calibri"/>
                <w:sz w:val="18"/>
                <w:szCs w:val="18"/>
                <w:color w:val="FFFFFF"/>
              </w:rPr>
              <w:t>2023</w:t>
            </w:r>
          </w:p>
        </w:tc>
      </w:tr>
      <w:tr>
        <w:trPr>
          <w:trHeight w:val="215"/>
        </w:trPr>
        <w:tc>
          <w:tcPr>
            <w:tcW w:w="7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b w:val="1"/>
                <w:bCs w:val="1"/>
                <w:color w:val="auto"/>
              </w:rPr>
              <w:t>Aggregates: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right w:val="single" w:sz="8" w:color="007CBA"/>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30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Reported average selling price</w:t>
            </w:r>
          </w:p>
        </w:tc>
        <w:tc>
          <w:tcPr>
            <w:tcW w:w="180" w:type="dxa"/>
            <w:vAlign w:val="bottom"/>
            <w:shd w:val="clear" w:color="auto" w:fill="E5F1F8"/>
          </w:tcPr>
          <w:p>
            <w:pPr>
              <w:spacing w:after="0"/>
              <w:rPr>
                <w:sz w:val="18"/>
                <w:szCs w:val="18"/>
                <w:color w:val="auto"/>
              </w:rPr>
            </w:pPr>
          </w:p>
        </w:tc>
        <w:tc>
          <w:tcPr>
            <w:tcW w:w="360" w:type="dxa"/>
            <w:vAlign w:val="bottom"/>
            <w:shd w:val="clear" w:color="auto" w:fill="E5F1F8"/>
          </w:tcPr>
          <w:p>
            <w:pPr>
              <w:jc w:val="right"/>
              <w:ind w:right="170"/>
              <w:spacing w:after="0" w:line="216" w:lineRule="exact"/>
              <w:rPr>
                <w:sz w:val="20"/>
                <w:szCs w:val="20"/>
                <w:color w:val="auto"/>
              </w:rPr>
            </w:pPr>
            <w:r>
              <w:rPr>
                <w:rFonts w:ascii="Calibri" w:cs="Calibri" w:eastAsia="Calibri" w:hAnsi="Calibri"/>
                <w:sz w:val="18"/>
                <w:szCs w:val="18"/>
                <w:b w:val="1"/>
                <w:bCs w:val="1"/>
                <w:color w:val="auto"/>
                <w:w w:val="87"/>
              </w:rPr>
              <w:t>$</w:t>
            </w:r>
          </w:p>
        </w:tc>
        <w:tc>
          <w:tcPr>
            <w:tcW w:w="1460" w:type="dxa"/>
            <w:vAlign w:val="bottom"/>
            <w:tcBorders>
              <w:right w:val="single" w:sz="8" w:color="007CBA"/>
            </w:tcBorders>
            <w:shd w:val="clear" w:color="auto" w:fill="E5F1F8"/>
          </w:tcPr>
          <w:p>
            <w:pPr>
              <w:jc w:val="right"/>
              <w:ind w:right="110"/>
              <w:spacing w:after="0" w:line="216" w:lineRule="exact"/>
              <w:rPr>
                <w:sz w:val="20"/>
                <w:szCs w:val="20"/>
                <w:color w:val="auto"/>
              </w:rPr>
            </w:pPr>
            <w:r>
              <w:rPr>
                <w:rFonts w:ascii="Calibri" w:cs="Calibri" w:eastAsia="Calibri" w:hAnsi="Calibri"/>
                <w:sz w:val="18"/>
                <w:szCs w:val="18"/>
                <w:b w:val="1"/>
                <w:bCs w:val="1"/>
                <w:color w:val="auto"/>
              </w:rPr>
              <w:t>21.80</w:t>
            </w:r>
          </w:p>
        </w:tc>
        <w:tc>
          <w:tcPr>
            <w:tcW w:w="560" w:type="dxa"/>
            <w:vAlign w:val="bottom"/>
            <w:gridSpan w:val="2"/>
            <w:shd w:val="clear" w:color="auto" w:fill="E5F1F8"/>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19.84</w:t>
            </w:r>
          </w:p>
        </w:tc>
      </w:tr>
      <w:tr>
        <w:trPr>
          <w:trHeight w:val="215"/>
        </w:trPr>
        <w:tc>
          <w:tcPr>
            <w:tcW w:w="7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Adjustment for impact of acquisitons</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0.22</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50"/>
        </w:trPr>
        <w:tc>
          <w:tcPr>
            <w:tcW w:w="7300" w:type="dxa"/>
            <w:vAlign w:val="bottom"/>
            <w:tcBorders>
              <w:right w:val="single" w:sz="8" w:color="007CBA"/>
            </w:tcBorders>
            <w:shd w:val="clear" w:color="auto" w:fill="E5F1F8"/>
          </w:tcPr>
          <w:p>
            <w:pPr>
              <w:ind w:left="120"/>
              <w:spacing w:after="0" w:line="210" w:lineRule="exact"/>
              <w:rPr>
                <w:sz w:val="20"/>
                <w:szCs w:val="20"/>
                <w:color w:val="auto"/>
              </w:rPr>
            </w:pPr>
            <w:r>
              <w:rPr>
                <w:rFonts w:ascii="Calibri" w:cs="Calibri" w:eastAsia="Calibri" w:hAnsi="Calibri"/>
                <w:sz w:val="18"/>
                <w:szCs w:val="18"/>
                <w:color w:val="auto"/>
              </w:rPr>
              <w:t>Organic average selling price</w:t>
            </w:r>
          </w:p>
        </w:tc>
        <w:tc>
          <w:tcPr>
            <w:tcW w:w="180" w:type="dxa"/>
            <w:vAlign w:val="bottom"/>
            <w:shd w:val="clear" w:color="auto" w:fill="E5F1F8"/>
          </w:tcPr>
          <w:p>
            <w:pPr>
              <w:spacing w:after="0"/>
              <w:rPr>
                <w:sz w:val="21"/>
                <w:szCs w:val="21"/>
                <w:color w:val="auto"/>
              </w:rPr>
            </w:pPr>
          </w:p>
        </w:tc>
        <w:tc>
          <w:tcPr>
            <w:tcW w:w="360" w:type="dxa"/>
            <w:vAlign w:val="bottom"/>
            <w:shd w:val="clear" w:color="auto" w:fill="E5F1F8"/>
          </w:tcPr>
          <w:p>
            <w:pPr>
              <w:jc w:val="right"/>
              <w:ind w:right="170"/>
              <w:spacing w:after="0" w:line="210" w:lineRule="exact"/>
              <w:rPr>
                <w:sz w:val="20"/>
                <w:szCs w:val="20"/>
                <w:color w:val="auto"/>
              </w:rPr>
            </w:pPr>
            <w:r>
              <w:rPr>
                <w:rFonts w:ascii="Calibri" w:cs="Calibri" w:eastAsia="Calibri" w:hAnsi="Calibri"/>
                <w:sz w:val="18"/>
                <w:szCs w:val="18"/>
                <w:b w:val="1"/>
                <w:bCs w:val="1"/>
                <w:color w:val="auto"/>
                <w:w w:val="87"/>
              </w:rPr>
              <w:t>$</w:t>
            </w:r>
          </w:p>
        </w:tc>
        <w:tc>
          <w:tcPr>
            <w:tcW w:w="1460" w:type="dxa"/>
            <w:vAlign w:val="bottom"/>
            <w:tcBorders>
              <w:right w:val="single" w:sz="8" w:color="007CBA"/>
            </w:tcBorders>
            <w:shd w:val="clear" w:color="auto" w:fill="E5F1F8"/>
          </w:tcPr>
          <w:p>
            <w:pPr>
              <w:jc w:val="right"/>
              <w:ind w:right="110"/>
              <w:spacing w:after="0" w:line="210" w:lineRule="exact"/>
              <w:rPr>
                <w:sz w:val="20"/>
                <w:szCs w:val="20"/>
                <w:color w:val="auto"/>
              </w:rPr>
            </w:pPr>
            <w:r>
              <w:rPr>
                <w:rFonts w:ascii="Calibri" w:cs="Calibri" w:eastAsia="Calibri" w:hAnsi="Calibri"/>
                <w:sz w:val="18"/>
                <w:szCs w:val="18"/>
                <w:b w:val="1"/>
                <w:bCs w:val="1"/>
                <w:color w:val="auto"/>
              </w:rPr>
              <w:t>22.02</w:t>
            </w:r>
          </w:p>
        </w:tc>
        <w:tc>
          <w:tcPr>
            <w:tcW w:w="560" w:type="dxa"/>
            <w:vAlign w:val="bottom"/>
            <w:gridSpan w:val="2"/>
            <w:shd w:val="clear" w:color="auto" w:fill="E5F1F8"/>
          </w:tcPr>
          <w:p>
            <w:pPr>
              <w:jc w:val="right"/>
              <w:ind w:right="280"/>
              <w:spacing w:after="0" w:line="210"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19.84</w:t>
            </w:r>
          </w:p>
        </w:tc>
      </w:tr>
      <w:tr>
        <w:trPr>
          <w:trHeight w:val="196"/>
        </w:trPr>
        <w:tc>
          <w:tcPr>
            <w:tcW w:w="7300" w:type="dxa"/>
            <w:vAlign w:val="bottom"/>
            <w:tcBorders>
              <w:top w:val="single" w:sz="8" w:color="E5F1F8"/>
              <w:right w:val="single" w:sz="8" w:color="007CBA"/>
            </w:tcBorders>
          </w:tcPr>
          <w:p>
            <w:pPr>
              <w:ind w:left="120"/>
              <w:spacing w:after="0" w:line="196" w:lineRule="exact"/>
              <w:rPr>
                <w:sz w:val="20"/>
                <w:szCs w:val="20"/>
                <w:color w:val="auto"/>
              </w:rPr>
            </w:pPr>
            <w:r>
              <w:rPr>
                <w:rFonts w:ascii="Calibri" w:cs="Calibri" w:eastAsia="Calibri" w:hAnsi="Calibri"/>
                <w:sz w:val="18"/>
                <w:szCs w:val="18"/>
                <w:color w:val="auto"/>
              </w:rPr>
              <w:t>Adjustment for impact of product, geographic and other mix</w:t>
            </w:r>
          </w:p>
        </w:tc>
        <w:tc>
          <w:tcPr>
            <w:tcW w:w="180" w:type="dxa"/>
            <w:vAlign w:val="bottom"/>
            <w:tcBorders>
              <w:top w:val="single" w:sz="8" w:color="E5F1F8"/>
            </w:tcBorders>
          </w:tcPr>
          <w:p>
            <w:pPr>
              <w:spacing w:after="0"/>
              <w:rPr>
                <w:sz w:val="17"/>
                <w:szCs w:val="17"/>
                <w:color w:val="auto"/>
              </w:rPr>
            </w:pPr>
          </w:p>
        </w:tc>
        <w:tc>
          <w:tcPr>
            <w:tcW w:w="360" w:type="dxa"/>
            <w:vAlign w:val="bottom"/>
            <w:tcBorders>
              <w:top w:val="single" w:sz="8" w:color="E5F1F8"/>
              <w:bottom w:val="single" w:sz="8" w:color="auto"/>
            </w:tcBorders>
          </w:tcPr>
          <w:p>
            <w:pPr>
              <w:spacing w:after="0"/>
              <w:rPr>
                <w:sz w:val="17"/>
                <w:szCs w:val="17"/>
                <w:color w:val="auto"/>
              </w:rPr>
            </w:pPr>
          </w:p>
        </w:tc>
        <w:tc>
          <w:tcPr>
            <w:tcW w:w="1460" w:type="dxa"/>
            <w:vAlign w:val="bottom"/>
            <w:tcBorders>
              <w:top w:val="single" w:sz="8" w:color="E5F1F8"/>
              <w:bottom w:val="single" w:sz="8" w:color="auto"/>
            </w:tcBorders>
          </w:tcPr>
          <w:p>
            <w:pPr>
              <w:jc w:val="right"/>
              <w:ind w:right="10"/>
              <w:spacing w:after="0" w:line="196" w:lineRule="exact"/>
              <w:rPr>
                <w:sz w:val="20"/>
                <w:szCs w:val="20"/>
                <w:color w:val="auto"/>
              </w:rPr>
            </w:pPr>
            <w:r>
              <w:rPr>
                <w:rFonts w:ascii="Calibri" w:cs="Calibri" w:eastAsia="Calibri" w:hAnsi="Calibri"/>
                <w:sz w:val="18"/>
                <w:szCs w:val="18"/>
                <w:b w:val="1"/>
                <w:bCs w:val="1"/>
                <w:color w:val="auto"/>
              </w:rPr>
              <w:t>(0.07 )</w:t>
            </w:r>
          </w:p>
        </w:tc>
        <w:tc>
          <w:tcPr>
            <w:tcW w:w="180" w:type="dxa"/>
            <w:vAlign w:val="bottom"/>
            <w:tcBorders>
              <w:top w:val="single" w:sz="8" w:color="E5F1F8"/>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50"/>
        </w:trPr>
        <w:tc>
          <w:tcPr>
            <w:tcW w:w="7300" w:type="dxa"/>
            <w:vAlign w:val="bottom"/>
            <w:tcBorders>
              <w:bottom w:val="single" w:sz="8" w:color="E5F1F8"/>
              <w:right w:val="single" w:sz="8" w:color="007CBA"/>
            </w:tcBorders>
            <w:shd w:val="clear" w:color="auto" w:fill="E5F1F8"/>
          </w:tcPr>
          <w:p>
            <w:pPr>
              <w:ind w:left="120"/>
              <w:spacing w:after="0" w:line="210" w:lineRule="exact"/>
              <w:rPr>
                <w:sz w:val="20"/>
                <w:szCs w:val="20"/>
                <w:color w:val="auto"/>
              </w:rPr>
            </w:pPr>
            <w:r>
              <w:rPr>
                <w:rFonts w:ascii="Calibri" w:cs="Calibri" w:eastAsia="Calibri" w:hAnsi="Calibri"/>
                <w:sz w:val="18"/>
                <w:szCs w:val="18"/>
                <w:color w:val="auto"/>
              </w:rPr>
              <w:t>Organic mix-adjusted ASP</w:t>
            </w:r>
          </w:p>
        </w:tc>
        <w:tc>
          <w:tcPr>
            <w:tcW w:w="180" w:type="dxa"/>
            <w:vAlign w:val="bottom"/>
            <w:tcBorders>
              <w:bottom w:val="single" w:sz="8" w:color="E5F1F8"/>
            </w:tcBorders>
            <w:shd w:val="clear" w:color="auto" w:fill="E5F1F8"/>
          </w:tcPr>
          <w:p>
            <w:pPr>
              <w:spacing w:after="0"/>
              <w:rPr>
                <w:sz w:val="21"/>
                <w:szCs w:val="21"/>
                <w:color w:val="auto"/>
              </w:rPr>
            </w:pPr>
          </w:p>
        </w:tc>
        <w:tc>
          <w:tcPr>
            <w:tcW w:w="360" w:type="dxa"/>
            <w:vAlign w:val="bottom"/>
            <w:tcBorders>
              <w:bottom w:val="single" w:sz="8" w:color="auto"/>
            </w:tcBorders>
            <w:shd w:val="clear" w:color="auto" w:fill="E5F1F8"/>
          </w:tcPr>
          <w:p>
            <w:pPr>
              <w:jc w:val="right"/>
              <w:ind w:right="170"/>
              <w:spacing w:after="0" w:line="210" w:lineRule="exact"/>
              <w:rPr>
                <w:sz w:val="20"/>
                <w:szCs w:val="20"/>
                <w:color w:val="auto"/>
              </w:rPr>
            </w:pPr>
            <w:r>
              <w:rPr>
                <w:rFonts w:ascii="Calibri" w:cs="Calibri" w:eastAsia="Calibri" w:hAnsi="Calibri"/>
                <w:sz w:val="18"/>
                <w:szCs w:val="18"/>
                <w:b w:val="1"/>
                <w:bCs w:val="1"/>
                <w:color w:val="auto"/>
                <w:w w:val="87"/>
              </w:rPr>
              <w:t>$</w:t>
            </w:r>
          </w:p>
        </w:tc>
        <w:tc>
          <w:tcPr>
            <w:tcW w:w="1460" w:type="dxa"/>
            <w:vAlign w:val="bottom"/>
            <w:tcBorders>
              <w:bottom w:val="single" w:sz="8" w:color="auto"/>
              <w:right w:val="single" w:sz="8" w:color="E5F1F8"/>
            </w:tcBorders>
            <w:shd w:val="clear" w:color="auto" w:fill="E5F1F8"/>
          </w:tcPr>
          <w:p>
            <w:pPr>
              <w:jc w:val="right"/>
              <w:ind w:right="110"/>
              <w:spacing w:after="0" w:line="210" w:lineRule="exact"/>
              <w:rPr>
                <w:sz w:val="20"/>
                <w:szCs w:val="20"/>
                <w:color w:val="auto"/>
              </w:rPr>
            </w:pPr>
            <w:r>
              <w:rPr>
                <w:rFonts w:ascii="Calibri" w:cs="Calibri" w:eastAsia="Calibri" w:hAnsi="Calibri"/>
                <w:sz w:val="18"/>
                <w:szCs w:val="18"/>
                <w:b w:val="1"/>
                <w:bCs w:val="1"/>
                <w:color w:val="auto"/>
              </w:rPr>
              <w:t>21.95</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196"/>
        </w:trPr>
        <w:tc>
          <w:tcPr>
            <w:tcW w:w="7300" w:type="dxa"/>
            <w:vAlign w:val="bottom"/>
            <w:tcBorders>
              <w:right w:val="single" w:sz="8" w:color="007CBA"/>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Borders>
              <w:right w:val="single" w:sz="8" w:color="007CBA"/>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6"/>
        </w:trPr>
        <w:tc>
          <w:tcPr>
            <w:tcW w:w="7300" w:type="dxa"/>
            <w:vAlign w:val="bottom"/>
            <w:tcBorders>
              <w:bottom w:val="single" w:sz="8" w:color="E5F1F8"/>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Reported average selling price variance</w:t>
            </w:r>
          </w:p>
        </w:tc>
        <w:tc>
          <w:tcPr>
            <w:tcW w:w="180" w:type="dxa"/>
            <w:vAlign w:val="bottom"/>
            <w:tcBorders>
              <w:bottom w:val="single" w:sz="8" w:color="E5F1F8"/>
            </w:tcBorders>
            <w:shd w:val="clear" w:color="auto" w:fill="E5F1F8"/>
          </w:tcPr>
          <w:p>
            <w:pPr>
              <w:spacing w:after="0"/>
              <w:rPr>
                <w:sz w:val="22"/>
                <w:szCs w:val="22"/>
                <w:color w:val="auto"/>
              </w:rPr>
            </w:pPr>
          </w:p>
        </w:tc>
        <w:tc>
          <w:tcPr>
            <w:tcW w:w="360" w:type="dxa"/>
            <w:vAlign w:val="bottom"/>
            <w:tcBorders>
              <w:bottom w:val="single" w:sz="8" w:color="auto"/>
            </w:tcBorders>
            <w:shd w:val="clear" w:color="auto" w:fill="E5F1F8"/>
          </w:tcPr>
          <w:p>
            <w:pPr>
              <w:spacing w:after="0"/>
              <w:rPr>
                <w:sz w:val="22"/>
                <w:szCs w:val="22"/>
                <w:color w:val="auto"/>
              </w:rPr>
            </w:pPr>
          </w:p>
        </w:tc>
        <w:tc>
          <w:tcPr>
            <w:tcW w:w="146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9.9 %</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96"/>
        </w:trPr>
        <w:tc>
          <w:tcPr>
            <w:tcW w:w="7300" w:type="dxa"/>
            <w:vAlign w:val="bottom"/>
            <w:tcBorders>
              <w:right w:val="single" w:sz="8" w:color="007CBA"/>
            </w:tcBorders>
          </w:tcPr>
          <w:p>
            <w:pPr>
              <w:ind w:left="120"/>
              <w:spacing w:after="0" w:line="196" w:lineRule="exact"/>
              <w:rPr>
                <w:sz w:val="20"/>
                <w:szCs w:val="20"/>
                <w:color w:val="auto"/>
              </w:rPr>
            </w:pPr>
            <w:r>
              <w:rPr>
                <w:rFonts w:ascii="Calibri" w:cs="Calibri" w:eastAsia="Calibri" w:hAnsi="Calibri"/>
                <w:sz w:val="18"/>
                <w:szCs w:val="18"/>
                <w:color w:val="auto"/>
              </w:rPr>
              <w:t>Organic average selling price variance</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Calibri" w:cs="Calibri" w:eastAsia="Calibri" w:hAnsi="Calibri"/>
                <w:sz w:val="18"/>
                <w:szCs w:val="18"/>
                <w:b w:val="1"/>
                <w:bCs w:val="1"/>
                <w:color w:val="auto"/>
              </w:rPr>
              <w:t>11.0 %</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7300" w:type="dxa"/>
            <w:vAlign w:val="bottom"/>
            <w:tcBorders>
              <w:right w:val="single" w:sz="8" w:color="007CBA"/>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7"/>
        </w:trPr>
        <w:tc>
          <w:tcPr>
            <w:tcW w:w="7300" w:type="dxa"/>
            <w:vAlign w:val="bottom"/>
            <w:tcBorders>
              <w:bottom w:val="single" w:sz="8" w:color="E5F1F8"/>
              <w:right w:val="single" w:sz="8" w:color="007CBA"/>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Organic mix-adjusted ASP variance</w:t>
            </w:r>
          </w:p>
        </w:tc>
        <w:tc>
          <w:tcPr>
            <w:tcW w:w="180" w:type="dxa"/>
            <w:vAlign w:val="bottom"/>
            <w:tcBorders>
              <w:bottom w:val="single" w:sz="8" w:color="E5F1F8"/>
            </w:tcBorders>
            <w:shd w:val="clear" w:color="auto" w:fill="E5F1F8"/>
          </w:tcPr>
          <w:p>
            <w:pPr>
              <w:spacing w:after="0"/>
              <w:rPr>
                <w:sz w:val="20"/>
                <w:szCs w:val="20"/>
                <w:color w:val="auto"/>
              </w:rPr>
            </w:pPr>
          </w:p>
        </w:tc>
        <w:tc>
          <w:tcPr>
            <w:tcW w:w="360" w:type="dxa"/>
            <w:vAlign w:val="bottom"/>
            <w:tcBorders>
              <w:bottom w:val="single" w:sz="8" w:color="auto"/>
            </w:tcBorders>
            <w:shd w:val="clear" w:color="auto" w:fill="E5F1F8"/>
          </w:tcPr>
          <w:p>
            <w:pPr>
              <w:spacing w:after="0"/>
              <w:rPr>
                <w:sz w:val="20"/>
                <w:szCs w:val="20"/>
                <w:color w:val="auto"/>
              </w:rPr>
            </w:pPr>
          </w:p>
        </w:tc>
        <w:tc>
          <w:tcPr>
            <w:tcW w:w="1460" w:type="dxa"/>
            <w:vAlign w:val="bottom"/>
            <w:tcBorders>
              <w:bottom w:val="single" w:sz="8" w:color="auto"/>
              <w:right w:val="single" w:sz="8" w:color="E5F1F8"/>
            </w:tcBorders>
            <w:shd w:val="clear" w:color="auto" w:fill="E5F1F8"/>
          </w:tcPr>
          <w:p>
            <w:pPr>
              <w:jc w:val="right"/>
              <w:spacing w:after="0" w:line="196" w:lineRule="exact"/>
              <w:rPr>
                <w:sz w:val="20"/>
                <w:szCs w:val="20"/>
                <w:color w:val="auto"/>
              </w:rPr>
            </w:pPr>
            <w:r>
              <w:rPr>
                <w:rFonts w:ascii="Calibri" w:cs="Calibri" w:eastAsia="Calibri" w:hAnsi="Calibri"/>
                <w:sz w:val="18"/>
                <w:szCs w:val="18"/>
                <w:b w:val="1"/>
                <w:bCs w:val="1"/>
                <w:color w:val="auto"/>
              </w:rPr>
              <w:t>10.7 %</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-1255395</wp:posOffset>
            </wp:positionV>
            <wp:extent cx="141605"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41605" cy="17145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-946150</wp:posOffset>
            </wp:positionV>
            <wp:extent cx="1256030" cy="3340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56030" cy="33401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-501015</wp:posOffset>
            </wp:positionV>
            <wp:extent cx="1256030" cy="514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56030" cy="5143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0" w:name="page51"/>
    <w:bookmarkEnd w:id="50"/>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Revenues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revenues for the Company and its reportable segments by product line for contnuing operatons: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6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500" w:type="dxa"/>
            <w:vAlign w:val="bottom"/>
            <w:shd w:val="clear" w:color="auto" w:fill="007CBA"/>
          </w:tcPr>
          <w:p>
            <w:pPr>
              <w:spacing w:after="0"/>
              <w:rPr>
                <w:sz w:val="19"/>
                <w:szCs w:val="19"/>
                <w:color w:val="auto"/>
              </w:rPr>
            </w:pPr>
          </w:p>
        </w:tc>
      </w:tr>
      <w:tr>
        <w:trPr>
          <w:trHeight w:val="216"/>
        </w:trPr>
        <w:tc>
          <w:tcPr>
            <w:tcW w:w="72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shd w:val="clear" w:color="auto" w:fill="007CBA"/>
          </w:tcPr>
          <w:p>
            <w:pPr>
              <w:spacing w:after="0"/>
              <w:rPr>
                <w:sz w:val="18"/>
                <w:szCs w:val="18"/>
                <w:color w:val="auto"/>
              </w:rPr>
            </w:pPr>
          </w:p>
        </w:tc>
        <w:tc>
          <w:tcPr>
            <w:tcW w:w="1380" w:type="dxa"/>
            <w:vAlign w:val="bottom"/>
            <w:tcBorders>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2024</w:t>
            </w:r>
          </w:p>
        </w:tc>
        <w:tc>
          <w:tcPr>
            <w:tcW w:w="540" w:type="dxa"/>
            <w:vAlign w:val="bottom"/>
            <w:shd w:val="clear" w:color="auto" w:fill="007CBA"/>
          </w:tcPr>
          <w:p>
            <w:pPr>
              <w:spacing w:after="0"/>
              <w:rPr>
                <w:sz w:val="18"/>
                <w:szCs w:val="18"/>
                <w:color w:val="auto"/>
              </w:rPr>
            </w:pPr>
          </w:p>
        </w:tc>
        <w:tc>
          <w:tcPr>
            <w:tcW w:w="1500" w:type="dxa"/>
            <w:vAlign w:val="bottom"/>
            <w:shd w:val="clear" w:color="auto" w:fill="007CBA"/>
          </w:tcPr>
          <w:p>
            <w:pPr>
              <w:jc w:val="right"/>
              <w:ind w:right="790"/>
              <w:spacing w:after="0" w:line="215" w:lineRule="exact"/>
              <w:rPr>
                <w:sz w:val="20"/>
                <w:szCs w:val="20"/>
                <w:color w:val="auto"/>
              </w:rPr>
            </w:pPr>
            <w:r>
              <w:rPr>
                <w:rFonts w:ascii="Calibri" w:cs="Calibri" w:eastAsia="Calibri" w:hAnsi="Calibri"/>
                <w:sz w:val="18"/>
                <w:szCs w:val="18"/>
                <w:color w:val="FFFFFF"/>
              </w:rPr>
              <w:t>2023</w:t>
            </w:r>
          </w:p>
        </w:tc>
      </w:tr>
      <w:tr>
        <w:trPr>
          <w:trHeight w:val="216"/>
        </w:trPr>
        <w:tc>
          <w:tcPr>
            <w:tcW w:w="726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56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spacing w:after="0"/>
              <w:rPr>
                <w:sz w:val="18"/>
                <w:szCs w:val="18"/>
                <w:color w:val="auto"/>
              </w:rPr>
            </w:pPr>
          </w:p>
        </w:tc>
        <w:tc>
          <w:tcPr>
            <w:tcW w:w="540" w:type="dxa"/>
            <w:vAlign w:val="bottom"/>
            <w:shd w:val="clear" w:color="auto" w:fill="E5F1F8"/>
          </w:tcPr>
          <w:p>
            <w:pPr>
              <w:spacing w:after="0"/>
              <w:rPr>
                <w:sz w:val="18"/>
                <w:szCs w:val="18"/>
                <w:color w:val="auto"/>
              </w:rPr>
            </w:pPr>
          </w:p>
        </w:tc>
        <w:tc>
          <w:tcPr>
            <w:tcW w:w="1500" w:type="dxa"/>
            <w:vAlign w:val="bottom"/>
            <w:shd w:val="clear" w:color="auto" w:fill="E5F1F8"/>
          </w:tcPr>
          <w:p>
            <w:pPr>
              <w:spacing w:after="0"/>
              <w:rPr>
                <w:sz w:val="18"/>
                <w:szCs w:val="18"/>
                <w:color w:val="auto"/>
              </w:rPr>
            </w:pPr>
          </w:p>
        </w:tc>
      </w:tr>
      <w:tr>
        <w:trPr>
          <w:trHeight w:val="215"/>
        </w:trPr>
        <w:tc>
          <w:tcPr>
            <w:tcW w:w="72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East Group:</w:t>
            </w:r>
          </w:p>
        </w:tc>
        <w:tc>
          <w:tcPr>
            <w:tcW w:w="560" w:type="dxa"/>
            <w:vAlign w:val="bottom"/>
          </w:tcPr>
          <w:p>
            <w:pPr>
              <w:spacing w:after="0"/>
              <w:rPr>
                <w:sz w:val="18"/>
                <w:szCs w:val="18"/>
                <w:color w:val="auto"/>
              </w:rPr>
            </w:pPr>
          </w:p>
        </w:tc>
        <w:tc>
          <w:tcPr>
            <w:tcW w:w="1380" w:type="dxa"/>
            <w:vAlign w:val="bottom"/>
            <w:tcBorders>
              <w:right w:val="single" w:sz="8" w:color="007CBA"/>
            </w:tcBorders>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7260" w:type="dxa"/>
            <w:vAlign w:val="bottom"/>
            <w:tcBorders>
              <w:right w:val="single" w:sz="8" w:color="007CBA"/>
            </w:tcBorders>
            <w:shd w:val="clear" w:color="auto" w:fill="E5F1F8"/>
          </w:tcPr>
          <w:p>
            <w:pPr>
              <w:ind w:left="380"/>
              <w:spacing w:after="0" w:line="216" w:lineRule="exact"/>
              <w:rPr>
                <w:sz w:val="20"/>
                <w:szCs w:val="20"/>
                <w:color w:val="auto"/>
              </w:rPr>
            </w:pPr>
            <w:r>
              <w:rPr>
                <w:rFonts w:ascii="Calibri" w:cs="Calibri" w:eastAsia="Calibri" w:hAnsi="Calibri"/>
                <w:sz w:val="18"/>
                <w:szCs w:val="18"/>
                <w:color w:val="auto"/>
              </w:rPr>
              <w:t>Aggregates</w:t>
            </w:r>
          </w:p>
        </w:tc>
        <w:tc>
          <w:tcPr>
            <w:tcW w:w="560" w:type="dxa"/>
            <w:vAlign w:val="bottom"/>
            <w:shd w:val="clear" w:color="auto" w:fill="E5F1F8"/>
          </w:tcPr>
          <w:p>
            <w:pPr>
              <w:jc w:val="right"/>
              <w:ind w:right="170"/>
              <w:spacing w:after="0" w:line="216"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2,787</w:t>
            </w:r>
          </w:p>
        </w:tc>
        <w:tc>
          <w:tcPr>
            <w:tcW w:w="540" w:type="dxa"/>
            <w:vAlign w:val="bottom"/>
            <w:shd w:val="clear" w:color="auto" w:fill="E5F1F8"/>
          </w:tcPr>
          <w:p>
            <w:pPr>
              <w:jc w:val="right"/>
              <w:ind w:right="170"/>
              <w:spacing w:after="0" w:line="216" w:lineRule="exact"/>
              <w:rPr>
                <w:sz w:val="20"/>
                <w:szCs w:val="20"/>
                <w:color w:val="auto"/>
              </w:rPr>
            </w:pPr>
            <w:r>
              <w:rPr>
                <w:rFonts w:ascii="Calibri" w:cs="Calibri" w:eastAsia="Calibri" w:hAnsi="Calibri"/>
                <w:sz w:val="18"/>
                <w:szCs w:val="18"/>
                <w:color w:val="auto"/>
              </w:rPr>
              <w:t>$</w:t>
            </w:r>
          </w:p>
        </w:tc>
        <w:tc>
          <w:tcPr>
            <w:tcW w:w="1500" w:type="dxa"/>
            <w:vAlign w:val="bottom"/>
            <w:shd w:val="clear" w:color="auto" w:fill="E5F1F8"/>
          </w:tcPr>
          <w:p>
            <w:pPr>
              <w:jc w:val="right"/>
              <w:ind w:right="170"/>
              <w:spacing w:after="0" w:line="216" w:lineRule="exact"/>
              <w:rPr>
                <w:sz w:val="20"/>
                <w:szCs w:val="20"/>
                <w:color w:val="auto"/>
              </w:rPr>
            </w:pPr>
            <w:r>
              <w:rPr>
                <w:rFonts w:ascii="Calibri" w:cs="Calibri" w:eastAsia="Calibri" w:hAnsi="Calibri"/>
                <w:sz w:val="18"/>
                <w:szCs w:val="18"/>
                <w:color w:val="auto"/>
              </w:rPr>
              <w:t>2,593</w:t>
            </w:r>
          </w:p>
        </w:tc>
      </w:tr>
      <w:tr>
        <w:trPr>
          <w:trHeight w:val="216"/>
        </w:trPr>
        <w:tc>
          <w:tcPr>
            <w:tcW w:w="7260" w:type="dxa"/>
            <w:vAlign w:val="bottom"/>
            <w:tcBorders>
              <w:right w:val="single" w:sz="8" w:color="007CBA"/>
            </w:tcBorders>
          </w:tcPr>
          <w:p>
            <w:pPr>
              <w:ind w:left="380"/>
              <w:spacing w:after="0" w:line="215" w:lineRule="exact"/>
              <w:rPr>
                <w:sz w:val="20"/>
                <w:szCs w:val="20"/>
                <w:color w:val="auto"/>
              </w:rPr>
            </w:pPr>
            <w:r>
              <w:rPr>
                <w:rFonts w:ascii="Calibri" w:cs="Calibri" w:eastAsia="Calibri" w:hAnsi="Calibri"/>
                <w:sz w:val="18"/>
                <w:szCs w:val="18"/>
                <w:color w:val="auto"/>
              </w:rPr>
              <w:t>Asphalt</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184</w:t>
            </w:r>
          </w:p>
        </w:tc>
        <w:tc>
          <w:tcPr>
            <w:tcW w:w="540" w:type="dxa"/>
            <w:vAlign w:val="bottom"/>
          </w:tcPr>
          <w:p>
            <w:pPr>
              <w:spacing w:after="0"/>
              <w:rPr>
                <w:sz w:val="18"/>
                <w:szCs w:val="18"/>
                <w:color w:val="auto"/>
              </w:rPr>
            </w:pPr>
          </w:p>
        </w:tc>
        <w:tc>
          <w:tcPr>
            <w:tcW w:w="15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199</w:t>
            </w:r>
          </w:p>
        </w:tc>
      </w:tr>
      <w:tr>
        <w:trPr>
          <w:trHeight w:val="215"/>
        </w:trPr>
        <w:tc>
          <w:tcPr>
            <w:tcW w:w="7260" w:type="dxa"/>
            <w:vAlign w:val="bottom"/>
            <w:tcBorders>
              <w:bottom w:val="single" w:sz="8" w:color="auto"/>
              <w:right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Less: interproduct revenues</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(30 )</w:t>
            </w:r>
          </w:p>
        </w:tc>
        <w:tc>
          <w:tcPr>
            <w:tcW w:w="540" w:type="dxa"/>
            <w:vAlign w:val="bottom"/>
            <w:tcBorders>
              <w:bottom w:val="single" w:sz="8" w:color="auto"/>
            </w:tcBorders>
            <w:shd w:val="clear" w:color="auto" w:fill="E5F1F8"/>
          </w:tcPr>
          <w:p>
            <w:pPr>
              <w:spacing w:after="0"/>
              <w:rPr>
                <w:sz w:val="18"/>
                <w:szCs w:val="18"/>
                <w:color w:val="auto"/>
              </w:rPr>
            </w:pPr>
          </w:p>
        </w:tc>
        <w:tc>
          <w:tcPr>
            <w:tcW w:w="1500" w:type="dxa"/>
            <w:vAlign w:val="bottom"/>
            <w:tcBorders>
              <w:bottom w:val="single" w:sz="8" w:color="auto"/>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(29 )</w:t>
            </w:r>
          </w:p>
        </w:tc>
      </w:tr>
      <w:tr>
        <w:trPr>
          <w:trHeight w:val="210"/>
        </w:trPr>
        <w:tc>
          <w:tcPr>
            <w:tcW w:w="7260" w:type="dxa"/>
            <w:vAlign w:val="bottom"/>
            <w:tcBorders>
              <w:bottom w:val="single" w:sz="8" w:color="auto"/>
            </w:tcBorders>
          </w:tcPr>
          <w:p>
            <w:pPr>
              <w:ind w:left="300"/>
              <w:spacing w:after="0" w:line="209" w:lineRule="exact"/>
              <w:rPr>
                <w:sz w:val="20"/>
                <w:szCs w:val="20"/>
                <w:color w:val="auto"/>
              </w:rPr>
            </w:pPr>
            <w:r>
              <w:rPr>
                <w:rFonts w:ascii="Calibri" w:cs="Calibri" w:eastAsia="Calibri" w:hAnsi="Calibri"/>
                <w:sz w:val="18"/>
                <w:szCs w:val="18"/>
                <w:color w:val="auto"/>
              </w:rPr>
              <w:t>East Group Total</w:t>
            </w: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2,941</w:t>
            </w: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color w:val="auto"/>
              </w:rPr>
              <w:t>2,763</w:t>
            </w:r>
          </w:p>
        </w:tc>
      </w:tr>
      <w:tr>
        <w:trPr>
          <w:trHeight w:val="210"/>
        </w:trPr>
        <w:tc>
          <w:tcPr>
            <w:tcW w:w="7260" w:type="dxa"/>
            <w:vAlign w:val="bottom"/>
            <w:tcBorders>
              <w:right w:val="single" w:sz="8" w:color="007CBA"/>
            </w:tcBorders>
            <w:shd w:val="clear" w:color="auto" w:fill="E5F1F8"/>
          </w:tcPr>
          <w:p>
            <w:pPr>
              <w:ind w:left="300"/>
              <w:spacing w:after="0" w:line="210" w:lineRule="exact"/>
              <w:rPr>
                <w:sz w:val="20"/>
                <w:szCs w:val="20"/>
                <w:color w:val="auto"/>
              </w:rPr>
            </w:pPr>
            <w:r>
              <w:rPr>
                <w:rFonts w:ascii="Calibri" w:cs="Calibri" w:eastAsia="Calibri" w:hAnsi="Calibri"/>
                <w:sz w:val="18"/>
                <w:szCs w:val="18"/>
                <w:color w:val="auto"/>
              </w:rPr>
              <w:t>West Group:</w:t>
            </w:r>
          </w:p>
        </w:tc>
        <w:tc>
          <w:tcPr>
            <w:tcW w:w="56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spacing w:after="0"/>
              <w:rPr>
                <w:sz w:val="18"/>
                <w:szCs w:val="18"/>
                <w:color w:val="auto"/>
              </w:rPr>
            </w:pPr>
          </w:p>
        </w:tc>
        <w:tc>
          <w:tcPr>
            <w:tcW w:w="540" w:type="dxa"/>
            <w:vAlign w:val="bottom"/>
            <w:shd w:val="clear" w:color="auto" w:fill="E5F1F8"/>
          </w:tcPr>
          <w:p>
            <w:pPr>
              <w:spacing w:after="0"/>
              <w:rPr>
                <w:sz w:val="18"/>
                <w:szCs w:val="18"/>
                <w:color w:val="auto"/>
              </w:rPr>
            </w:pPr>
          </w:p>
        </w:tc>
        <w:tc>
          <w:tcPr>
            <w:tcW w:w="1500" w:type="dxa"/>
            <w:vAlign w:val="bottom"/>
            <w:shd w:val="clear" w:color="auto" w:fill="E5F1F8"/>
          </w:tcPr>
          <w:p>
            <w:pPr>
              <w:spacing w:after="0"/>
              <w:rPr>
                <w:sz w:val="18"/>
                <w:szCs w:val="18"/>
                <w:color w:val="auto"/>
              </w:rPr>
            </w:pPr>
          </w:p>
        </w:tc>
      </w:tr>
      <w:tr>
        <w:trPr>
          <w:trHeight w:val="215"/>
        </w:trPr>
        <w:tc>
          <w:tcPr>
            <w:tcW w:w="7260" w:type="dxa"/>
            <w:vAlign w:val="bottom"/>
            <w:tcBorders>
              <w:right w:val="single" w:sz="8" w:color="007CBA"/>
            </w:tcBorders>
          </w:tcPr>
          <w:p>
            <w:pPr>
              <w:ind w:left="380"/>
              <w:spacing w:after="0" w:line="215" w:lineRule="exact"/>
              <w:rPr>
                <w:sz w:val="20"/>
                <w:szCs w:val="20"/>
                <w:color w:val="auto"/>
              </w:rPr>
            </w:pPr>
            <w:r>
              <w:rPr>
                <w:rFonts w:ascii="Calibri" w:cs="Calibri" w:eastAsia="Calibri" w:hAnsi="Calibri"/>
                <w:sz w:val="18"/>
                <w:szCs w:val="18"/>
                <w:color w:val="auto"/>
              </w:rPr>
              <w:t>Aggregates</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1,727</w:t>
            </w:r>
          </w:p>
        </w:tc>
        <w:tc>
          <w:tcPr>
            <w:tcW w:w="540" w:type="dxa"/>
            <w:vAlign w:val="bottom"/>
          </w:tcPr>
          <w:p>
            <w:pPr>
              <w:spacing w:after="0"/>
              <w:rPr>
                <w:sz w:val="18"/>
                <w:szCs w:val="18"/>
                <w:color w:val="auto"/>
              </w:rPr>
            </w:pPr>
          </w:p>
        </w:tc>
        <w:tc>
          <w:tcPr>
            <w:tcW w:w="15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1,709</w:t>
            </w:r>
          </w:p>
        </w:tc>
      </w:tr>
      <w:tr>
        <w:trPr>
          <w:trHeight w:val="217"/>
        </w:trPr>
        <w:tc>
          <w:tcPr>
            <w:tcW w:w="7260" w:type="dxa"/>
            <w:vAlign w:val="bottom"/>
            <w:tcBorders>
              <w:right w:val="single" w:sz="8" w:color="007CBA"/>
            </w:tcBorders>
            <w:shd w:val="clear" w:color="auto" w:fill="E5F1F8"/>
          </w:tcPr>
          <w:p>
            <w:pPr>
              <w:ind w:left="380"/>
              <w:spacing w:after="0" w:line="216" w:lineRule="exact"/>
              <w:rPr>
                <w:sz w:val="20"/>
                <w:szCs w:val="20"/>
                <w:color w:val="auto"/>
              </w:rPr>
            </w:pPr>
            <w:r>
              <w:rPr>
                <w:rFonts w:ascii="Calibri" w:cs="Calibri" w:eastAsia="Calibri" w:hAnsi="Calibri"/>
                <w:sz w:val="18"/>
                <w:szCs w:val="18"/>
                <w:color w:val="auto"/>
              </w:rPr>
              <w:t>Cement and ready mixed concrete</w:t>
            </w:r>
          </w:p>
        </w:tc>
        <w:tc>
          <w:tcPr>
            <w:tcW w:w="56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1,083</w:t>
            </w:r>
          </w:p>
        </w:tc>
        <w:tc>
          <w:tcPr>
            <w:tcW w:w="540" w:type="dxa"/>
            <w:vAlign w:val="bottom"/>
            <w:shd w:val="clear" w:color="auto" w:fill="E5F1F8"/>
          </w:tcPr>
          <w:p>
            <w:pPr>
              <w:spacing w:after="0"/>
              <w:rPr>
                <w:sz w:val="18"/>
                <w:szCs w:val="18"/>
                <w:color w:val="auto"/>
              </w:rPr>
            </w:pPr>
          </w:p>
        </w:tc>
        <w:tc>
          <w:tcPr>
            <w:tcW w:w="1500" w:type="dxa"/>
            <w:vAlign w:val="bottom"/>
            <w:shd w:val="clear" w:color="auto" w:fill="E5F1F8"/>
          </w:tcPr>
          <w:p>
            <w:pPr>
              <w:jc w:val="right"/>
              <w:ind w:right="170"/>
              <w:spacing w:after="0" w:line="216" w:lineRule="exact"/>
              <w:rPr>
                <w:sz w:val="20"/>
                <w:szCs w:val="20"/>
                <w:color w:val="auto"/>
              </w:rPr>
            </w:pPr>
            <w:r>
              <w:rPr>
                <w:rFonts w:ascii="Calibri" w:cs="Calibri" w:eastAsia="Calibri" w:hAnsi="Calibri"/>
                <w:sz w:val="18"/>
                <w:szCs w:val="18"/>
                <w:color w:val="auto"/>
              </w:rPr>
              <w:t>1,518</w:t>
            </w:r>
          </w:p>
        </w:tc>
      </w:tr>
      <w:tr>
        <w:trPr>
          <w:trHeight w:val="216"/>
        </w:trPr>
        <w:tc>
          <w:tcPr>
            <w:tcW w:w="7260" w:type="dxa"/>
            <w:vAlign w:val="bottom"/>
            <w:tcBorders>
              <w:right w:val="single" w:sz="8" w:color="007CBA"/>
            </w:tcBorders>
          </w:tcPr>
          <w:p>
            <w:pPr>
              <w:ind w:left="380"/>
              <w:spacing w:after="0" w:line="215" w:lineRule="exact"/>
              <w:rPr>
                <w:sz w:val="20"/>
                <w:szCs w:val="20"/>
                <w:color w:val="auto"/>
              </w:rPr>
            </w:pPr>
            <w:r>
              <w:rPr>
                <w:rFonts w:ascii="Calibri" w:cs="Calibri" w:eastAsia="Calibri" w:hAnsi="Calibri"/>
                <w:sz w:val="18"/>
                <w:szCs w:val="18"/>
                <w:color w:val="auto"/>
              </w:rPr>
              <w:t>Asphalt and paving services</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685</w:t>
            </w:r>
          </w:p>
        </w:tc>
        <w:tc>
          <w:tcPr>
            <w:tcW w:w="540" w:type="dxa"/>
            <w:vAlign w:val="bottom"/>
          </w:tcPr>
          <w:p>
            <w:pPr>
              <w:spacing w:after="0"/>
              <w:rPr>
                <w:sz w:val="18"/>
                <w:szCs w:val="18"/>
                <w:color w:val="auto"/>
              </w:rPr>
            </w:pPr>
          </w:p>
        </w:tc>
        <w:tc>
          <w:tcPr>
            <w:tcW w:w="15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688</w:t>
            </w:r>
          </w:p>
        </w:tc>
      </w:tr>
      <w:tr>
        <w:trPr>
          <w:trHeight w:val="215"/>
        </w:trPr>
        <w:tc>
          <w:tcPr>
            <w:tcW w:w="7260" w:type="dxa"/>
            <w:vAlign w:val="bottom"/>
            <w:tcBorders>
              <w:bottom w:val="single" w:sz="8" w:color="auto"/>
              <w:right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Less: interproduct revenues</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(220 )</w:t>
            </w:r>
          </w:p>
        </w:tc>
        <w:tc>
          <w:tcPr>
            <w:tcW w:w="540" w:type="dxa"/>
            <w:vAlign w:val="bottom"/>
            <w:tcBorders>
              <w:bottom w:val="single" w:sz="8" w:color="auto"/>
            </w:tcBorders>
            <w:shd w:val="clear" w:color="auto" w:fill="E5F1F8"/>
          </w:tcPr>
          <w:p>
            <w:pPr>
              <w:spacing w:after="0"/>
              <w:rPr>
                <w:sz w:val="18"/>
                <w:szCs w:val="18"/>
                <w:color w:val="auto"/>
              </w:rPr>
            </w:pPr>
          </w:p>
        </w:tc>
        <w:tc>
          <w:tcPr>
            <w:tcW w:w="1500" w:type="dxa"/>
            <w:vAlign w:val="bottom"/>
            <w:tcBorders>
              <w:bottom w:val="single" w:sz="8" w:color="auto"/>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(216 )</w:t>
            </w:r>
          </w:p>
        </w:tc>
      </w:tr>
      <w:tr>
        <w:trPr>
          <w:trHeight w:val="210"/>
        </w:trPr>
        <w:tc>
          <w:tcPr>
            <w:tcW w:w="7260" w:type="dxa"/>
            <w:vAlign w:val="bottom"/>
            <w:tcBorders>
              <w:bottom w:val="single" w:sz="8" w:color="auto"/>
            </w:tcBorders>
          </w:tcPr>
          <w:p>
            <w:pPr>
              <w:ind w:left="300"/>
              <w:spacing w:after="0" w:line="209" w:lineRule="exact"/>
              <w:rPr>
                <w:sz w:val="20"/>
                <w:szCs w:val="20"/>
                <w:color w:val="auto"/>
              </w:rPr>
            </w:pPr>
            <w:r>
              <w:rPr>
                <w:rFonts w:ascii="Calibri" w:cs="Calibri" w:eastAsia="Calibri" w:hAnsi="Calibri"/>
                <w:sz w:val="18"/>
                <w:szCs w:val="18"/>
                <w:color w:val="auto"/>
              </w:rPr>
              <w:t>West Group Total</w:t>
            </w: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3,275</w:t>
            </w: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color w:val="auto"/>
              </w:rPr>
              <w:t>3,699</w:t>
            </w:r>
          </w:p>
        </w:tc>
      </w:tr>
      <w:tr>
        <w:trPr>
          <w:trHeight w:val="210"/>
        </w:trPr>
        <w:tc>
          <w:tcPr>
            <w:tcW w:w="7260" w:type="dxa"/>
            <w:vAlign w:val="bottom"/>
            <w:tcBorders>
              <w:right w:val="single" w:sz="8" w:color="007CBA"/>
            </w:tcBorders>
            <w:shd w:val="clear" w:color="auto" w:fill="E5F1F8"/>
          </w:tcPr>
          <w:p>
            <w:pPr>
              <w:ind w:left="120"/>
              <w:spacing w:after="0" w:line="210" w:lineRule="exact"/>
              <w:rPr>
                <w:sz w:val="20"/>
                <w:szCs w:val="20"/>
                <w:color w:val="auto"/>
              </w:rPr>
            </w:pPr>
            <w:r>
              <w:rPr>
                <w:rFonts w:ascii="Calibri" w:cs="Calibri" w:eastAsia="Calibri" w:hAnsi="Calibri"/>
                <w:sz w:val="18"/>
                <w:szCs w:val="18"/>
                <w:color w:val="auto"/>
              </w:rPr>
              <w:t>Total Building Materials business</w:t>
            </w:r>
          </w:p>
        </w:tc>
        <w:tc>
          <w:tcPr>
            <w:tcW w:w="56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b w:val="1"/>
                <w:bCs w:val="1"/>
                <w:color w:val="auto"/>
              </w:rPr>
              <w:t>6,216</w:t>
            </w:r>
          </w:p>
        </w:tc>
        <w:tc>
          <w:tcPr>
            <w:tcW w:w="540" w:type="dxa"/>
            <w:vAlign w:val="bottom"/>
            <w:shd w:val="clear" w:color="auto" w:fill="E5F1F8"/>
          </w:tcPr>
          <w:p>
            <w:pPr>
              <w:spacing w:after="0"/>
              <w:rPr>
                <w:sz w:val="18"/>
                <w:szCs w:val="18"/>
                <w:color w:val="auto"/>
              </w:rPr>
            </w:pPr>
          </w:p>
        </w:tc>
        <w:tc>
          <w:tcPr>
            <w:tcW w:w="1500" w:type="dxa"/>
            <w:vAlign w:val="bottom"/>
            <w:shd w:val="clear" w:color="auto" w:fill="E5F1F8"/>
          </w:tcPr>
          <w:p>
            <w:pPr>
              <w:jc w:val="right"/>
              <w:ind w:right="170"/>
              <w:spacing w:after="0" w:line="210" w:lineRule="exact"/>
              <w:rPr>
                <w:sz w:val="20"/>
                <w:szCs w:val="20"/>
                <w:color w:val="auto"/>
              </w:rPr>
            </w:pPr>
            <w:r>
              <w:rPr>
                <w:rFonts w:ascii="Calibri" w:cs="Calibri" w:eastAsia="Calibri" w:hAnsi="Calibri"/>
                <w:sz w:val="18"/>
                <w:szCs w:val="18"/>
                <w:color w:val="auto"/>
              </w:rPr>
              <w:t>6,462</w:t>
            </w:r>
          </w:p>
        </w:tc>
      </w:tr>
      <w:tr>
        <w:trPr>
          <w:trHeight w:val="215"/>
        </w:trPr>
        <w:tc>
          <w:tcPr>
            <w:tcW w:w="726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320</w:t>
            </w: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315</w:t>
            </w:r>
          </w:p>
        </w:tc>
      </w:tr>
      <w:tr>
        <w:trPr>
          <w:trHeight w:val="250"/>
        </w:trPr>
        <w:tc>
          <w:tcPr>
            <w:tcW w:w="726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w:t>
            </w:r>
          </w:p>
        </w:tc>
        <w:tc>
          <w:tcPr>
            <w:tcW w:w="560" w:type="dxa"/>
            <w:vAlign w:val="bottom"/>
            <w:tcBorders>
              <w:bottom w:val="single" w:sz="8" w:color="auto"/>
            </w:tcBorders>
            <w:shd w:val="clear" w:color="auto" w:fill="E5F1F8"/>
          </w:tcPr>
          <w:p>
            <w:pPr>
              <w:jc w:val="right"/>
              <w:ind w:right="170"/>
              <w:spacing w:after="0" w:line="209"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6,536</w:t>
            </w:r>
          </w:p>
        </w:tc>
        <w:tc>
          <w:tcPr>
            <w:tcW w:w="540" w:type="dxa"/>
            <w:vAlign w:val="bottom"/>
            <w:tcBorders>
              <w:bottom w:val="single" w:sz="8" w:color="auto"/>
            </w:tcBorders>
            <w:shd w:val="clear" w:color="auto" w:fill="E5F1F8"/>
          </w:tcPr>
          <w:p>
            <w:pPr>
              <w:jc w:val="right"/>
              <w:ind w:right="170"/>
              <w:spacing w:after="0" w:line="209" w:lineRule="exact"/>
              <w:rPr>
                <w:sz w:val="20"/>
                <w:szCs w:val="20"/>
                <w:color w:val="auto"/>
              </w:rPr>
            </w:pPr>
            <w:r>
              <w:rPr>
                <w:rFonts w:ascii="Calibri" w:cs="Calibri" w:eastAsia="Calibri" w:hAnsi="Calibri"/>
                <w:sz w:val="18"/>
                <w:szCs w:val="18"/>
                <w:color w:val="auto"/>
              </w:rPr>
              <w:t>$</w:t>
            </w:r>
          </w:p>
        </w:tc>
        <w:tc>
          <w:tcPr>
            <w:tcW w:w="1500" w:type="dxa"/>
            <w:vAlign w:val="bottom"/>
            <w:tcBorders>
              <w:bottom w:val="single" w:sz="8" w:color="auto"/>
            </w:tcBorders>
            <w:shd w:val="clear" w:color="auto" w:fill="E5F1F8"/>
          </w:tcPr>
          <w:p>
            <w:pPr>
              <w:jc w:val="right"/>
              <w:ind w:right="170"/>
              <w:spacing w:after="0" w:line="209" w:lineRule="exact"/>
              <w:rPr>
                <w:sz w:val="20"/>
                <w:szCs w:val="20"/>
                <w:color w:val="auto"/>
              </w:rPr>
            </w:pPr>
            <w:r>
              <w:rPr>
                <w:rFonts w:ascii="Calibri" w:cs="Calibri" w:eastAsia="Calibri" w:hAnsi="Calibri"/>
                <w:sz w:val="18"/>
                <w:szCs w:val="18"/>
                <w:color w:val="auto"/>
              </w:rPr>
              <w:t>6,777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-1589405</wp:posOffset>
            </wp:positionV>
            <wp:extent cx="34290" cy="316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-1589405</wp:posOffset>
            </wp:positionV>
            <wp:extent cx="34290" cy="316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-749300</wp:posOffset>
            </wp:positionV>
            <wp:extent cx="34290" cy="316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-749300</wp:posOffset>
            </wp:positionV>
            <wp:extent cx="34290" cy="316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-320675</wp:posOffset>
            </wp:positionV>
            <wp:extent cx="34290" cy="3340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-320675</wp:posOffset>
            </wp:positionV>
            <wp:extent cx="34290" cy="3340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Gross Proft</w:t>
      </w:r>
    </w:p>
    <w:p>
      <w:pPr>
        <w:spacing w:after="0" w:line="5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gross proft and gross margin data for the Company by product line for contnuing operatons: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Borders>
              <w:right w:val="single" w:sz="8" w:color="007CBA"/>
            </w:tcBorders>
            <w:shd w:val="clear" w:color="auto" w:fill="007CBA"/>
          </w:tcPr>
          <w:p>
            <w:pPr>
              <w:spacing w:after="0"/>
              <w:rPr>
                <w:sz w:val="19"/>
                <w:szCs w:val="19"/>
                <w:color w:val="auto"/>
              </w:rPr>
            </w:pPr>
          </w:p>
        </w:tc>
        <w:tc>
          <w:tcPr>
            <w:tcW w:w="360" w:type="dxa"/>
            <w:vAlign w:val="bottom"/>
            <w:shd w:val="clear" w:color="auto" w:fill="007CBA"/>
          </w:tcPr>
          <w:p>
            <w:pPr>
              <w:spacing w:after="0"/>
              <w:rPr>
                <w:sz w:val="19"/>
                <w:szCs w:val="19"/>
                <w:color w:val="auto"/>
              </w:rPr>
            </w:pPr>
          </w:p>
        </w:tc>
        <w:tc>
          <w:tcPr>
            <w:tcW w:w="1120" w:type="dxa"/>
            <w:vAlign w:val="bottom"/>
            <w:tcBorders>
              <w:right w:val="single" w:sz="8" w:color="007CBA"/>
            </w:tcBorders>
            <w:shd w:val="clear" w:color="auto" w:fill="007CBA"/>
          </w:tcPr>
          <w:p>
            <w:pPr>
              <w:jc w:val="right"/>
              <w:ind w:right="10"/>
              <w:spacing w:after="0"/>
              <w:rPr>
                <w:sz w:val="20"/>
                <w:szCs w:val="20"/>
                <w:color w:val="auto"/>
              </w:rPr>
            </w:pPr>
            <w:r>
              <w:rPr>
                <w:rFonts w:ascii="Calibri" w:cs="Calibri" w:eastAsia="Calibri" w:hAnsi="Calibri"/>
                <w:sz w:val="18"/>
                <w:szCs w:val="18"/>
                <w:b w:val="1"/>
                <w:bCs w:val="1"/>
                <w:color w:val="FFFFFF"/>
              </w:rPr>
              <w:t>2024</w:t>
            </w:r>
          </w:p>
        </w:tc>
        <w:tc>
          <w:tcPr>
            <w:tcW w:w="940" w:type="dxa"/>
            <w:vAlign w:val="bottom"/>
            <w:tcBorders>
              <w:right w:val="single" w:sz="8" w:color="007CBA"/>
            </w:tcBorders>
            <w:shd w:val="clear" w:color="auto" w:fill="007CBA"/>
          </w:tcPr>
          <w:p>
            <w:pPr>
              <w:spacing w:after="0"/>
              <w:rPr>
                <w:sz w:val="19"/>
                <w:szCs w:val="19"/>
                <w:color w:val="auto"/>
              </w:rPr>
            </w:pPr>
          </w:p>
        </w:tc>
        <w:tc>
          <w:tcPr>
            <w:tcW w:w="360" w:type="dxa"/>
            <w:vAlign w:val="bottom"/>
            <w:shd w:val="clear" w:color="auto" w:fill="007CBA"/>
          </w:tcPr>
          <w:p>
            <w:pPr>
              <w:spacing w:after="0"/>
              <w:rPr>
                <w:sz w:val="19"/>
                <w:szCs w:val="19"/>
                <w:color w:val="auto"/>
              </w:rPr>
            </w:pPr>
          </w:p>
        </w:tc>
        <w:tc>
          <w:tcPr>
            <w:tcW w:w="1120" w:type="dxa"/>
            <w:vAlign w:val="bottom"/>
            <w:tcBorders>
              <w:right w:val="single" w:sz="8" w:color="007CBA"/>
            </w:tcBorders>
            <w:shd w:val="clear" w:color="auto" w:fill="007CBA"/>
          </w:tcPr>
          <w:p>
            <w:pPr>
              <w:jc w:val="right"/>
              <w:ind w:right="10"/>
              <w:spacing w:after="0"/>
              <w:rPr>
                <w:sz w:val="20"/>
                <w:szCs w:val="20"/>
                <w:color w:val="auto"/>
              </w:rPr>
            </w:pPr>
            <w:r>
              <w:rPr>
                <w:rFonts w:ascii="Calibri" w:cs="Calibri" w:eastAsia="Calibri" w:hAnsi="Calibri"/>
                <w:sz w:val="18"/>
                <w:szCs w:val="18"/>
                <w:color w:val="FFFFFF"/>
              </w:rPr>
              <w:t>2023</w:t>
            </w:r>
          </w:p>
        </w:tc>
        <w:tc>
          <w:tcPr>
            <w:tcW w:w="920" w:type="dxa"/>
            <w:vAlign w:val="bottom"/>
            <w:shd w:val="clear" w:color="auto" w:fill="007CBA"/>
          </w:tcPr>
          <w:p>
            <w:pPr>
              <w:spacing w:after="0"/>
              <w:rPr>
                <w:sz w:val="19"/>
                <w:szCs w:val="19"/>
                <w:color w:val="auto"/>
              </w:rPr>
            </w:pPr>
          </w:p>
        </w:tc>
      </w:tr>
      <w:tr>
        <w:trPr>
          <w:trHeight w:val="194"/>
        </w:trPr>
        <w:tc>
          <w:tcPr>
            <w:tcW w:w="642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360" w:type="dxa"/>
            <w:vAlign w:val="bottom"/>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spacing w:after="0"/>
              <w:rPr>
                <w:sz w:val="16"/>
                <w:szCs w:val="16"/>
                <w:color w:val="auto"/>
              </w:rPr>
            </w:pPr>
          </w:p>
        </w:tc>
        <w:tc>
          <w:tcPr>
            <w:tcW w:w="940" w:type="dxa"/>
            <w:vAlign w:val="bottom"/>
            <w:tcBorders>
              <w:right w:val="single" w:sz="8" w:color="007CBA"/>
            </w:tcBorders>
            <w:shd w:val="clear" w:color="auto" w:fill="007CBA"/>
          </w:tcPr>
          <w:p>
            <w:pPr>
              <w:jc w:val="right"/>
              <w:ind w:right="330"/>
              <w:spacing w:after="0" w:line="194" w:lineRule="exact"/>
              <w:rPr>
                <w:sz w:val="20"/>
                <w:szCs w:val="20"/>
                <w:color w:val="auto"/>
              </w:rPr>
            </w:pPr>
            <w:r>
              <w:rPr>
                <w:rFonts w:ascii="Calibri" w:cs="Calibri" w:eastAsia="Calibri" w:hAnsi="Calibri"/>
                <w:sz w:val="18"/>
                <w:szCs w:val="18"/>
                <w:b w:val="1"/>
                <w:bCs w:val="1"/>
                <w:color w:val="FFFFFF"/>
              </w:rPr>
              <w:t>% of</w:t>
            </w:r>
          </w:p>
        </w:tc>
        <w:tc>
          <w:tcPr>
            <w:tcW w:w="360" w:type="dxa"/>
            <w:vAlign w:val="bottom"/>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spacing w:after="0"/>
              <w:rPr>
                <w:sz w:val="16"/>
                <w:szCs w:val="16"/>
                <w:color w:val="auto"/>
              </w:rPr>
            </w:pPr>
          </w:p>
        </w:tc>
        <w:tc>
          <w:tcPr>
            <w:tcW w:w="920" w:type="dxa"/>
            <w:vAlign w:val="bottom"/>
            <w:shd w:val="clear" w:color="auto" w:fill="007CBA"/>
          </w:tcPr>
          <w:p>
            <w:pPr>
              <w:jc w:val="right"/>
              <w:ind w:right="330"/>
              <w:spacing w:after="0" w:line="194" w:lineRule="exact"/>
              <w:rPr>
                <w:sz w:val="20"/>
                <w:szCs w:val="20"/>
                <w:color w:val="auto"/>
              </w:rPr>
            </w:pPr>
            <w:r>
              <w:rPr>
                <w:rFonts w:ascii="Calibri" w:cs="Calibri" w:eastAsia="Calibri" w:hAnsi="Calibri"/>
                <w:sz w:val="18"/>
                <w:szCs w:val="18"/>
                <w:color w:val="FFFFFF"/>
              </w:rPr>
              <w:t>% of</w:t>
            </w:r>
          </w:p>
        </w:tc>
      </w:tr>
      <w:tr>
        <w:trPr>
          <w:trHeight w:val="218"/>
        </w:trPr>
        <w:tc>
          <w:tcPr>
            <w:tcW w:w="642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(dollars in millions)</w:t>
            </w:r>
          </w:p>
        </w:tc>
        <w:tc>
          <w:tcPr>
            <w:tcW w:w="360" w:type="dxa"/>
            <w:vAlign w:val="bottom"/>
            <w:tcBorders>
              <w:bottom w:val="single" w:sz="8" w:color="007CBA"/>
            </w:tcBorders>
            <w:shd w:val="clear" w:color="auto" w:fill="007CBA"/>
          </w:tcPr>
          <w:p>
            <w:pPr>
              <w:spacing w:after="0"/>
              <w:rPr>
                <w:sz w:val="18"/>
                <w:szCs w:val="18"/>
                <w:color w:val="auto"/>
              </w:rPr>
            </w:pPr>
          </w:p>
        </w:tc>
        <w:tc>
          <w:tcPr>
            <w:tcW w:w="1120" w:type="dxa"/>
            <w:vAlign w:val="bottom"/>
            <w:tcBorders>
              <w:bottom w:val="single" w:sz="8" w:color="007CBA"/>
              <w:right w:val="single" w:sz="8" w:color="007CBA"/>
            </w:tcBorders>
            <w:shd w:val="clear" w:color="auto" w:fill="007CBA"/>
          </w:tcPr>
          <w:p>
            <w:pPr>
              <w:jc w:val="right"/>
              <w:ind w:right="330"/>
              <w:spacing w:after="0" w:line="215" w:lineRule="exact"/>
              <w:rPr>
                <w:sz w:val="20"/>
                <w:szCs w:val="20"/>
                <w:color w:val="auto"/>
              </w:rPr>
            </w:pPr>
            <w:r>
              <w:rPr>
                <w:rFonts w:ascii="Calibri" w:cs="Calibri" w:eastAsia="Calibri" w:hAnsi="Calibri"/>
                <w:sz w:val="18"/>
                <w:szCs w:val="18"/>
                <w:b w:val="1"/>
                <w:bCs w:val="1"/>
                <w:color w:val="FFFFFF"/>
              </w:rPr>
              <w:t>Amount</w:t>
            </w:r>
          </w:p>
        </w:tc>
        <w:tc>
          <w:tcPr>
            <w:tcW w:w="940" w:type="dxa"/>
            <w:vAlign w:val="bottom"/>
            <w:tcBorders>
              <w:bottom w:val="single" w:sz="8" w:color="007CBA"/>
              <w:right w:val="single" w:sz="8" w:color="007CBA"/>
            </w:tcBorders>
            <w:shd w:val="clear" w:color="auto" w:fill="007CBA"/>
          </w:tcPr>
          <w:p>
            <w:pPr>
              <w:jc w:val="right"/>
              <w:ind w:right="130"/>
              <w:spacing w:after="0" w:line="215" w:lineRule="exact"/>
              <w:rPr>
                <w:sz w:val="20"/>
                <w:szCs w:val="20"/>
                <w:color w:val="auto"/>
              </w:rPr>
            </w:pPr>
            <w:r>
              <w:rPr>
                <w:rFonts w:ascii="Calibri" w:cs="Calibri" w:eastAsia="Calibri" w:hAnsi="Calibri"/>
                <w:sz w:val="18"/>
                <w:szCs w:val="18"/>
                <w:b w:val="1"/>
                <w:bCs w:val="1"/>
                <w:color w:val="FFFFFF"/>
                <w:w w:val="96"/>
              </w:rPr>
              <w:t>Revenues</w:t>
            </w:r>
          </w:p>
        </w:tc>
        <w:tc>
          <w:tcPr>
            <w:tcW w:w="360" w:type="dxa"/>
            <w:vAlign w:val="bottom"/>
            <w:tcBorders>
              <w:bottom w:val="single" w:sz="8" w:color="007CBA"/>
            </w:tcBorders>
            <w:shd w:val="clear" w:color="auto" w:fill="007CBA"/>
          </w:tcPr>
          <w:p>
            <w:pPr>
              <w:spacing w:after="0"/>
              <w:rPr>
                <w:sz w:val="18"/>
                <w:szCs w:val="18"/>
                <w:color w:val="auto"/>
              </w:rPr>
            </w:pPr>
          </w:p>
        </w:tc>
        <w:tc>
          <w:tcPr>
            <w:tcW w:w="1120" w:type="dxa"/>
            <w:vAlign w:val="bottom"/>
            <w:tcBorders>
              <w:bottom w:val="single" w:sz="8" w:color="007CBA"/>
              <w:right w:val="single" w:sz="8" w:color="007CBA"/>
            </w:tcBorders>
            <w:shd w:val="clear" w:color="auto" w:fill="007CBA"/>
          </w:tcPr>
          <w:p>
            <w:pPr>
              <w:jc w:val="right"/>
              <w:ind w:right="350"/>
              <w:spacing w:after="0" w:line="215" w:lineRule="exact"/>
              <w:rPr>
                <w:sz w:val="20"/>
                <w:szCs w:val="20"/>
                <w:color w:val="auto"/>
              </w:rPr>
            </w:pPr>
            <w:r>
              <w:rPr>
                <w:rFonts w:ascii="Calibri" w:cs="Calibri" w:eastAsia="Calibri" w:hAnsi="Calibri"/>
                <w:sz w:val="18"/>
                <w:szCs w:val="18"/>
                <w:color w:val="FFFFFF"/>
              </w:rPr>
              <w:t>Amount</w:t>
            </w:r>
          </w:p>
        </w:tc>
        <w:tc>
          <w:tcPr>
            <w:tcW w:w="920" w:type="dxa"/>
            <w:vAlign w:val="bottom"/>
            <w:tcBorders>
              <w:bottom w:val="single" w:sz="8" w:color="007CBA"/>
            </w:tcBorders>
            <w:shd w:val="clear" w:color="auto" w:fill="007CBA"/>
          </w:tcPr>
          <w:p>
            <w:pPr>
              <w:jc w:val="right"/>
              <w:ind w:right="110"/>
              <w:spacing w:after="0" w:line="215" w:lineRule="exact"/>
              <w:rPr>
                <w:sz w:val="20"/>
                <w:szCs w:val="20"/>
                <w:color w:val="auto"/>
              </w:rPr>
            </w:pPr>
            <w:r>
              <w:rPr>
                <w:rFonts w:ascii="Calibri" w:cs="Calibri" w:eastAsia="Calibri" w:hAnsi="Calibri"/>
                <w:sz w:val="18"/>
                <w:szCs w:val="18"/>
                <w:color w:val="FFFFFF"/>
                <w:w w:val="98"/>
              </w:rPr>
              <w:t>Revenues</w:t>
            </w:r>
          </w:p>
        </w:tc>
      </w:tr>
      <w:tr>
        <w:trPr>
          <w:trHeight w:val="216"/>
        </w:trPr>
        <w:tc>
          <w:tcPr>
            <w:tcW w:w="642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36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spacing w:after="0"/>
              <w:rPr>
                <w:sz w:val="18"/>
                <w:szCs w:val="18"/>
                <w:color w:val="auto"/>
              </w:rPr>
            </w:pPr>
          </w:p>
        </w:tc>
        <w:tc>
          <w:tcPr>
            <w:tcW w:w="940" w:type="dxa"/>
            <w:vAlign w:val="bottom"/>
            <w:tcBorders>
              <w:right w:val="single" w:sz="8" w:color="007CBA"/>
            </w:tcBorders>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r>
      <w:tr>
        <w:trPr>
          <w:trHeight w:val="215"/>
        </w:trPr>
        <w:tc>
          <w:tcPr>
            <w:tcW w:w="642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Aggregates</w:t>
            </w:r>
          </w:p>
        </w:tc>
        <w:tc>
          <w:tcPr>
            <w:tcW w:w="36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1,449</w:t>
            </w:r>
          </w:p>
        </w:tc>
        <w:tc>
          <w:tcPr>
            <w:tcW w:w="9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32 %</w:t>
            </w:r>
          </w:p>
        </w:tc>
        <w:tc>
          <w:tcPr>
            <w:tcW w:w="3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1,378</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32 %</w:t>
            </w:r>
          </w:p>
        </w:tc>
      </w:tr>
      <w:tr>
        <w:trPr>
          <w:trHeight w:val="217"/>
        </w:trPr>
        <w:tc>
          <w:tcPr>
            <w:tcW w:w="642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Cement and ready mixed concrete</w:t>
            </w:r>
          </w:p>
        </w:tc>
        <w:tc>
          <w:tcPr>
            <w:tcW w:w="36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260</w:t>
            </w:r>
          </w:p>
        </w:tc>
        <w:tc>
          <w:tcPr>
            <w:tcW w:w="94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24 %</w:t>
            </w:r>
          </w:p>
        </w:tc>
        <w:tc>
          <w:tcPr>
            <w:tcW w:w="36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436</w:t>
            </w:r>
          </w:p>
        </w:tc>
        <w:tc>
          <w:tcPr>
            <w:tcW w:w="92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29 %</w:t>
            </w:r>
          </w:p>
        </w:tc>
      </w:tr>
      <w:tr>
        <w:trPr>
          <w:trHeight w:val="215"/>
        </w:trPr>
        <w:tc>
          <w:tcPr>
            <w:tcW w:w="6420" w:type="dxa"/>
            <w:vAlign w:val="bottom"/>
            <w:tcBorders>
              <w:bottom w:val="single" w:sz="8" w:color="auto"/>
            </w:tcBorders>
          </w:tcPr>
          <w:p>
            <w:pPr>
              <w:ind w:left="300"/>
              <w:spacing w:after="0" w:line="215" w:lineRule="exact"/>
              <w:rPr>
                <w:sz w:val="20"/>
                <w:szCs w:val="20"/>
                <w:color w:val="auto"/>
              </w:rPr>
            </w:pPr>
            <w:r>
              <w:rPr>
                <w:rFonts w:ascii="Calibri" w:cs="Calibri" w:eastAsia="Calibri" w:hAnsi="Calibri"/>
                <w:sz w:val="18"/>
                <w:szCs w:val="18"/>
                <w:color w:val="auto"/>
              </w:rPr>
              <w:t>Asphalt and paving services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101</w:t>
            </w: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12 %</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109</w:t>
            </w: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12 %</w:t>
            </w:r>
          </w:p>
        </w:tc>
      </w:tr>
      <w:tr>
        <w:trPr>
          <w:trHeight w:val="210"/>
        </w:trPr>
        <w:tc>
          <w:tcPr>
            <w:tcW w:w="6420" w:type="dxa"/>
            <w:vAlign w:val="bottom"/>
            <w:tcBorders>
              <w:right w:val="single" w:sz="8" w:color="007CBA"/>
            </w:tcBorders>
            <w:shd w:val="clear" w:color="auto" w:fill="E5F1F8"/>
          </w:tcPr>
          <w:p>
            <w:pPr>
              <w:ind w:left="120"/>
              <w:spacing w:after="0" w:line="210" w:lineRule="exact"/>
              <w:rPr>
                <w:sz w:val="20"/>
                <w:szCs w:val="20"/>
                <w:color w:val="auto"/>
              </w:rPr>
            </w:pPr>
            <w:r>
              <w:rPr>
                <w:rFonts w:ascii="Calibri" w:cs="Calibri" w:eastAsia="Calibri" w:hAnsi="Calibri"/>
                <w:sz w:val="18"/>
                <w:szCs w:val="18"/>
                <w:color w:val="auto"/>
              </w:rPr>
              <w:t>Total Building Materials business</w:t>
            </w:r>
          </w:p>
        </w:tc>
        <w:tc>
          <w:tcPr>
            <w:tcW w:w="36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b w:val="1"/>
                <w:bCs w:val="1"/>
                <w:color w:val="auto"/>
              </w:rPr>
              <w:t>1,810</w:t>
            </w:r>
          </w:p>
        </w:tc>
        <w:tc>
          <w:tcPr>
            <w:tcW w:w="940" w:type="dxa"/>
            <w:vAlign w:val="bottom"/>
            <w:tcBorders>
              <w:right w:val="single" w:sz="8" w:color="007CBA"/>
            </w:tcBorders>
            <w:shd w:val="clear" w:color="auto" w:fill="E5F1F8"/>
          </w:tcPr>
          <w:p>
            <w:pPr>
              <w:jc w:val="right"/>
              <w:spacing w:after="0" w:line="210" w:lineRule="exact"/>
              <w:rPr>
                <w:sz w:val="20"/>
                <w:szCs w:val="20"/>
                <w:color w:val="auto"/>
              </w:rPr>
            </w:pPr>
            <w:r>
              <w:rPr>
                <w:rFonts w:ascii="Calibri" w:cs="Calibri" w:eastAsia="Calibri" w:hAnsi="Calibri"/>
                <w:sz w:val="18"/>
                <w:szCs w:val="18"/>
                <w:b w:val="1"/>
                <w:bCs w:val="1"/>
                <w:color w:val="auto"/>
              </w:rPr>
              <w:t>29 %</w:t>
            </w:r>
          </w:p>
        </w:tc>
        <w:tc>
          <w:tcPr>
            <w:tcW w:w="36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1,923</w:t>
            </w:r>
          </w:p>
        </w:tc>
        <w:tc>
          <w:tcPr>
            <w:tcW w:w="920" w:type="dxa"/>
            <w:vAlign w:val="bottom"/>
            <w:shd w:val="clear" w:color="auto" w:fill="E5F1F8"/>
          </w:tcPr>
          <w:p>
            <w:pPr>
              <w:jc w:val="right"/>
              <w:spacing w:after="0" w:line="210" w:lineRule="exact"/>
              <w:rPr>
                <w:sz w:val="20"/>
                <w:szCs w:val="20"/>
                <w:color w:val="auto"/>
              </w:rPr>
            </w:pPr>
            <w:r>
              <w:rPr>
                <w:rFonts w:ascii="Calibri" w:cs="Calibri" w:eastAsia="Calibri" w:hAnsi="Calibri"/>
                <w:sz w:val="18"/>
                <w:szCs w:val="18"/>
                <w:color w:val="auto"/>
              </w:rPr>
              <w:t>30 %</w:t>
            </w:r>
          </w:p>
        </w:tc>
      </w:tr>
      <w:tr>
        <w:trPr>
          <w:trHeight w:val="215"/>
        </w:trPr>
        <w:tc>
          <w:tcPr>
            <w:tcW w:w="64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360" w:type="dxa"/>
            <w:vAlign w:val="bottom"/>
          </w:tcPr>
          <w:p>
            <w:pPr>
              <w:spacing w:after="0"/>
              <w:rPr>
                <w:sz w:val="18"/>
                <w:szCs w:val="18"/>
                <w:color w:val="auto"/>
              </w:rPr>
            </w:pP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107</w:t>
            </w:r>
          </w:p>
        </w:tc>
        <w:tc>
          <w:tcPr>
            <w:tcW w:w="9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33 %</w:t>
            </w:r>
          </w:p>
        </w:tc>
        <w:tc>
          <w:tcPr>
            <w:tcW w:w="360" w:type="dxa"/>
            <w:vAlign w:val="bottom"/>
          </w:tcPr>
          <w:p>
            <w:pPr>
              <w:spacing w:after="0"/>
              <w:rPr>
                <w:sz w:val="18"/>
                <w:szCs w:val="18"/>
                <w:color w:val="auto"/>
              </w:rPr>
            </w:pP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97</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31 %</w:t>
            </w:r>
          </w:p>
        </w:tc>
      </w:tr>
      <w:tr>
        <w:trPr>
          <w:trHeight w:val="216"/>
        </w:trPr>
        <w:tc>
          <w:tcPr>
            <w:tcW w:w="6420" w:type="dxa"/>
            <w:vAlign w:val="bottom"/>
            <w:tcBorders>
              <w:bottom w:val="single" w:sz="8" w:color="auto"/>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Corporate</w:t>
            </w:r>
          </w:p>
        </w:tc>
        <w:tc>
          <w:tcPr>
            <w:tcW w:w="360" w:type="dxa"/>
            <w:vAlign w:val="bottom"/>
            <w:tcBorders>
              <w:bottom w:val="single" w:sz="8" w:color="auto"/>
            </w:tcBorders>
            <w:shd w:val="clear" w:color="auto" w:fill="E5F1F8"/>
          </w:tcPr>
          <w:p>
            <w:pPr>
              <w:spacing w:after="0"/>
              <w:rPr>
                <w:sz w:val="18"/>
                <w:szCs w:val="18"/>
                <w:color w:val="auto"/>
              </w:rPr>
            </w:pPr>
          </w:p>
        </w:tc>
        <w:tc>
          <w:tcPr>
            <w:tcW w:w="1120" w:type="dxa"/>
            <w:vAlign w:val="bottom"/>
            <w:tcBorders>
              <w:bottom w:val="single" w:sz="8" w:color="auto"/>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(39 )</w:t>
            </w:r>
          </w:p>
        </w:tc>
        <w:tc>
          <w:tcPr>
            <w:tcW w:w="940" w:type="dxa"/>
            <w:vAlign w:val="bottom"/>
            <w:tcBorders>
              <w:bottom w:val="single" w:sz="8" w:color="auto"/>
              <w:right w:val="single" w:sz="8" w:color="007CBA"/>
            </w:tcBorders>
            <w:shd w:val="clear" w:color="auto" w:fill="E5F1F8"/>
          </w:tcPr>
          <w:p>
            <w:pPr>
              <w:jc w:val="right"/>
              <w:ind w:right="110"/>
              <w:spacing w:after="0" w:line="216" w:lineRule="exact"/>
              <w:rPr>
                <w:sz w:val="20"/>
                <w:szCs w:val="20"/>
                <w:color w:val="auto"/>
              </w:rPr>
            </w:pPr>
            <w:r>
              <w:rPr>
                <w:rFonts w:ascii="Calibri" w:cs="Calibri" w:eastAsia="Calibri" w:hAnsi="Calibri"/>
                <w:sz w:val="18"/>
                <w:szCs w:val="18"/>
                <w:b w:val="1"/>
                <w:bCs w:val="1"/>
                <w:color w:val="auto"/>
              </w:rPr>
              <w:t>NM</w:t>
            </w:r>
          </w:p>
        </w:tc>
        <w:tc>
          <w:tcPr>
            <w:tcW w:w="360" w:type="dxa"/>
            <w:vAlign w:val="bottom"/>
            <w:tcBorders>
              <w:bottom w:val="single" w:sz="8" w:color="auto"/>
            </w:tcBorders>
            <w:shd w:val="clear" w:color="auto" w:fill="E5F1F8"/>
          </w:tcPr>
          <w:p>
            <w:pPr>
              <w:spacing w:after="0"/>
              <w:rPr>
                <w:sz w:val="18"/>
                <w:szCs w:val="18"/>
                <w:color w:val="auto"/>
              </w:rPr>
            </w:pPr>
          </w:p>
        </w:tc>
        <w:tc>
          <w:tcPr>
            <w:tcW w:w="1120" w:type="dxa"/>
            <w:vAlign w:val="bottom"/>
            <w:tcBorders>
              <w:bottom w:val="single" w:sz="8" w:color="auto"/>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3</w:t>
            </w:r>
          </w:p>
        </w:tc>
        <w:tc>
          <w:tcPr>
            <w:tcW w:w="920" w:type="dxa"/>
            <w:vAlign w:val="bottom"/>
            <w:tcBorders>
              <w:bottom w:val="single" w:sz="8" w:color="auto"/>
            </w:tcBorders>
            <w:shd w:val="clear" w:color="auto" w:fill="E5F1F8"/>
          </w:tcPr>
          <w:p>
            <w:pPr>
              <w:jc w:val="right"/>
              <w:ind w:right="90"/>
              <w:spacing w:after="0" w:line="216" w:lineRule="exact"/>
              <w:rPr>
                <w:sz w:val="20"/>
                <w:szCs w:val="20"/>
                <w:color w:val="auto"/>
              </w:rPr>
            </w:pPr>
            <w:r>
              <w:rPr>
                <w:rFonts w:ascii="Calibri" w:cs="Calibri" w:eastAsia="Calibri" w:hAnsi="Calibri"/>
                <w:sz w:val="18"/>
                <w:szCs w:val="18"/>
                <w:color w:val="auto"/>
              </w:rPr>
              <w:t>NM</w:t>
            </w:r>
          </w:p>
        </w:tc>
      </w:tr>
      <w:tr>
        <w:trPr>
          <w:trHeight w:val="210"/>
        </w:trPr>
        <w:tc>
          <w:tcPr>
            <w:tcW w:w="642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36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1,878</w:t>
            </w: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29 %</w:t>
            </w:r>
          </w:p>
        </w:tc>
        <w:tc>
          <w:tcPr>
            <w:tcW w:w="36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2,023</w:t>
            </w:r>
          </w:p>
        </w:tc>
        <w:tc>
          <w:tcPr>
            <w:tcW w:w="9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30 %</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-1422400</wp:posOffset>
            </wp:positionV>
            <wp:extent cx="30600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-741045</wp:posOffset>
            </wp:positionV>
            <wp:extent cx="3365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-741045</wp:posOffset>
            </wp:positionV>
            <wp:extent cx="33655"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-741045</wp:posOffset>
            </wp:positionV>
            <wp:extent cx="3365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6524625</wp:posOffset>
            </wp:positionH>
            <wp:positionV relativeFrom="paragraph">
              <wp:posOffset>-741045</wp:posOffset>
            </wp:positionV>
            <wp:extent cx="33655"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-183515</wp:posOffset>
            </wp:positionV>
            <wp:extent cx="33655" cy="196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-183515</wp:posOffset>
            </wp:positionV>
            <wp:extent cx="33655" cy="1968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-183515</wp:posOffset>
            </wp:positionV>
            <wp:extent cx="33655" cy="196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6524625</wp:posOffset>
            </wp:positionH>
            <wp:positionV relativeFrom="paragraph">
              <wp:posOffset>-183515</wp:posOffset>
            </wp:positionV>
            <wp:extent cx="33655" cy="196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33655" cy="19685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decrease in Building Materials business gross proft in 2024 compared with 2023 was primarily atributable to the Divestture and the $20 million Inventory Markup charge associated with the BWI Southeast acquisiton, partally ofset by pricing gains across all product lines and lower energy costs. Aggregates gross proft increased due to contributons from acquired operatons and pricing growth, despite lower shipments and the Inventory Markup.</w:t>
      </w:r>
    </w:p>
    <w:p>
      <w:pPr>
        <w:spacing w:after="0" w:line="19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increase in gross proft in Magnesia Specialtes was driven by pricing gains in both the lime and chemical product lines, coupled with lower energy costs, which more than ofset lower shipments.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Corporate gross proft includes intercompany royalty and rental revenues and expenses; depreciaton and amortzaton for corporate owned assets; and unallocated operatonal expenses excluded from the Company’s evaluaton of business segment performance.</w:t>
      </w:r>
    </w:p>
    <w:p>
      <w:pPr>
        <w:spacing w:after="0" w:line="12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308"/>
        </w:trPr>
        <w:tc>
          <w:tcPr>
            <w:tcW w:w="3140" w:type="dxa"/>
            <w:vAlign w:val="bottom"/>
          </w:tcPr>
          <w:p>
            <w:pPr>
              <w:spacing w:after="0"/>
              <w:rPr>
                <w:sz w:val="24"/>
                <w:szCs w:val="24"/>
                <w:color w:val="auto"/>
              </w:rPr>
            </w:pPr>
          </w:p>
        </w:tc>
        <w:tc>
          <w:tcPr>
            <w:tcW w:w="8100" w:type="dxa"/>
            <w:vAlign w:val="bottom"/>
            <w:gridSpan w:val="4"/>
          </w:tcPr>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tc>
      </w:tr>
      <w:tr>
        <w:trPr>
          <w:trHeight w:val="362"/>
        </w:trPr>
        <w:tc>
          <w:tcPr>
            <w:tcW w:w="9500" w:type="dxa"/>
            <w:vAlign w:val="bottom"/>
            <w:gridSpan w:val="4"/>
          </w:tcPr>
          <w:p>
            <w:pPr>
              <w:spacing w:after="0"/>
              <w:rPr>
                <w:sz w:val="20"/>
                <w:szCs w:val="20"/>
                <w:color w:val="auto"/>
              </w:rPr>
            </w:pPr>
            <w:r>
              <w:rPr>
                <w:rFonts w:ascii="Calibri" w:cs="Calibri" w:eastAsia="Calibri" w:hAnsi="Calibri"/>
                <w:sz w:val="18"/>
                <w:szCs w:val="18"/>
                <w:b w:val="1"/>
                <w:bCs w:val="1"/>
                <w:i w:val="1"/>
                <w:iCs w:val="1"/>
                <w:color w:val="4EAD8A"/>
              </w:rPr>
              <w:t xml:space="preserve">Building Materials. </w:t>
            </w:r>
            <w:r>
              <w:rPr>
                <w:rFonts w:ascii="Calibri" w:cs="Calibri" w:eastAsia="Calibri" w:hAnsi="Calibri"/>
                <w:sz w:val="18"/>
                <w:szCs w:val="18"/>
                <w:color w:val="000000"/>
              </w:rPr>
              <w:t>Shipment data and volume variances by product line for the Building Materials business are as follows:</w:t>
            </w:r>
          </w:p>
        </w:tc>
        <w:tc>
          <w:tcPr>
            <w:tcW w:w="1740" w:type="dxa"/>
            <w:vAlign w:val="bottom"/>
          </w:tcPr>
          <w:p>
            <w:pPr>
              <w:spacing w:after="0"/>
              <w:rPr>
                <w:sz w:val="24"/>
                <w:szCs w:val="24"/>
                <w:color w:val="auto"/>
              </w:rPr>
            </w:pPr>
          </w:p>
        </w:tc>
      </w:tr>
      <w:tr>
        <w:trPr>
          <w:trHeight w:val="91"/>
        </w:trPr>
        <w:tc>
          <w:tcPr>
            <w:tcW w:w="314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194"/>
        </w:trPr>
        <w:tc>
          <w:tcPr>
            <w:tcW w:w="3140" w:type="dxa"/>
            <w:vAlign w:val="bottom"/>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3100" w:type="dxa"/>
            <w:vAlign w:val="bottom"/>
            <w:tcBorders>
              <w:right w:val="single" w:sz="8" w:color="007CBA"/>
            </w:tcBorders>
            <w:shd w:val="clear" w:color="auto" w:fill="007CBA"/>
          </w:tcPr>
          <w:p>
            <w:pPr>
              <w:spacing w:after="0"/>
              <w:rPr>
                <w:sz w:val="16"/>
                <w:szCs w:val="16"/>
                <w:color w:val="auto"/>
              </w:rPr>
            </w:pPr>
          </w:p>
        </w:tc>
        <w:tc>
          <w:tcPr>
            <w:tcW w:w="1640" w:type="dxa"/>
            <w:vAlign w:val="bottom"/>
            <w:tcBorders>
              <w:right w:val="single" w:sz="8" w:color="007CBA"/>
            </w:tcBorders>
            <w:shd w:val="clear" w:color="auto" w:fill="007CBA"/>
          </w:tcPr>
          <w:p>
            <w:pPr>
              <w:spacing w:after="0"/>
              <w:rPr>
                <w:sz w:val="16"/>
                <w:szCs w:val="16"/>
                <w:color w:val="auto"/>
              </w:rPr>
            </w:pPr>
          </w:p>
        </w:tc>
        <w:tc>
          <w:tcPr>
            <w:tcW w:w="1620" w:type="dxa"/>
            <w:vAlign w:val="bottom"/>
            <w:tcBorders>
              <w:right w:val="single" w:sz="8" w:color="007CBA"/>
            </w:tcBorders>
            <w:shd w:val="clear" w:color="auto" w:fill="007CBA"/>
          </w:tcPr>
          <w:p>
            <w:pPr>
              <w:spacing w:after="0"/>
              <w:rPr>
                <w:sz w:val="16"/>
                <w:szCs w:val="16"/>
                <w:color w:val="auto"/>
              </w:rPr>
            </w:pPr>
          </w:p>
        </w:tc>
        <w:tc>
          <w:tcPr>
            <w:tcW w:w="1740" w:type="dxa"/>
            <w:vAlign w:val="bottom"/>
            <w:shd w:val="clear" w:color="auto" w:fill="007CBA"/>
          </w:tcPr>
          <w:p>
            <w:pPr>
              <w:spacing w:after="0"/>
              <w:rPr>
                <w:sz w:val="16"/>
                <w:szCs w:val="16"/>
                <w:color w:val="auto"/>
              </w:rPr>
            </w:pPr>
          </w:p>
        </w:tc>
      </w:tr>
      <w:tr>
        <w:trPr>
          <w:trHeight w:val="218"/>
        </w:trPr>
        <w:tc>
          <w:tcPr>
            <w:tcW w:w="3140" w:type="dxa"/>
            <w:vAlign w:val="bottom"/>
            <w:tcBorders>
              <w:bottom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740" w:type="dxa"/>
            <w:vAlign w:val="bottom"/>
            <w:tcBorders>
              <w:bottom w:val="single" w:sz="8" w:color="007CBA"/>
              <w:right w:val="single" w:sz="8" w:color="007CBA"/>
            </w:tcBorders>
            <w:gridSpan w:val="2"/>
            <w:shd w:val="clear" w:color="auto" w:fill="007CBA"/>
          </w:tcPr>
          <w:p>
            <w:pPr>
              <w:jc w:val="right"/>
              <w:ind w:right="550"/>
              <w:spacing w:after="0" w:line="215" w:lineRule="exact"/>
              <w:rPr>
                <w:sz w:val="20"/>
                <w:szCs w:val="20"/>
                <w:color w:val="auto"/>
              </w:rPr>
            </w:pPr>
            <w:r>
              <w:rPr>
                <w:rFonts w:ascii="Calibri" w:cs="Calibri" w:eastAsia="Calibri" w:hAnsi="Calibri"/>
                <w:sz w:val="18"/>
                <w:szCs w:val="18"/>
                <w:b w:val="1"/>
                <w:bCs w:val="1"/>
                <w:color w:val="FFFFFF"/>
              </w:rPr>
              <w:t>2024</w:t>
            </w:r>
          </w:p>
        </w:tc>
        <w:tc>
          <w:tcPr>
            <w:tcW w:w="1620" w:type="dxa"/>
            <w:vAlign w:val="bottom"/>
            <w:tcBorders>
              <w:bottom w:val="single" w:sz="8" w:color="007CBA"/>
              <w:right w:val="single" w:sz="8" w:color="007CBA"/>
            </w:tcBorders>
            <w:shd w:val="clear" w:color="auto" w:fill="007CBA"/>
          </w:tcPr>
          <w:p>
            <w:pPr>
              <w:jc w:val="right"/>
              <w:ind w:right="550"/>
              <w:spacing w:after="0" w:line="215" w:lineRule="exact"/>
              <w:rPr>
                <w:sz w:val="20"/>
                <w:szCs w:val="20"/>
                <w:color w:val="auto"/>
              </w:rPr>
            </w:pPr>
            <w:r>
              <w:rPr>
                <w:rFonts w:ascii="Calibri" w:cs="Calibri" w:eastAsia="Calibri" w:hAnsi="Calibri"/>
                <w:sz w:val="18"/>
                <w:szCs w:val="18"/>
                <w:color w:val="FFFFFF"/>
              </w:rPr>
              <w:t>2023</w:t>
            </w:r>
          </w:p>
        </w:tc>
        <w:tc>
          <w:tcPr>
            <w:tcW w:w="174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 Change</w:t>
            </w:r>
          </w:p>
        </w:tc>
      </w:tr>
      <w:tr>
        <w:trPr>
          <w:trHeight w:val="215"/>
        </w:trPr>
        <w:tc>
          <w:tcPr>
            <w:tcW w:w="3140" w:type="dxa"/>
            <w:vAlign w:val="bottom"/>
          </w:tcPr>
          <w:p>
            <w:pPr>
              <w:ind w:left="200"/>
              <w:spacing w:after="0" w:line="215" w:lineRule="exact"/>
              <w:rPr>
                <w:sz w:val="20"/>
                <w:szCs w:val="20"/>
                <w:color w:val="auto"/>
              </w:rPr>
            </w:pPr>
            <w:r>
              <w:rPr>
                <w:rFonts w:ascii="Calibri" w:cs="Calibri" w:eastAsia="Calibri" w:hAnsi="Calibri"/>
                <w:sz w:val="18"/>
                <w:szCs w:val="18"/>
                <w:color w:val="auto"/>
              </w:rPr>
              <w:t>Aggregates tons</w:t>
            </w:r>
          </w:p>
        </w:tc>
        <w:tc>
          <w:tcPr>
            <w:tcW w:w="3100" w:type="dxa"/>
            <w:vAlign w:val="bottom"/>
            <w:tcBorders>
              <w:right w:val="single" w:sz="8" w:color="007CBA"/>
            </w:tcBorders>
          </w:tcPr>
          <w:p>
            <w:pPr>
              <w:spacing w:after="0"/>
              <w:rPr>
                <w:sz w:val="18"/>
                <w:szCs w:val="18"/>
                <w:color w:val="auto"/>
              </w:rPr>
            </w:pPr>
          </w:p>
        </w:tc>
        <w:tc>
          <w:tcPr>
            <w:tcW w:w="16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191.1</w:t>
            </w:r>
          </w:p>
        </w:tc>
        <w:tc>
          <w:tcPr>
            <w:tcW w:w="16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198.8</w:t>
            </w: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color w:val="auto"/>
              </w:rPr>
              <w:t>(3.8 %)</w:t>
            </w:r>
          </w:p>
        </w:tc>
      </w:tr>
      <w:tr>
        <w:trPr>
          <w:trHeight w:val="217"/>
        </w:trPr>
        <w:tc>
          <w:tcPr>
            <w:tcW w:w="3140" w:type="dxa"/>
            <w:vAlign w:val="bottom"/>
            <w:shd w:val="clear" w:color="auto" w:fill="E5F1F8"/>
          </w:tcPr>
          <w:p>
            <w:pPr>
              <w:ind w:left="200"/>
              <w:spacing w:after="0" w:line="216" w:lineRule="exact"/>
              <w:rPr>
                <w:sz w:val="20"/>
                <w:szCs w:val="20"/>
                <w:color w:val="auto"/>
              </w:rPr>
            </w:pPr>
            <w:r>
              <w:rPr>
                <w:rFonts w:ascii="Calibri" w:cs="Calibri" w:eastAsia="Calibri" w:hAnsi="Calibri"/>
                <w:sz w:val="18"/>
                <w:szCs w:val="18"/>
                <w:color w:val="auto"/>
              </w:rPr>
              <w:t>Cement tons</w:t>
            </w:r>
          </w:p>
        </w:tc>
        <w:tc>
          <w:tcPr>
            <w:tcW w:w="3100" w:type="dxa"/>
            <w:vAlign w:val="bottom"/>
            <w:tcBorders>
              <w:right w:val="single" w:sz="8" w:color="007CBA"/>
            </w:tcBorders>
            <w:shd w:val="clear" w:color="auto" w:fill="E5F1F8"/>
          </w:tcPr>
          <w:p>
            <w:pPr>
              <w:spacing w:after="0"/>
              <w:rPr>
                <w:sz w:val="18"/>
                <w:szCs w:val="18"/>
                <w:color w:val="auto"/>
              </w:rPr>
            </w:pPr>
          </w:p>
        </w:tc>
        <w:tc>
          <w:tcPr>
            <w:tcW w:w="16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2.3</w:t>
            </w:r>
          </w:p>
        </w:tc>
        <w:tc>
          <w:tcPr>
            <w:tcW w:w="16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4.0</w:t>
            </w:r>
          </w:p>
        </w:tc>
        <w:tc>
          <w:tcPr>
            <w:tcW w:w="174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(43.5 %)</w:t>
            </w:r>
          </w:p>
        </w:tc>
      </w:tr>
      <w:tr>
        <w:trPr>
          <w:trHeight w:val="216"/>
        </w:trPr>
        <w:tc>
          <w:tcPr>
            <w:tcW w:w="3140" w:type="dxa"/>
            <w:vAlign w:val="bottom"/>
          </w:tcPr>
          <w:p>
            <w:pPr>
              <w:ind w:left="200"/>
              <w:spacing w:after="0" w:line="215" w:lineRule="exact"/>
              <w:rPr>
                <w:sz w:val="20"/>
                <w:szCs w:val="20"/>
                <w:color w:val="auto"/>
              </w:rPr>
            </w:pPr>
            <w:r>
              <w:rPr>
                <w:rFonts w:ascii="Calibri" w:cs="Calibri" w:eastAsia="Calibri" w:hAnsi="Calibri"/>
                <w:sz w:val="18"/>
                <w:szCs w:val="18"/>
                <w:color w:val="auto"/>
              </w:rPr>
              <w:t>Ready mixed concrete cubic yards</w:t>
            </w:r>
          </w:p>
        </w:tc>
        <w:tc>
          <w:tcPr>
            <w:tcW w:w="3100" w:type="dxa"/>
            <w:vAlign w:val="bottom"/>
            <w:tcBorders>
              <w:right w:val="single" w:sz="8" w:color="007CBA"/>
            </w:tcBorders>
          </w:tcPr>
          <w:p>
            <w:pPr>
              <w:spacing w:after="0"/>
              <w:rPr>
                <w:sz w:val="18"/>
                <w:szCs w:val="18"/>
                <w:color w:val="auto"/>
              </w:rPr>
            </w:pPr>
          </w:p>
        </w:tc>
        <w:tc>
          <w:tcPr>
            <w:tcW w:w="16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5.0</w:t>
            </w:r>
          </w:p>
        </w:tc>
        <w:tc>
          <w:tcPr>
            <w:tcW w:w="16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6.5</w:t>
            </w: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color w:val="auto"/>
              </w:rPr>
              <w:t>(24.2 %)</w:t>
            </w:r>
          </w:p>
        </w:tc>
      </w:tr>
      <w:tr>
        <w:trPr>
          <w:trHeight w:val="215"/>
        </w:trPr>
        <w:tc>
          <w:tcPr>
            <w:tcW w:w="3140" w:type="dxa"/>
            <w:vAlign w:val="bottom"/>
            <w:tcBorders>
              <w:bottom w:val="single" w:sz="8" w:color="auto"/>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Asphalt tons</w:t>
            </w:r>
          </w:p>
        </w:tc>
        <w:tc>
          <w:tcPr>
            <w:tcW w:w="4740" w:type="dxa"/>
            <w:vAlign w:val="bottom"/>
            <w:tcBorders>
              <w:bottom w:val="single" w:sz="8" w:color="auto"/>
              <w:right w:val="single" w:sz="8" w:color="E5F1F8"/>
            </w:tcBorders>
            <w:gridSpan w:val="2"/>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8.8</w:t>
            </w:r>
          </w:p>
        </w:tc>
        <w:tc>
          <w:tcPr>
            <w:tcW w:w="162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9.4</w:t>
            </w:r>
          </w:p>
        </w:tc>
        <w:tc>
          <w:tcPr>
            <w:tcW w:w="174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-158115</wp:posOffset>
            </wp:positionV>
            <wp:extent cx="33655" cy="1708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-158115</wp:posOffset>
            </wp:positionV>
            <wp:extent cx="33655" cy="1708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-158115</wp:posOffset>
            </wp:positionV>
            <wp:extent cx="34290" cy="1708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4290" cy="17081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Aggregates shipments decreased 3.8% in 2024, driven by the Company's value-over-volume pricing strategy, unfavorable weather and sofer residental, warehouse and manufacturing demand, which were partally ofset by shipments from acquired operatons. Aggregates pricing increased 9.9%, or 10.7% on an organic mix-adjusted basis, compared with 2023, due to the cumulatve efect of 2023 and 2024 pricing actons. During 2024, aggregates shipments to the infrastructure, nonresidental and residental end use markets decreased 2%, 4% and 5%,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shipments and ready mixed concrete shipments decreased 43.5% and 24.2%, respectvely, versus prior year, primarily due to the Divestture and signifcant precipitaton in Texas in 2024 relatve to 2023.</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2024, asphalt shipments decreased 5.9% from 2023, driven by unfavorable weather and sofer market demand. Asphalt and paving gross proft decreased 7% in 2024 versus prior year, due to lower shipments and general infatonary impacts that more than ofset pricing gains and lower asphalt cement raw material costs.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Magnesia Specialtes. </w:t>
      </w:r>
      <w:r>
        <w:rPr>
          <w:rFonts w:ascii="Calibri" w:cs="Calibri" w:eastAsia="Calibri" w:hAnsi="Calibri"/>
          <w:sz w:val="18"/>
          <w:szCs w:val="18"/>
          <w:color w:val="000000"/>
        </w:rPr>
        <w:t>In 2024, Magnesia Specialtes reported revenues of $320 million and gross proft of $107 million, representng increases of 2% and</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10%, respectvely, compared with 2023. The proftability increase in 2024 refects pricing gains in both the lime and chemical product lines and lower energy costs, which more than ofset the impact of lower shipments.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Selling, General and Administratve Expenses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SG&amp;A expenses for 2024 and 2023 were 6.8% and 6.5% of revenues, respectvely.</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Other Operatng Income, Net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operatng income, net, represented income of $1.3 billion in 2024 and $28 million in 2023. The 2024 amount included a $1.3 billion pretax gain on the Divestture and $28 million of gains on land sales, which were partally ofset by a $50 million pretax, noncash asset and portolio ratonalizaton charge (Ratonalizaton Charge; see Note R to the consolidated fnancial statements). In 2023, other operatng income, net, included $20 million of gains on land sales.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Earnings from Operatons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Consolidated earnings from operatons were $2.7 billion and $1.6 billion in 2024 and 2023, respectvely. The 2024 amount included a $1.3 billion pretax gain on the Divestture.</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Interest Expense</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Interest expense was $169 million in 2024 and $165 million in 2023.</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Other Nonoperatng Income, Net</w:t>
      </w:r>
    </w:p>
    <w:p>
      <w:pPr>
        <w:spacing w:after="0" w:line="5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Consolidated other nonoperatng income, net, was $58 million in 2024 and $62 million in 2023, inclusive of interest income of $40 million and $47 million, respectvely.</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Income Tax Expense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estmated efectve income tax rate for the years ended December 31, 2024 and 2023 was 23.1% and 19.6%, respectvely. The higher 2024 efectve income tax rate versus 2023 was driven by the impact of the Divestture, which included the write-of of certain nondeductble goodwill. For further informaton, see Note I to the consolidated fnancial statements.</w:t>
      </w:r>
    </w:p>
    <w:p>
      <w:pPr>
        <w:spacing w:after="0" w:line="111" w:lineRule="exact"/>
        <w:rPr>
          <w:sz w:val="20"/>
          <w:szCs w:val="20"/>
          <w:color w:val="auto"/>
        </w:rPr>
      </w:pPr>
    </w:p>
    <w:p>
      <w:pPr>
        <w:ind w:left="20" w:right="820" w:hanging="12"/>
        <w:spacing w:after="0" w:line="367" w:lineRule="auto"/>
        <w:rPr>
          <w:sz w:val="20"/>
          <w:szCs w:val="20"/>
          <w:color w:val="auto"/>
        </w:rPr>
      </w:pPr>
      <w:r>
        <w:rPr>
          <w:rFonts w:ascii="Calibri" w:cs="Calibri" w:eastAsia="Calibri" w:hAnsi="Calibri"/>
          <w:sz w:val="18"/>
          <w:szCs w:val="18"/>
          <w:color w:val="auto"/>
        </w:rPr>
        <w:t xml:space="preserve">The Company does not antcipate that the tax law changes due to Pillar Two will have a material impact on its estmated efectve income tax rate. Form 10-K </w:t>
      </w:r>
      <w:r>
        <w:rPr>
          <w:rFonts w:ascii="Arial" w:cs="Arial" w:eastAsia="Arial" w:hAnsi="Arial"/>
          <w:sz w:val="23"/>
          <w:szCs w:val="23"/>
          <w:color w:val="0070C0"/>
        </w:rPr>
        <w:t>♦</w:t>
      </w:r>
      <w:r>
        <w:rPr>
          <w:rFonts w:ascii="Calibri" w:cs="Calibri" w:eastAsia="Calibri" w:hAnsi="Calibri"/>
          <w:sz w:val="18"/>
          <w:szCs w:val="18"/>
          <w:color w:val="auto"/>
        </w:rPr>
        <w:t xml:space="preserve">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-265430</wp:posOffset>
            </wp:positionV>
            <wp:extent cx="325755" cy="1968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2" w:name="page53"/>
    <w:bookmarkEnd w:id="52"/>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Discontnued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Through their respectve divestture dates, the fnancial results of the Company's California cement businesses and certain California ready mixed concrete operatons, which were acquired in 2021, were reported as discontnued operatons. The Company sold the Tehachapi, California cement plant on October 31, 2023 and the Stockton, California cement import terminal on May 3, 2023. The collectve businesses generated a loss of $30 million in 2023, net of expenses associated with the divesttures and income tax beneft.</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Net Earnings and Earnings Per Diluted Share From Contnuing Operatons Atributable to Martn Marieta</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earnings from contnuing operatons atributable to Martn Marieta were $2.0 billion, or $32.41 per diluted share, for 2024 and $1.2 billion, or $19.32 per diluted share, for 2023. 2024 included an afer-tax gain of $976 million, or $15.85 per diluted share, on the Divestture, an afer-tax loss of $37 million, or $0.61 per diluted share, for the Ratonalizaton Charge, an afer-tax charge of $15 million, or $0.24 per diluted share, for the Inventory Markup and afer-tax acquisiton, divestture and integraton expenses of $32 million, or $0.51 per diluted share, related to the BWI Southeast acquisiton and the Divestture.</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Liquidity and Cash Flows</w:t>
      </w:r>
    </w:p>
    <w:p>
      <w:pPr>
        <w:spacing w:after="0" w:line="1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Operatng Actvites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the Company’s primary source of liquidity is cash generated from operatng actvites. Operatng cash fow is substantally derived from consolidated net earnings, before deductng depreciaton, depleton and amortzaton, afer adjustng for noncash gains and losses, and ofset by working capital requirements. Cash provided by operatons was $1.5 billion in each of 2024 and 2023.</w:t>
      </w:r>
    </w:p>
    <w:p>
      <w:pPr>
        <w:spacing w:after="0" w:line="5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Internal Revenue Service has provided certain disaster tax relief for North Carolina businesses afected by Hurricanes Debby and Helene, which allows the Company to defer estmated federal and certain state income, payroll and excise tax payments for the period from August 2024 through April 2025. The deferred obligaton will be due May 1, 2025. For the year ended December 31, 2024, operatng cash fow benefted from deferred income tax payments of $102 million under this provision.</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Investng Actvites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Net cash used for investng actvites was $2.4 billion in 2024 and net cash provided by investng actvites was $459 million in 2023.</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Pretax proceeds from divesttures and sales of assets were $2.2 billion in 2024 and $427 million in 2023. The 2024 amount includes the Divestture. On April 5, 2024, the Company used $2.05 billion of cash on hand to fund the BWI Southeast acquisiton. Subsequently, the Company used available liquidity to fund the South Florida aggregates acquisiton on October 25, 2024 and the West Texas aggregates acquisiton on December 13, 2024.</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paid for property, plant and equipment additons was $855 million in 2024, which included a purchase of land, aggregates reserves and processing plants in Southern California, and $650 million in 2023.</w:t>
      </w:r>
    </w:p>
    <w:p>
      <w:pPr>
        <w:spacing w:after="0" w:line="5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2023, net cash provided by investng actvites included $700 million in proceeds from the sale of restricted investments, which the Company had invested during 2022 and were used to repay discharged debt and related interest in 2023.</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Financing Actvites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fnancing actvites was $373 million in 2024 and net cash used for fnancing actvites was $1.1 billion in 2023. In November 2024, the Company issued $1.5 billion of publicly traded debt and in July 2024, repaid the $400 million of 4.250% Senior Notes that matured by their own terms. Additonally, during 2024, the Company borrowed and repaid $1.3 billion on its short-term facilites. In 2023, the Company used $700 million to repay discharged debt and related interest.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years ended December 31, 2024 and 2023, the Board of Directors approved total cash dividends on the Company’s common stock of $3.06 per share and $2.80 per share, respectvely. Total cash dividends paid were $189 million in 2024 and $174 million in 2023.</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2024, the Company repurchased 0.8 million shares of its common stock for a total cost of $450 million. During 2023, the Company repurchased 0.4 million shares of its common stock for a total cost of $150 million. In 2024 and 2023, the average cost was $572.70 per share and $393.16 per share, respectvely.</w:t>
      </w:r>
    </w:p>
    <w:p>
      <w:pPr>
        <w:spacing w:after="0" w:line="12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3" w:name="page54"/>
    <w:bookmarkEnd w:id="53"/>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Capital Structure and Resources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Long-term debt, including current maturites, was $5.4 billion at December 31, 2024, and was in the form of publicly-issued long-term notes and debentures. On November 4, 2024, the Company issued $750 million aggregate principal amount of 5.150% Senior Notes due 2034 and $750 million aggregate principal amount of 5.500% Senior Notes due 2054. The Company used the net proceeds to repay the borrowings outstanding under its revolving credit facility and trade securitzaton facility. The remaining net proceeds were used for general corporate purposes and acquisitons.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through a wholly-owned special-purpose subsidiary, has a $400 million trade receivable securitzaton facility (the Trade Receivable Facility) that matures on September 17, 2025. The Trade Receivable Facility contains a cross-default provision to the Company’s other debt agreements. There were no outstanding borrowings on the Trade Receivable Facility as of December 31, 2024.</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an $800 million fve-year senior unsecured revolving facility (the Revolving Facility), which matures in December 2029. There were no outstanding borrowings on the Revolving Facility as of December 31, 2024. The Revolving Facility requires the Company’s rato of consolidated net debt-to-consolidated EBITDA, as defned, for the trailing-twelve months (the Rato) to not exceed 3.50x as of the end of any fscal quarter, provided that the Company may exclude from the Rato debt incurred in connecton with certain acquisitons during the quarter (or the three preceding quarters) so long as the Rato calculated without such exclusion does not exceed 4.00x. Additonally, if there are no amounts outstanding under the Revolving Facility and the Trade Receivable Facility, consolidated debt, including debt for which the Company is a guarantor, shall be reduced in an amount equal to the lesser of $500 million or the sum of the Company’s unrestricted cash and temporary investments, for purposes of the covenant calculaton. The Company was in compliance with the Rato and other requirements under the Revolving Facility at December 31, 2024.</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authority granted by its Board of Directors, the Company can repurchase up to 20 million shares of common stock. As of December 31, 2024, the Company had 11.9 million shares remaining under the repurchase authorizaton. Future share repurchases are at management's discreton.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2024, the Company had $670 million in unrestricted cash and short-term investments that are considered cash equivalents. The Company manages its cash and cash equivalents to ensure short-term operatng cash needs are met and excess funds are managed efciently. The Company’s investments in bank funds generally exceed the FDIC insurance limit.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on hand, along with the Company’s projected internal cash fows and availability of fnancing resources, including its access to debt and equity capital markets, is expected to contnue to be sufcient to provide the capital resources necessary to support antcipated operatng needs, cover debt service requirements, meet capital expenditures and discretonary investment needs, fund certain acquisiton opportunites that may arise and allow for payment of dividends for the foreseeable future. Borrowings under the Revolving Facility are unsecured and may be used for general corporate purposes. The Company’s ability to borrow or issue securites is dependent upon, among other things, prevailing economic, fnancial and market conditons. At December 31, 2024, the Company had $1.2 billion of unused borrowing capacity under its Revolving Facility and Trade Receivable Facility.</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is exposed to credit markets through the interest cost related to borrowings under its Revolving Facility and Trade Receivable Facility.</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Contractual and Of-Balance Sheet Obligatons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retrement benefts related to pension plans. At December 31, 2024, the fair value of the qualifed pension plans’ assets exceeded the projected beneft obligaton by $371 million. The Company estmates making contributons of $25 million to qualifed pension plans in 2025. Any contributons beyond 2025 are currently undeterminable and will depend on the investment return on the related pension assets. At December 31, 2024, the Company had a total obligaton of $100 million related to unfunded nonqualifed pension plans and expects to make contributons of $15 million to these plans in 2025.</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normal, ongoing operatons, the Company enters into market-rate leases for property, plant and equipment and royalty commitments principally associated with leased land and mineral reserves. Additonally, the Company enters into equipment rentals to meet shorter-term, nonrecurring and intermitent needs. At December 31, 2024, the Company had $391 million in operatng lease obligatons and $221 million in fnance lease obligatons, representng the present value of future payments. The imputed interest on operatng and fnance lease obligatons was $189 million. Management antcipates that, in the ordinary course of business, the Company will enter into additonal royalty agreements for land and mineral reserves during</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4" w:name="page55"/>
    <w:bookmarkEnd w:id="54"/>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2025. As permited, short-term leases are excluded from Accountng Standards Codifcaton 842, </w:t>
      </w:r>
      <w:r>
        <w:rPr>
          <w:rFonts w:ascii="Calibri" w:cs="Calibri" w:eastAsia="Calibri" w:hAnsi="Calibri"/>
          <w:sz w:val="18"/>
          <w:szCs w:val="18"/>
          <w:i w:val="1"/>
          <w:iCs w:val="1"/>
          <w:color w:val="auto"/>
        </w:rPr>
        <w:t>Leases</w:t>
      </w:r>
      <w:r>
        <w:rPr>
          <w:rFonts w:ascii="Calibri" w:cs="Calibri" w:eastAsia="Calibri" w:hAnsi="Calibri"/>
          <w:sz w:val="18"/>
          <w:szCs w:val="18"/>
          <w:color w:val="auto"/>
        </w:rPr>
        <w:t xml:space="preserve"> (ASC 842) requirements and future noncancelable obligatons for these leases as of December 31, 2024 are immaterial.</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future interest payable on the Company’s publicly-traded debt through the various maturity dates was $3.4 billion. The Company had obligatons related to a contract of afreightment not accounted for as a lease, and royalty agreements, totaling $52 million and $165 million, respectvely, as of December 31, 2024. The Company had purchase commitments for property, plant and equipment of $162 million as of December 31, 2024 and other purchase obligatons related to energy and service contracts totaling $158 million as of December 31, 2024.</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invests in renewable energy investment enttes which qualify for tax credits and other tax benefts. As of December 31, 2024, the Company has commited to an additonal $44 million of tax equity investments related to renewable energy tax credit projects. These amounts are expected to be paid in 2025 and are recorded in the </w:t>
      </w:r>
      <w:r>
        <w:rPr>
          <w:rFonts w:ascii="Calibri" w:cs="Calibri" w:eastAsia="Calibri" w:hAnsi="Calibri"/>
          <w:sz w:val="18"/>
          <w:szCs w:val="18"/>
          <w:i w:val="1"/>
          <w:iCs w:val="1"/>
          <w:color w:val="auto"/>
        </w:rPr>
        <w:t>Other current liabilites</w:t>
      </w:r>
      <w:r>
        <w:rPr>
          <w:rFonts w:ascii="Calibri" w:cs="Calibri" w:eastAsia="Calibri" w:hAnsi="Calibri"/>
          <w:sz w:val="18"/>
          <w:szCs w:val="18"/>
          <w:color w:val="auto"/>
        </w:rPr>
        <w:t xml:space="preserve"> line item on the consolidated balance sheet.</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Contngent Liabilites and Commitments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entered into standby leter of credit agreements relatng to certain insurance claims, contract performance and permit requirements. At December 31, 2024, the Company had contngent liabilites guaranteeing its own performance under these outstanding leters of credit of $37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normal course of business, at December 31, 2024, the Company was contngently liable for $818 million in surety bonds, which guarantee its own performance and are required by certain states and municipalites and their related agencies. The Company has indemnifed the underwritng insurance companies against any exposure under the surety bonds. In the Company’s experience, no material claims have been made against these fnancial instruments.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OTHER FINANCIAL INFORMATION</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Critcal Accountng Policies and Estmates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uses certain signifcant accountng policies to prepare its audited consolidated fnancial statements and related disclosures in conformity with U.S. generally accepted accountng principles. These accountng policies are described in </w:t>
      </w:r>
      <w:r>
        <w:rPr>
          <w:rFonts w:ascii="Calibri" w:cs="Calibri" w:eastAsia="Calibri" w:hAnsi="Calibri"/>
          <w:sz w:val="18"/>
          <w:szCs w:val="18"/>
          <w:u w:val="single" w:color="auto"/>
          <w:color w:val="0563C1"/>
        </w:rPr>
        <w:t>Note A: Accountng Policies</w:t>
      </w:r>
      <w:r>
        <w:rPr>
          <w:rFonts w:ascii="Calibri" w:cs="Calibri" w:eastAsia="Calibri" w:hAnsi="Calibri"/>
          <w:sz w:val="18"/>
          <w:szCs w:val="18"/>
          <w:color w:val="auto"/>
        </w:rPr>
        <w:t xml:space="preserve"> of the </w:t>
      </w:r>
      <w:r>
        <w:rPr>
          <w:rFonts w:ascii="Calibri" w:cs="Calibri" w:eastAsia="Calibri" w:hAnsi="Calibri"/>
          <w:sz w:val="18"/>
          <w:szCs w:val="18"/>
          <w:u w:val="single" w:color="auto"/>
          <w:color w:val="0563C1"/>
        </w:rPr>
        <w:t>Notes to Financial Statements</w:t>
      </w:r>
      <w:r>
        <w:rPr>
          <w:rFonts w:ascii="Calibri" w:cs="Calibri" w:eastAsia="Calibri" w:hAnsi="Calibri"/>
          <w:sz w:val="18"/>
          <w:szCs w:val="18"/>
          <w:color w:val="auto"/>
        </w:rPr>
        <w:t xml:space="preserve"> of the Company’s consolidated fnancial statements included under </w:t>
      </w:r>
      <w:r>
        <w:rPr>
          <w:rFonts w:ascii="Calibri" w:cs="Calibri" w:eastAsia="Calibri" w:hAnsi="Calibri"/>
          <w:sz w:val="18"/>
          <w:szCs w:val="18"/>
          <w:u w:val="single" w:color="auto"/>
          <w:color w:val="0563C1"/>
        </w:rPr>
        <w:t>Item 8, Financial Statements and Supplemental Data</w:t>
      </w:r>
      <w:r>
        <w:rPr>
          <w:rFonts w:ascii="Calibri" w:cs="Calibri" w:eastAsia="Calibri" w:hAnsi="Calibri"/>
          <w:sz w:val="18"/>
          <w:szCs w:val="18"/>
          <w:color w:val="auto"/>
        </w:rPr>
        <w:t xml:space="preserve">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-154940</wp:posOffset>
            </wp:positionV>
            <wp:extent cx="29419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941955"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-17780</wp:posOffset>
            </wp:positionV>
            <wp:extent cx="23983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3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audited consolidated fnancial statements include certain critcal estmates regarding the efect of maters that are inherently uncertain. Management bases its estmates on historical experience and on various other assumptons it believes to be reasonable under the circumstances, the results of which form the basis for making subjectve and complex judgments about the carrying values of assets and liabilites. Amounts reported in the Company’s consolidated fnancial statements could difer materially if management used diferent assumptons in making these estmates, resultng in actual results difering from those estmates. Methodologies used and assumptons selected by management in making these estmates, as well as the related disclosures, have been reviewed by and discussed with the Company’s Audit Commitee. Management’s determinaton of the critcal nature of accountng estmates and judgments may change from tme to tme depending on facts and circumstances that management cannot currently predict.</w:t>
      </w:r>
    </w:p>
    <w:p>
      <w:pPr>
        <w:spacing w:after="0" w:line="13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5" w:name="page56"/>
    <w:bookmarkEnd w:id="55"/>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Business Combinatons – Allocaton of Purchase Price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Board of Directors and management regularly review long-term strategic plans, including potental investments in value-added acquisitons of related or similar businesses, which would increase the Company’s market presence and/or are related to the Company’s existng markets. When an acquisiton is completed, the Company’s consolidated statements of earnings include the operatng results of the acquired business startng from the date of acquisiton, which is the date control is obtained. The purchase price is determined based on the fair value of assets and equity interests given to the seller and any future obligatons to the seller as of the date of acquisiton. The Company allocates the purchase price to the fair values of the tangible and intangible assets acquired and liabilites assumed as valued at the date of acquisiton. Goodwill is recorded for the excess of the purchase price over the net of the fair value of the identfable assets acquired and liabilites assumed as of the acquisiton date. The purchase price allocaton is a critcal accountng policy because the estmaton of fair values of acquired assets and assumed liabilites is judgmental and requires various assumptons. Further, the amounts and useful lives assigned to depreciable and amortzable assets versus amounts assigned to goodwill and indefnite-lived intangible assets, which are not amortzed, can signifcantly afect the results of operatons in the period of and for periods following a business combinaton.</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Fair value is the price that would be received to sell an asset or paid to transfer a liability in an orderly transacton, and, therefore, represents an exit price. Fair value measurement assumes the highest and best use of the asset by market partcipants, considering the use of the asset that is physically possible, legally permissible, and fnancially feasible at the measurement date. The Company assigns the highest level of fair value available to assets acquired and liabilites assumed based on the following optons:</w:t>
      </w:r>
    </w:p>
    <w:p>
      <w:pPr>
        <w:spacing w:after="0" w:line="66" w:lineRule="exact"/>
        <w:rPr>
          <w:sz w:val="20"/>
          <w:szCs w:val="20"/>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Level 1 – Quoted prices in actve markets for identcal assets and liabilites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Level 2 – Observable inputs, other than quoted prices, for similar assets or liabilites in actve markets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Level 3 – Unobservable inputs, used to value the asset or liability which includes the use of valuaton models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Level 1 fair values are used to value investments in publicly traded enttes and assumed obligatons for publicly traded long-term debt.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Level 2 fair values are typically used to value acquired receivables, inventories, machinery and equipment, land, buildings, deferred income tax assets and liabilites, and accruals for payables, asset retrement obligatons, environmental remediaton and compliance obligatons, and contngencies. Additonally, Level 2 fair values are typically used to value assumed contracts at other-than-market rates.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Level 3 fair values are used to value acquired mineral reserves and mineral interests produced and sold as fnal products, and separately-identfable intangible assets. The fair values of mineral reserves and mineral interests are determined using an excess earnings approach, which requires signifcant judgment to estmate future cash fows, net of capital investments in the specifc operaton and contributory asset charges. The estmate of future cash fows is based on available historical informaton and future expectatons and assumptons determined by management, but is inherently uncertain. Signifcant assumptons used to estmate future cash fows include changes in forecasted revenues based on sales price and shipment volumes, EBITDA margin and forecasted expenses inclusive of producton costs and capital needs. The present value of the projected net cash fows represents the fair value assigned to mineral reserves and mineral interests. The discount rate is a signifcant assumpton used in the valuaton model and is based on the required rate of return that a hypothetcal market partcipant would require if purchasing the acquired business, with an adjustment for the risk of these assets not generatng the projected cash fows.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values separately-identfable acquired intangible assets which may include, but are not limited to, permits, customer relatonships, water rights and noncompetton agreements. The fair values of these assets are typically determined by an excess earnings method, a replacement cost method or, in the case of water rights, a market approach.</w:t>
      </w:r>
    </w:p>
    <w:p>
      <w:pPr>
        <w:spacing w:after="0" w:line="111" w:lineRule="exact"/>
        <w:rPr>
          <w:sz w:val="20"/>
          <w:szCs w:val="20"/>
          <w:color w:val="auto"/>
        </w:rPr>
      </w:pPr>
    </w:p>
    <w:p>
      <w:pPr>
        <w:spacing w:after="0"/>
        <w:rPr>
          <w:sz w:val="20"/>
          <w:szCs w:val="20"/>
          <w:color w:val="auto"/>
        </w:rPr>
      </w:pPr>
      <w:r>
        <w:rPr>
          <w:rFonts w:ascii="Calibri" w:cs="Calibri" w:eastAsia="Calibri" w:hAnsi="Calibri"/>
          <w:sz w:val="17"/>
          <w:szCs w:val="17"/>
          <w:color w:val="auto"/>
        </w:rPr>
        <w:t>The useful lives of amortzable intangible assets and the remaining useful lives for acquired machinery and equipment have a signifcant impact on earnings.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selected lives are based on the expected periods that the assets will provide value to the Company following the business combinaton.</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 Company may adjust the amounts recognized for a business combinaton during a measurement period afer the acquisiton date. Any such adjustments are based on the Company obtaining additonal informaton that existed at the acquisiton date regarding the assets acquired or the liabilites assumed. Measurement-period adjustments are generally recorded as increases or decreases to the goodwill recognized in the transacton. The measurement period ends once the Company has obtained all necessary informaton that existed as of the acquisiton date, but does not extend beyond one year</w:t>
      </w:r>
    </w:p>
    <w:p>
      <w:pPr>
        <w:spacing w:after="0" w:line="11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6" w:name="page57"/>
    <w:bookmarkEnd w:id="56"/>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from the date of acquisiton. Any adjustments to assets acquired or liabilites assumed beyond the measurement period are recorded through earnings.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For additonal informaton about business combinatons and purchase price allocatons, see Note B to the consolidated fnancial statements.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Impairment Review of Goodwill</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is required to be tested annually for impairment by comparing a reportng unit’s fair value to its carrying value. An interim review is performed between annual tests if facts and circumstances indicate a potental impairment. The impairment review of goodwill is a critcal accountng estmate because goodwill (excluding any goodwill allocated to assets held for sale) represented 21% of the Company’s total assets at December 31, 2024; the review requires management to apply judgment and make key assumptons; and an impairment charge could be material to the Company’s fnancial conditon and results of operatons.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any qualitatve assessment, or Step-0 analysis, the Company evaluates macroeconomic conditons, industry and market conditons, cost factors, overall fnancial performance and other business or reportng unit-specifc events that could impact the fair values of its reportng units.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reportng units evaluated using a qualitatve assessment, or Step-1 analysis, the Company calculates its reportng units' fair values using both an income and market approach. The income approach determines fair values based on discounted cash fow models whereas the market approach involves the applicaton of revenues and EBITDA multples of comparable companies. Signifcant assumptons used in the Company's discounted cash fow model include management’s estmates of changes in average selling price, shipment volumes and producton costs as well as assumptons of future proftability, capital requirements, discount rates and a terminal growth rate. Price, cost and volume assumptons are based on various factors, including historical averages and current forecasts, external sources, and market conditons, while also considering any producton capacity constraints. Future proftability and capital requirements are, by their nature, estmates. Capital requirements include maintenance-level needs and known efciency- and capacity-increasing investments. The calculaton of a reportng unit's discount rate includes the following components, which are primarily based on published sources: equity risk premium, historical beta, risk-free interest rate, size premium and borrowing rate. To assess the reasonableness of the reportng units' fair values, the Company's compares the total of the reportng unit fair values to its market capitalizaton.</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Changes in these estmates and assumptons could materially afect the determinaton of fair value and goodwill impairment. Further, mineral reserves, which represent underlying assets producing the reportng units’ cash fows for the aggregates product line, are depletng assets by their nature. Any potental impairment charges from future evaluatons represent a risk to the Company.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2024 annual impairment evaluaton, the Company performed a Step-0 analysis for all reportng units as of October 1, 2024 and concluded that it is more-likely-than-not that each of the reportng units’ fair value exceeded its carrying value.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For additonal informaton about goodwill, see Note C to the consolidated fnancial statements.</w:t>
      </w:r>
    </w:p>
    <w:p>
      <w:pPr>
        <w:spacing w:after="0" w:line="1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7" w:name="page58"/>
    <w:bookmarkEnd w:id="57"/>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Pension Beneft Obligaton and Pension Expense – Selecton of Assumptons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sponsors noncontributory defned beneft pension plans that cover substantally all employees and a Supplemental Excess Retrement Plan (SERP) for certain retrees. Annually, as of December 31, management remeasures the defned beneft pension plans’ projected beneft obligaton based on the present value of the projected future beneft payments to all partcipants for services rendered to date, refectng expected future pay increases through the partcipants’ expected retrement dates.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Annual pension expense (inclusive of SERP expense), referred to as net periodic beneft cost within the consolidated fnancial statements, consists of several components, which are calculated annually:</w:t>
      </w:r>
    </w:p>
    <w:p>
      <w:pPr>
        <w:spacing w:after="0" w:line="69" w:lineRule="exact"/>
        <w:rPr>
          <w:sz w:val="20"/>
          <w:szCs w:val="20"/>
          <w:color w:val="auto"/>
        </w:rPr>
      </w:pPr>
    </w:p>
    <w:p>
      <w:pPr>
        <w:ind w:left="1060" w:hanging="261"/>
        <w:spacing w:after="0" w:line="235" w:lineRule="auto"/>
        <w:tabs>
          <w:tab w:leader="none" w:pos="106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Service Cost, </w:t>
      </w:r>
      <w:r>
        <w:rPr>
          <w:rFonts w:ascii="Calibri" w:cs="Calibri" w:eastAsia="Calibri" w:hAnsi="Calibri"/>
          <w:sz w:val="18"/>
          <w:szCs w:val="18"/>
          <w:color w:val="auto"/>
        </w:rPr>
        <w:t>which represents the present value of benefts atributed to services rendered in the current year, measured by expected future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salary levels to assumed retrement dates;</w:t>
      </w:r>
    </w:p>
    <w:p>
      <w:pPr>
        <w:spacing w:after="0" w:line="64" w:lineRule="exact"/>
        <w:rPr>
          <w:rFonts w:ascii="Times New Roman" w:cs="Times New Roman" w:eastAsia="Times New Roman" w:hAnsi="Times New Roman"/>
          <w:sz w:val="18"/>
          <w:szCs w:val="18"/>
          <w:color w:val="auto"/>
        </w:rPr>
      </w:pPr>
    </w:p>
    <w:p>
      <w:pPr>
        <w:ind w:left="1060" w:hanging="261"/>
        <w:spacing w:after="0"/>
        <w:tabs>
          <w:tab w:leader="none" w:pos="106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Interest Cost, </w:t>
      </w:r>
      <w:r>
        <w:rPr>
          <w:rFonts w:ascii="Calibri" w:cs="Calibri" w:eastAsia="Calibri" w:hAnsi="Calibri"/>
          <w:sz w:val="18"/>
          <w:szCs w:val="18"/>
          <w:color w:val="auto"/>
        </w:rPr>
        <w:t>which represents one year’s additonal interest on the projected beneft obligaton;</w:t>
      </w:r>
    </w:p>
    <w:p>
      <w:pPr>
        <w:spacing w:after="0" w:line="63" w:lineRule="exact"/>
        <w:rPr>
          <w:rFonts w:ascii="Times New Roman" w:cs="Times New Roman" w:eastAsia="Times New Roman" w:hAnsi="Times New Roman"/>
          <w:sz w:val="18"/>
          <w:szCs w:val="18"/>
          <w:color w:val="auto"/>
        </w:rPr>
      </w:pPr>
    </w:p>
    <w:p>
      <w:pPr>
        <w:ind w:left="1060" w:hanging="261"/>
        <w:spacing w:after="0"/>
        <w:tabs>
          <w:tab w:leader="none" w:pos="106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Expected Return on Assets, </w:t>
      </w:r>
      <w:r>
        <w:rPr>
          <w:rFonts w:ascii="Calibri" w:cs="Calibri" w:eastAsia="Calibri" w:hAnsi="Calibri"/>
          <w:sz w:val="18"/>
          <w:szCs w:val="18"/>
          <w:color w:val="auto"/>
        </w:rPr>
        <w:t>which represents the expected investment return on pension plan assets; and</w:t>
      </w:r>
    </w:p>
    <w:p>
      <w:pPr>
        <w:spacing w:after="0" w:line="68" w:lineRule="exact"/>
        <w:rPr>
          <w:rFonts w:ascii="Times New Roman" w:cs="Times New Roman" w:eastAsia="Times New Roman" w:hAnsi="Times New Roman"/>
          <w:sz w:val="18"/>
          <w:szCs w:val="18"/>
          <w:color w:val="auto"/>
        </w:rPr>
      </w:pPr>
    </w:p>
    <w:p>
      <w:pPr>
        <w:jc w:val="both"/>
        <w:ind w:left="1060" w:hanging="261"/>
        <w:spacing w:after="0" w:line="235" w:lineRule="auto"/>
        <w:tabs>
          <w:tab w:leader="none" w:pos="106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Amortzaton of Prior Service Cost and Actuarial Gains and Losses, </w:t>
      </w:r>
      <w:r>
        <w:rPr>
          <w:rFonts w:ascii="Calibri" w:cs="Calibri" w:eastAsia="Calibri" w:hAnsi="Calibri"/>
          <w:sz w:val="18"/>
          <w:szCs w:val="18"/>
          <w:color w:val="auto"/>
        </w:rPr>
        <w:t>which represents components that are recognized over tme rather than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immediately. Prior service cost represents credit given to employees for years of service already accrued. Actuarial gains and losses arise from changes in assumptons regarding future events, a change in the beneft obligaton resultng from experience diferent from assumed or when actual returns on pension assets difer from expected returns and are amortzed over the partcipants' average remaining service period on a plan-by-plan basis.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believes the selecton of assumptons related to the annual pension expense and related projected beneft obligaton is a critcal accountng estmate due to the high degree of volatlity in the expense and obligaton dependent on selected assumptons. The key assumptons include the discount rate, rate of increase in future compensaton levels, expected long-term rate of return on pension plan assets and mortality table and mortality improvement scale.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Management’s selecton of the discount rate is based on an analysis that estmates the current rate of return for high-quality, fxed-income investments with maturites matching the payment of pension benefts that could be purchased to setle the obligatons. The Company selected a hypothetcal portolio of Moody’s Aa bonds, with maturites that match the beneft obligatons, to determine the discount rate. At December 31, 2024, the Company selected a discount rate assumpton of 6.00%, a 42-basis-point increase compared with the December 31, 2023 assumpton. Of the four key assumptons, the discount rate is generally the most volatle and sensitve estmate. Accordingly, a change in this assumpton can have a signifcant impact on the annual pension expense and the projected beneft obligaton.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Management’s selecton of the rate of increase in future compensaton levels, which refects cost of living adjustments and merit and promoton increases, is generally based on the Company’s historical increases in pensionable earnings, while giving consideraton to any future expectatons. A higher rate of increase results in higher pension expense and a higher projected beneft obligaton. The assumed long-term rate of increase is 4.50%.</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Management’s selecton of the expected long-term rate of return on pension fund assets is based on the current asset class mix of the Company's pension plan assets, current capital market conditons and a stochastc forecast of future conditons. Based on the currently projected returns on these assets and related expenses, the Company selected an expected return on assets of 6.75%, the same as the prior-year rate.</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diference between the expected return and the actual return on pension assets is included in actuarial gains and losses, which are amortzed into annual pension expense as previously described.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2024 and 2023, the Company estmated the remaining lives of partcipants in the pension plans using the Society of Actuaries’ Pri-2012 Base Mortality Table. The no-collar table was used for salaried partcipants and the blue-collar table was used for hourly partcipants, both adjusted to refect the historical experience of the Company’s partcipants and a geospatal mortality analysis. The Company selected the MP-2020 scale for mortality improvement at December 31, 2024 and 2023.</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8" w:name="page59"/>
    <w:bookmarkEnd w:id="58"/>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Assumptons are selected on December 31 to calculate the succeeding year’s expense. The assumptons selected at December 31, 2024 are as follows:</w:t>
      </w:r>
    </w:p>
    <w:p>
      <w:pPr>
        <w:spacing w:after="0" w:line="104" w:lineRule="exact"/>
        <w:rPr>
          <w:sz w:val="20"/>
          <w:szCs w:val="20"/>
          <w:color w:val="auto"/>
        </w:rPr>
      </w:pPr>
    </w:p>
    <w:tbl>
      <w:tblPr>
        <w:tblLayout w:type="fixed"/>
        <w:tblInd w:w="1080" w:type="dxa"/>
        <w:tblCellMar>
          <w:top w:w="0" w:type="dxa"/>
          <w:left w:w="0" w:type="dxa"/>
          <w:bottom w:w="0" w:type="dxa"/>
          <w:right w:w="0" w:type="dxa"/>
        </w:tblCellMar>
      </w:tblPr>
      <w:tr>
        <w:trPr>
          <w:trHeight w:val="220"/>
        </w:trPr>
        <w:tc>
          <w:tcPr>
            <w:tcW w:w="5960" w:type="dxa"/>
            <w:vAlign w:val="bottom"/>
          </w:tcPr>
          <w:p>
            <w:pPr>
              <w:ind w:left="100"/>
              <w:spacing w:after="0"/>
              <w:rPr>
                <w:sz w:val="20"/>
                <w:szCs w:val="20"/>
                <w:color w:val="auto"/>
              </w:rPr>
            </w:pPr>
            <w:r>
              <w:rPr>
                <w:rFonts w:ascii="Calibri" w:cs="Calibri" w:eastAsia="Calibri" w:hAnsi="Calibri"/>
                <w:sz w:val="18"/>
                <w:szCs w:val="18"/>
                <w:color w:val="auto"/>
              </w:rPr>
              <w:t>Discount rate</w:t>
            </w:r>
          </w:p>
        </w:tc>
        <w:tc>
          <w:tcPr>
            <w:tcW w:w="3140" w:type="dxa"/>
            <w:vAlign w:val="bottom"/>
          </w:tcPr>
          <w:p>
            <w:pPr>
              <w:jc w:val="right"/>
              <w:ind w:right="50"/>
              <w:spacing w:after="0"/>
              <w:rPr>
                <w:sz w:val="20"/>
                <w:szCs w:val="20"/>
                <w:color w:val="auto"/>
              </w:rPr>
            </w:pPr>
            <w:r>
              <w:rPr>
                <w:rFonts w:ascii="Calibri" w:cs="Calibri" w:eastAsia="Calibri" w:hAnsi="Calibri"/>
                <w:sz w:val="18"/>
                <w:szCs w:val="18"/>
                <w:color w:val="auto"/>
              </w:rPr>
              <w:t>6.00%</w:t>
            </w:r>
          </w:p>
        </w:tc>
      </w:tr>
      <w:tr>
        <w:trPr>
          <w:trHeight w:val="23"/>
        </w:trPr>
        <w:tc>
          <w:tcPr>
            <w:tcW w:w="596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16"/>
        </w:trPr>
        <w:tc>
          <w:tcPr>
            <w:tcW w:w="5960" w:type="dxa"/>
            <w:vAlign w:val="bottom"/>
            <w:shd w:val="clear" w:color="auto" w:fill="E5F1F8"/>
          </w:tcPr>
          <w:p>
            <w:pPr>
              <w:ind w:left="100"/>
              <w:spacing w:after="0" w:line="215" w:lineRule="exact"/>
              <w:rPr>
                <w:sz w:val="20"/>
                <w:szCs w:val="20"/>
                <w:color w:val="auto"/>
              </w:rPr>
            </w:pPr>
            <w:r>
              <w:rPr>
                <w:rFonts w:ascii="Calibri" w:cs="Calibri" w:eastAsia="Calibri" w:hAnsi="Calibri"/>
                <w:sz w:val="18"/>
                <w:szCs w:val="18"/>
                <w:color w:val="auto"/>
              </w:rPr>
              <w:t>Rate of increase in future compensaton levels</w:t>
            </w:r>
          </w:p>
        </w:tc>
        <w:tc>
          <w:tcPr>
            <w:tcW w:w="314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4.50%</w:t>
            </w:r>
          </w:p>
        </w:tc>
      </w:tr>
      <w:tr>
        <w:trPr>
          <w:trHeight w:val="215"/>
        </w:trPr>
        <w:tc>
          <w:tcPr>
            <w:tcW w:w="5960" w:type="dxa"/>
            <w:vAlign w:val="bottom"/>
          </w:tcPr>
          <w:p>
            <w:pPr>
              <w:ind w:left="100"/>
              <w:spacing w:after="0" w:line="215" w:lineRule="exact"/>
              <w:rPr>
                <w:sz w:val="20"/>
                <w:szCs w:val="20"/>
                <w:color w:val="auto"/>
              </w:rPr>
            </w:pPr>
            <w:r>
              <w:rPr>
                <w:rFonts w:ascii="Calibri" w:cs="Calibri" w:eastAsia="Calibri" w:hAnsi="Calibri"/>
                <w:sz w:val="18"/>
                <w:szCs w:val="18"/>
                <w:color w:val="auto"/>
              </w:rPr>
              <w:t>Expected long-term rate of return on assets</w:t>
            </w:r>
          </w:p>
        </w:tc>
        <w:tc>
          <w:tcPr>
            <w:tcW w:w="31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6.75%</w:t>
            </w:r>
          </w:p>
        </w:tc>
      </w:tr>
      <w:tr>
        <w:trPr>
          <w:trHeight w:val="217"/>
        </w:trPr>
        <w:tc>
          <w:tcPr>
            <w:tcW w:w="5960" w:type="dxa"/>
            <w:vAlign w:val="bottom"/>
            <w:shd w:val="clear" w:color="auto" w:fill="E5F1F8"/>
          </w:tcPr>
          <w:p>
            <w:pPr>
              <w:ind w:left="100"/>
              <w:spacing w:after="0" w:line="216" w:lineRule="exact"/>
              <w:rPr>
                <w:sz w:val="20"/>
                <w:szCs w:val="20"/>
                <w:color w:val="auto"/>
              </w:rPr>
            </w:pPr>
            <w:r>
              <w:rPr>
                <w:rFonts w:ascii="Calibri" w:cs="Calibri" w:eastAsia="Calibri" w:hAnsi="Calibri"/>
                <w:sz w:val="18"/>
                <w:szCs w:val="18"/>
                <w:color w:val="auto"/>
              </w:rPr>
              <w:t>Average remaining service period for partcipants</w:t>
            </w:r>
          </w:p>
        </w:tc>
        <w:tc>
          <w:tcPr>
            <w:tcW w:w="31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9 years</w:t>
            </w:r>
          </w:p>
        </w:tc>
      </w:tr>
      <w:tr>
        <w:trPr>
          <w:trHeight w:val="215"/>
        </w:trPr>
        <w:tc>
          <w:tcPr>
            <w:tcW w:w="5960" w:type="dxa"/>
            <w:vAlign w:val="bottom"/>
          </w:tcPr>
          <w:p>
            <w:pPr>
              <w:ind w:left="100"/>
              <w:spacing w:after="0" w:line="215" w:lineRule="exact"/>
              <w:rPr>
                <w:sz w:val="20"/>
                <w:szCs w:val="20"/>
                <w:color w:val="auto"/>
              </w:rPr>
            </w:pPr>
            <w:r>
              <w:rPr>
                <w:rFonts w:ascii="Calibri" w:cs="Calibri" w:eastAsia="Calibri" w:hAnsi="Calibri"/>
                <w:sz w:val="18"/>
                <w:szCs w:val="18"/>
                <w:color w:val="auto"/>
              </w:rPr>
              <w:t>Mortality Tables:</w:t>
            </w:r>
          </w:p>
        </w:tc>
        <w:tc>
          <w:tcPr>
            <w:tcW w:w="3140" w:type="dxa"/>
            <w:vAlign w:val="bottom"/>
          </w:tcPr>
          <w:p>
            <w:pPr>
              <w:spacing w:after="0"/>
              <w:rPr>
                <w:sz w:val="18"/>
                <w:szCs w:val="18"/>
                <w:color w:val="auto"/>
              </w:rPr>
            </w:pPr>
          </w:p>
        </w:tc>
      </w:tr>
      <w:tr>
        <w:trPr>
          <w:trHeight w:val="217"/>
        </w:trPr>
        <w:tc>
          <w:tcPr>
            <w:tcW w:w="5960" w:type="dxa"/>
            <w:vAlign w:val="bottom"/>
            <w:shd w:val="clear" w:color="auto" w:fill="E5F1F8"/>
          </w:tcPr>
          <w:p>
            <w:pPr>
              <w:ind w:left="360"/>
              <w:spacing w:after="0" w:line="216" w:lineRule="exact"/>
              <w:rPr>
                <w:sz w:val="20"/>
                <w:szCs w:val="20"/>
                <w:color w:val="auto"/>
              </w:rPr>
            </w:pPr>
            <w:r>
              <w:rPr>
                <w:rFonts w:ascii="Calibri" w:cs="Calibri" w:eastAsia="Calibri" w:hAnsi="Calibri"/>
                <w:sz w:val="18"/>
                <w:szCs w:val="18"/>
                <w:color w:val="auto"/>
              </w:rPr>
              <w:t>Base Table</w:t>
            </w:r>
          </w:p>
        </w:tc>
        <w:tc>
          <w:tcPr>
            <w:tcW w:w="31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Pri-2012</w:t>
            </w:r>
          </w:p>
        </w:tc>
      </w:tr>
      <w:tr>
        <w:trPr>
          <w:trHeight w:val="215"/>
        </w:trPr>
        <w:tc>
          <w:tcPr>
            <w:tcW w:w="5960" w:type="dxa"/>
            <w:vAlign w:val="bottom"/>
          </w:tcPr>
          <w:p>
            <w:pPr>
              <w:ind w:left="360"/>
              <w:spacing w:after="0" w:line="215" w:lineRule="exact"/>
              <w:rPr>
                <w:sz w:val="20"/>
                <w:szCs w:val="20"/>
                <w:color w:val="auto"/>
              </w:rPr>
            </w:pPr>
            <w:r>
              <w:rPr>
                <w:rFonts w:ascii="Calibri" w:cs="Calibri" w:eastAsia="Calibri" w:hAnsi="Calibri"/>
                <w:sz w:val="18"/>
                <w:szCs w:val="18"/>
                <w:color w:val="auto"/>
              </w:rPr>
              <w:t>Mortality Improvement Scale</w:t>
            </w:r>
          </w:p>
        </w:tc>
        <w:tc>
          <w:tcPr>
            <w:tcW w:w="31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MP-2020</w:t>
            </w:r>
          </w:p>
        </w:tc>
      </w:tr>
    </w:tbl>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Using these assumptons, the Company's pension beneft obligaton as of December 31, 2024 was $967 million and 2025 pension expense is expected to be approximately $23 million based on current demographics and structure of the plans. Changes in the underlying assumptons would have the following estmated impact on the obligaton and expected expense:</w:t>
      </w:r>
    </w:p>
    <w:p>
      <w:pPr>
        <w:spacing w:after="0" w:line="124" w:lineRule="exact"/>
        <w:rPr>
          <w:sz w:val="20"/>
          <w:szCs w:val="20"/>
          <w:color w:val="auto"/>
        </w:rPr>
      </w:pPr>
    </w:p>
    <w:p>
      <w:pPr>
        <w:ind w:left="1200" w:hanging="401"/>
        <w:spacing w:after="0" w:line="235" w:lineRule="auto"/>
        <w:tabs>
          <w:tab w:leader="none" w:pos="12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25-basis-point change in the discount rate would have changed the December 31, 2024 pension beneft obligaton by approximately $29 million.</w:t>
      </w:r>
    </w:p>
    <w:p>
      <w:pPr>
        <w:spacing w:after="0" w:line="64" w:lineRule="exact"/>
        <w:rPr>
          <w:rFonts w:ascii="Times New Roman" w:cs="Times New Roman" w:eastAsia="Times New Roman" w:hAnsi="Times New Roman"/>
          <w:sz w:val="18"/>
          <w:szCs w:val="18"/>
          <w:color w:val="auto"/>
        </w:rPr>
      </w:pPr>
    </w:p>
    <w:p>
      <w:pPr>
        <w:ind w:left="1200" w:hanging="401"/>
        <w:spacing w:after="0"/>
        <w:tabs>
          <w:tab w:leader="none" w:pos="12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25-basis-point change in the discount rate would not materially change the 2025 expected expense.</w:t>
      </w:r>
    </w:p>
    <w:p>
      <w:pPr>
        <w:spacing w:after="0" w:line="68" w:lineRule="exact"/>
        <w:rPr>
          <w:rFonts w:ascii="Times New Roman" w:cs="Times New Roman" w:eastAsia="Times New Roman" w:hAnsi="Times New Roman"/>
          <w:sz w:val="18"/>
          <w:szCs w:val="18"/>
          <w:color w:val="auto"/>
        </w:rPr>
      </w:pPr>
    </w:p>
    <w:p>
      <w:pPr>
        <w:ind w:left="1200" w:hanging="401"/>
        <w:spacing w:after="0" w:line="235" w:lineRule="auto"/>
        <w:tabs>
          <w:tab w:leader="none" w:pos="12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25-basis-point change in the expected long-term rate of return on assets would change the 2025 expected expense by approximately $3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made pension plan and SERP contributons of $34 million in 2024 and $328 million during the fve-year period ended December 31, 2024. In total, the Company’s pension plans are overfunded (fair value of plan assets exceeds the projected beneft obligaton) by $271 million at December 31, 2024. The Company expects to make pension plan and SERP contributons of $40 million in 2025, of which $25 million is voluntary.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For additonal informaton about pension beneft obligaton and pension expense, see Note J to the consolidated fnancial statements.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Estmated Efectve Income Tax Rate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uses the liability method to determine its provision for income taxes. Accordingly, the annual provision for income taxes refects estmates of the current liability for income taxes, estmates of the tax efect of fnancial reportng versus tax basis diferences using statutory income tax rates and management’s judgment with respect to any valuaton allowances on deferred tax assets and accruals for uncertain tax positons. The result is management’s estmate of the annual efectve tax rate (the ETR).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Income for tax purposes is determined through the applicaton of the rules and regulatons under the United States Internal Revenue Code and the statutes of various foreign, state and local tax jurisdictons in which the Company conducts business. Changes in the statutory tax rates and/or tax laws in these jurisdictons, as well as changes in the geographic mix of earnings, can have a material impact on the ETR and the carrying value of deferred tax assets and liabilites. The efect of statutory tax law changes, if material, is recognized when the change is enacted.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Deferred tax assets representng future tax benefts are analyzed by evaluatng all available evidence, both positve and negatve, to determine whether, based on the weight of that evidence, all or a porton of the expected future benefts is more-likely-than-not to be realized by the Company. This analysis requires management to make certain estmates and assumptons about future taxable income and prudent and feasible tax planning strategies. The establishment or increase of a valuaton allowance increases income tax expense in the period such a determinaton is made; conversely, the decrease of a valuaton allowance decreases income tax expense in the period such a determinaton is made.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recognizes a tax beneft when it is judged to be more‐likely‐than‐not, based on the technical merits, that a tax positon would be sustained upon examinaton by a taxing authority. The amount to be recognized is measured as the largest amount of tax beneft that is greater than 50% likely of being realized upon ultmate setlement with a taxing authority that has full knowledge of all relevant informaton.</w:t>
      </w:r>
    </w:p>
    <w:p>
      <w:pPr>
        <w:spacing w:after="0" w:line="12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9" w:name="page60"/>
    <w:bookmarkEnd w:id="59"/>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holds equity investments in renewable energy tax credit (RETC) projects which qualify for certain tax benefts. All of the Company's RETC investments are accounted for under the proportonal amortzaton method. Under the proportonal amortzaton method, the equity investment is amortzed in proporton to the income tax credits and other income tax benefts received, with the amortzaton expense and the income tax benefts presented on a net basis in the </w:t>
      </w:r>
      <w:r>
        <w:rPr>
          <w:rFonts w:ascii="Calibri" w:cs="Calibri" w:eastAsia="Calibri" w:hAnsi="Calibri"/>
          <w:sz w:val="18"/>
          <w:szCs w:val="18"/>
          <w:i w:val="1"/>
          <w:iCs w:val="1"/>
          <w:color w:val="auto"/>
        </w:rPr>
        <w:t>Income tax expense or beneft</w:t>
      </w:r>
      <w:r>
        <w:rPr>
          <w:rFonts w:ascii="Calibri" w:cs="Calibri" w:eastAsia="Calibri" w:hAnsi="Calibri"/>
          <w:sz w:val="18"/>
          <w:szCs w:val="18"/>
          <w:color w:val="auto"/>
        </w:rPr>
        <w:t xml:space="preserve"> line item in the consolidated statements of earnings.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color w:val="auto"/>
        </w:rPr>
        <w:t>For additonal informaton about income taxes, see Note I to the consolidated fnancial statements.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Property, Plant and Equipment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property, plant and equipment represented 56% of total assets at December 31, 2024. Useful lives of the assets can vary depending on factors, including producton levels, geographic locaton, portability and maintenance practces. Additonally, climate and inclement weather can reduce the useful life of an asset. Historically, the Company has not recognized signifcant losses on the disposal or retrement of fxed assets.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Aggregates mineral reserves and mineral interests are components within the property, plant and equipment balance on the consolidated balance sheets. The Company evaluates aggregates reserves, including those used in cement manufacturing, in several ways, depending on the geology at a partcular locaton and whether the locaton is a greensite, an acquisiton or an existng operaton. Greensites require an extensive drilling program before any signifcant investment is made in terms of tme, site development or eforts to obtain appropriate zoning and permitng (see </w:t>
      </w:r>
      <w:r>
        <w:rPr>
          <w:rFonts w:ascii="Calibri" w:cs="Calibri" w:eastAsia="Calibri" w:hAnsi="Calibri"/>
          <w:sz w:val="18"/>
          <w:szCs w:val="18"/>
          <w:i w:val="1"/>
          <w:iCs w:val="1"/>
          <w:color w:val="auto"/>
        </w:rPr>
        <w:t>Environmental Regulaton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Litgaton </w:t>
      </w:r>
      <w:r>
        <w:rPr>
          <w:rFonts w:ascii="Calibri" w:cs="Calibri" w:eastAsia="Calibri" w:hAnsi="Calibri"/>
          <w:sz w:val="18"/>
          <w:szCs w:val="18"/>
          <w:color w:val="auto"/>
        </w:rPr>
        <w:t>secton). The depth of overburden (the layer of soil and other materials that lie above a mineral deposit) and the quality and quantty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aggregates reserves are signifcant factors in determining whether to pursue opening the site. Further, the estmated average selling price for products in a market is also a signifcant factor in concluding that reserves are economically mineable. If the Company’s analysis based on these factors is satsfactory, the total aggregates reserves available are calculated and a determinaton is made whether to open the locaton. Reserve evaluaton at existng locatons is typically performed to evaluate purchasing adjoining propertes, for quality control, calculatng overburden volumes and for mine planning. Reserve evaluaton of acquisitons may require a higher degree of sampling to verify the total reserves.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quality of reserves within a deposit can vary. Constructon contracts, for the infrastructure market in partcular, include specifcatons related to the aggregates material propertes. If a limitng characteristc in the deposit is discovered, the aggregates material may not meet the required specifcatons. Although it is possible that the aggregates material can stll be used for non-specifcaton uses, this can have an adverse impact on the Company’s ability to serve certain customers or the Company’s proftability. In additon, other factors can arise that infuence the Company’s ability to develop reserves, including geological occurrences, mining practces, environmental requirements and zoning ordinances.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determining the amount of reserves, evaluatons are completed by or under the supervision of qualifed person(s) using industry best practces and internal controls defned by the Company. The designatons the Company uses for reserve categories and those recognized by the aggregate industry are summarized as follows:</w:t>
      </w:r>
    </w:p>
    <w:p>
      <w:pPr>
        <w:spacing w:after="0" w:line="111" w:lineRule="exact"/>
        <w:rPr>
          <w:sz w:val="20"/>
          <w:szCs w:val="20"/>
          <w:color w:val="auto"/>
        </w:rPr>
      </w:pPr>
    </w:p>
    <w:p>
      <w:pPr>
        <w:jc w:val="both"/>
        <w:ind w:left="800"/>
        <w:spacing w:after="0" w:line="235" w:lineRule="auto"/>
        <w:rPr>
          <w:sz w:val="20"/>
          <w:szCs w:val="20"/>
          <w:color w:val="auto"/>
        </w:rPr>
      </w:pPr>
      <w:r>
        <w:rPr>
          <w:rFonts w:ascii="Calibri" w:cs="Calibri" w:eastAsia="Calibri" w:hAnsi="Calibri"/>
          <w:sz w:val="18"/>
          <w:szCs w:val="18"/>
          <w:i w:val="1"/>
          <w:iCs w:val="1"/>
          <w:color w:val="auto"/>
        </w:rPr>
        <w:t xml:space="preserve">Mineral Reserves </w:t>
      </w:r>
      <w:r>
        <w:rPr>
          <w:rFonts w:ascii="Calibri" w:cs="Calibri" w:eastAsia="Calibri" w:hAnsi="Calibri"/>
          <w:sz w:val="18"/>
          <w:szCs w:val="18"/>
          <w:color w:val="auto"/>
        </w:rPr>
        <w:t>– Mineral reserves are an estmate of tonnage and grade or quality that, in the opinion of a qualifed person, can be the basis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 economically viable project. More specifcally, it is the economically mineable part of a mineral resource, which includes dilutng materials and allowances for losses that may occur when the material is mined or extracted. Reserves are categorized as Proven and Probable and represent net tons afer consideraton of applicable losses incurred during mining and plant processing.</w:t>
      </w:r>
    </w:p>
    <w:p>
      <w:pPr>
        <w:spacing w:after="0" w:line="111" w:lineRule="exact"/>
        <w:rPr>
          <w:sz w:val="20"/>
          <w:szCs w:val="20"/>
          <w:color w:val="auto"/>
        </w:rPr>
      </w:pPr>
    </w:p>
    <w:p>
      <w:pPr>
        <w:jc w:val="both"/>
        <w:ind w:left="800"/>
        <w:spacing w:after="0" w:line="235" w:lineRule="auto"/>
        <w:rPr>
          <w:sz w:val="20"/>
          <w:szCs w:val="20"/>
          <w:color w:val="auto"/>
        </w:rPr>
      </w:pPr>
      <w:r>
        <w:rPr>
          <w:rFonts w:ascii="Calibri" w:cs="Calibri" w:eastAsia="Calibri" w:hAnsi="Calibri"/>
          <w:sz w:val="18"/>
          <w:szCs w:val="18"/>
          <w:i w:val="1"/>
          <w:iCs w:val="1"/>
          <w:color w:val="auto"/>
        </w:rPr>
        <w:t xml:space="preserve">Proven Reserves </w:t>
      </w:r>
      <w:r>
        <w:rPr>
          <w:rFonts w:ascii="Calibri" w:cs="Calibri" w:eastAsia="Calibri" w:hAnsi="Calibri"/>
          <w:sz w:val="18"/>
          <w:szCs w:val="18"/>
          <w:color w:val="auto"/>
        </w:rPr>
        <w:t>– Proven reserves are the porton of a mineral deposit for which quantty and quality are estmated on the basis of conclusive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evidence from closely spaced drilling and sampling.</w:t>
      </w:r>
    </w:p>
    <w:p>
      <w:pPr>
        <w:spacing w:after="0" w:line="110" w:lineRule="exact"/>
        <w:rPr>
          <w:sz w:val="20"/>
          <w:szCs w:val="20"/>
          <w:color w:val="auto"/>
        </w:rPr>
      </w:pPr>
    </w:p>
    <w:p>
      <w:pPr>
        <w:jc w:val="both"/>
        <w:ind w:left="800"/>
        <w:spacing w:after="0" w:line="235" w:lineRule="auto"/>
        <w:rPr>
          <w:sz w:val="20"/>
          <w:szCs w:val="20"/>
          <w:color w:val="auto"/>
        </w:rPr>
      </w:pPr>
      <w:r>
        <w:rPr>
          <w:rFonts w:ascii="Calibri" w:cs="Calibri" w:eastAsia="Calibri" w:hAnsi="Calibri"/>
          <w:sz w:val="18"/>
          <w:szCs w:val="18"/>
          <w:i w:val="1"/>
          <w:iCs w:val="1"/>
          <w:color w:val="auto"/>
        </w:rPr>
        <w:t xml:space="preserve">Probable Reserves </w:t>
      </w:r>
      <w:r>
        <w:rPr>
          <w:rFonts w:ascii="Calibri" w:cs="Calibri" w:eastAsia="Calibri" w:hAnsi="Calibri"/>
          <w:sz w:val="18"/>
          <w:szCs w:val="18"/>
          <w:color w:val="auto"/>
        </w:rPr>
        <w:t>– Probable reserves are estmated on the basis of less geologic evidence but are considered adequate for determining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quantty and quality.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Company’s proven and probable reserves refect reasonable economic and operatng constraints and also include reserves at the Company’s inactve and undeveloped sites, including some sites where permitng and zoning applicatons will not be pursued untl warranted by expected future growth. The Company has historically been successful in obtaining and maintaining appropriate zoning and permitng (see </w:t>
      </w:r>
      <w:r>
        <w:rPr>
          <w:rFonts w:ascii="Calibri" w:cs="Calibri" w:eastAsia="Calibri" w:hAnsi="Calibri"/>
          <w:sz w:val="18"/>
          <w:szCs w:val="18"/>
          <w:i w:val="1"/>
          <w:iCs w:val="1"/>
          <w:color w:val="auto"/>
        </w:rPr>
        <w:t>Environmental Regulaton and Litgaton</w:t>
      </w:r>
      <w:r>
        <w:rPr>
          <w:rFonts w:ascii="Calibri" w:cs="Calibri" w:eastAsia="Calibri" w:hAnsi="Calibri"/>
          <w:sz w:val="18"/>
          <w:szCs w:val="18"/>
          <w:color w:val="auto"/>
        </w:rPr>
        <w:t xml:space="preserve"> secton). The Company bases estmates on the informaton known at the tme of determinaton and regularly reevaluates reserves whenever new informaton indicates a material change in reserves at one of the Company’s sites.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For additonal informaton about property, plant and equipment, see Note F to the consolidated fnancial statements.</w:t>
      </w:r>
    </w:p>
    <w:p>
      <w:pPr>
        <w:spacing w:after="0" w:line="1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0" w:name="page61"/>
    <w:bookmarkEnd w:id="60"/>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Forward-Looking Statements – Safe Harbor Provisions Under the Private Securites Litgaton Reform Act of 1995</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you are interested in Martn Marieta stock, management recommends that, at a minimum, you read the Company’s current annual report and Forms 10-K, 10-Q and 8-K reports to the Securites and Exchange Commission (SEC) over the past year. The Company’s recent proxy statement for the annual meetng of shareholders also contains important informaton. These and other materials that have been fled with the SEC are accessible through the Company’s website at www.martnmarieta.com and are also available at the SEC’s website at www.sec.gov. You may also write or call the Company’s Corporate Secretary, who will provide copies of such reports.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Investors are cautoned that all statements in this Annual Report that relate to the future involve risks and uncertaintes, and are based on assumptons that the Company believes in good faith are reasonable but which may be materially diferent from actual results. These statements, which are forward-looking statements within the meaning of Secton 21E of the Securites Exchange Act of 1934 and 27A of the Securites Act of 1933, and are made pursuant to the safe harbor provisions of the Private Securites Litgaton Reform Act of 1995, provide the investor with the Company’s expectatons or forecasts of future events. You can identfy these statements by the fact that they do not relate only to historical or current facts. They may use words such as “antcipate,” “may,” “expect,” “should,” “believe,” “project,” “intend,” “will,” and other words of similar meaning in connecton with future events or future operatng or fnancial performance. In additon to the statements included in this report, we may from tme to tme make other oral or writen forward-looking statements in other flings under the Securites Exchange Act of 1934 or in other public disclosures. Any, or all, of management’s forward-looking statements herein and in other publicatons may turn out to be wrong.</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forward-looking statements are subject to risks and uncertaintes, and are based on assumptons that may be materially diferent from actual results, and include, but are not limited to:</w:t>
      </w:r>
    </w:p>
    <w:p>
      <w:pPr>
        <w:spacing w:after="0" w:line="118" w:lineRule="exact"/>
        <w:rPr>
          <w:sz w:val="20"/>
          <w:szCs w:val="20"/>
          <w:color w:val="auto"/>
        </w:rPr>
      </w:pPr>
    </w:p>
    <w:p>
      <w:pPr>
        <w:ind w:left="800" w:hanging="397"/>
        <w:spacing w:after="0"/>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the Company to face challenges, including shipment declines resultng from economic events beyond the Company's control;</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widespread decline in aggregates pricing, including a decline in aggregates shipment volume negatvely afectng aggregates price;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history of both cement and ready mixed concrete being subject to signifcant changes in supply, demand and price fuctuatons;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terminaton, capping and/or reducton or suspension of the federal and/or state fuel tax(es) or other revenue related to public constructon;</w:t>
      </w:r>
    </w:p>
    <w:p>
      <w:pPr>
        <w:spacing w:after="0" w:line="68" w:lineRule="exact"/>
        <w:rPr>
          <w:rFonts w:ascii="Times New Roman" w:cs="Times New Roman" w:eastAsia="Times New Roman" w:hAnsi="Times New Roman"/>
          <w:sz w:val="18"/>
          <w:szCs w:val="18"/>
          <w:color w:val="auto"/>
        </w:rPr>
      </w:pPr>
    </w:p>
    <w:p>
      <w:pPr>
        <w:ind w:left="800" w:right="20" w:hanging="397"/>
        <w:spacing w:after="0" w:line="235" w:lineRule="auto"/>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level and tming of federal, state or local transportaton or infrastructure or public projects funding, most partcularly in Texas, North Carolina, Colorado, California, Georgia, Florida, Minnesota, Arizona, South Carolina and Iowa;</w:t>
      </w:r>
    </w:p>
    <w:p>
      <w:pPr>
        <w:spacing w:after="0" w:line="69"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United States Congress’ inability to reach agreement among themselves or with the Executve Branch of the United States Federal government on policy issues that impact the federal budget;</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states and/or other enttes to fnance approved projects either with tax revenues or alternatve fnancing structures;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levels of constructon spending in the markets the Company serves;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reducton in defense spending and the subsequent impact on constructon actvity on or near military bases;</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decline in energy-related constructon actvity resultng from a sustained period of low global oil prices or changes in oil producton paterns or capital spending in response to such a decline, partcularly in Texas and West Virginia;</w:t>
      </w:r>
    </w:p>
    <w:p>
      <w:pPr>
        <w:spacing w:after="0" w:line="69"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sustained high mortgage interest rates and other factors that have resulted in a slowdown in private constructon of both residental and nonresidental projects in some geographies;</w:t>
      </w:r>
    </w:p>
    <w:p>
      <w:pPr>
        <w:spacing w:after="0" w:line="69" w:lineRule="exact"/>
        <w:rPr>
          <w:rFonts w:ascii="Times New Roman" w:cs="Times New Roman" w:eastAsia="Times New Roman" w:hAnsi="Times New Roman"/>
          <w:sz w:val="18"/>
          <w:szCs w:val="18"/>
          <w:color w:val="auto"/>
        </w:rPr>
      </w:pPr>
    </w:p>
    <w:p>
      <w:pPr>
        <w:jc w:val="both"/>
        <w:ind w:left="800" w:hanging="397"/>
        <w:spacing w:after="0" w:line="235" w:lineRule="auto"/>
        <w:tabs>
          <w:tab w:leader="none" w:pos="8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unfavorable weather conditons, partcularly Atlantc Ocean, Pacifc Ocean and Gulf of Mexico storm and hurricane actvity, wildfres, the late start to spring or the early onset of winter and the impact of a drought, excessive rainfall or extreme temperatures in the markets served by the Company, any of which can signifcantly afect producton schedules, volumes, product and/or geographic mix and proftability;</w:t>
      </w:r>
    </w:p>
    <w:p>
      <w:pPr>
        <w:spacing w:after="0" w:line="12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1" w:name="page62"/>
    <w:bookmarkEnd w:id="61"/>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87" w:lineRule="exact"/>
        <w:rPr>
          <w:sz w:val="20"/>
          <w:szCs w:val="20"/>
          <w:color w:val="auto"/>
        </w:rPr>
      </w:pPr>
    </w:p>
    <w:p>
      <w:pPr>
        <w:jc w:val="both"/>
        <w:ind w:left="780" w:hanging="397"/>
        <w:spacing w:after="0" w:line="235" w:lineRule="auto"/>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volatlity of fuel and energy costs, partcularly diesel fuel, electricity, natural gas and the impact on the cost, or the availability generally, of other consumables, namely steel, explosives, tres and conveyor belts, and with respect to the Company’s Magnesia Specialtes business, natural gas;</w:t>
      </w:r>
    </w:p>
    <w:p>
      <w:pPr>
        <w:spacing w:after="0" w:line="65"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contnued increases in the cost of other repair and supply parts;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constructon labor shortages and/or supply chain challenges;</w:t>
      </w:r>
    </w:p>
    <w:p>
      <w:pPr>
        <w:spacing w:after="0" w:line="68"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unexpected equipment failures, unscheduled maintenance, industrial accident or other prolonged and/or signifcant disrupton to producton facilites;</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resiliency and potental declines of the Company's various constructon end-use markets;</w:t>
      </w:r>
    </w:p>
    <w:p>
      <w:pPr>
        <w:spacing w:after="0" w:line="68" w:lineRule="exact"/>
        <w:rPr>
          <w:rFonts w:ascii="Times New Roman" w:cs="Times New Roman" w:eastAsia="Times New Roman" w:hAnsi="Times New Roman"/>
          <w:sz w:val="18"/>
          <w:szCs w:val="18"/>
          <w:color w:val="auto"/>
        </w:rPr>
      </w:pPr>
    </w:p>
    <w:p>
      <w:pPr>
        <w:jc w:val="both"/>
        <w:ind w:left="780" w:hanging="397"/>
        <w:spacing w:after="0" w:line="235" w:lineRule="auto"/>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potental negatve impacts of new waves of outbreak of diseases, epidemic or pandemic, or similar public health threat, or fear of such event and its related economic or societal response, including any impact on the Company's suppliers, customers, or other business partners as well as on its employees;</w:t>
      </w:r>
    </w:p>
    <w:p>
      <w:pPr>
        <w:spacing w:after="0" w:line="65"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performance of the United States economy;</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Governmental regulaton, including environmental laws and climate change regulatons at both the state and federal levels;</w:t>
      </w:r>
    </w:p>
    <w:p>
      <w:pPr>
        <w:spacing w:after="0" w:line="68" w:lineRule="exact"/>
        <w:rPr>
          <w:rFonts w:ascii="Times New Roman" w:cs="Times New Roman" w:eastAsia="Times New Roman" w:hAnsi="Times New Roman"/>
          <w:sz w:val="18"/>
          <w:szCs w:val="18"/>
          <w:color w:val="auto"/>
        </w:rPr>
      </w:pPr>
    </w:p>
    <w:p>
      <w:pPr>
        <w:jc w:val="both"/>
        <w:ind w:left="780" w:hanging="397"/>
        <w:spacing w:after="0" w:line="235" w:lineRule="auto"/>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transportaton availability or a sustained reducton in capital investment by the railroads, notably the availability of railcars, locomotve power and the conditon of rail infrastructure to move trains to supply the Company’s Texas, Southeast and Gulf Coast markets, including the movement of essental dolomitc lime for magnesia chemicals to the Company’s plant in Manistee, Michigan and its customers;</w:t>
      </w:r>
    </w:p>
    <w:p>
      <w:pPr>
        <w:spacing w:after="0" w:line="70"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increased transportaton costs, including increases from higher or fuctuatng passed-through energy costs or fuel surcharges, and other costs to comply with tghtening regulatons, as well as higher volumes of rail and water shipments;</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availability of trucks and licensed drivers for transport of the Company’s materials;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availability and cost of constructon equipment in the United States;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weakening in the steel industry markets served by the Company’s dolomitc lime products;</w:t>
      </w:r>
    </w:p>
    <w:p>
      <w:pPr>
        <w:spacing w:after="0" w:line="68"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impact on costs, supply chain, oil and gas prices, or other maters relatng to geopolitcal conficts, including the war between Russia and Ukraine, the war in Israel and related confict in the Middle East and the potental confict between China and Taiwan;</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trade disputes with one or more natons impactng the U.S. economy, including the impact of tarifs;</w:t>
      </w:r>
    </w:p>
    <w:p>
      <w:pPr>
        <w:spacing w:after="0" w:line="68"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7"/>
          <w:szCs w:val="17"/>
          <w:color w:val="auto"/>
        </w:rPr>
      </w:pPr>
      <w:r>
        <w:rPr>
          <w:rFonts w:ascii="Calibri" w:cs="Calibri" w:eastAsia="Calibri" w:hAnsi="Calibri"/>
          <w:sz w:val="17"/>
          <w:szCs w:val="17"/>
          <w:color w:val="auto"/>
        </w:rPr>
        <w:t>unplanned changes in costs or realignment of customers that introduce volatlity to earnings, including that of the Magnesia Specialtes business;</w:t>
      </w:r>
    </w:p>
    <w:p>
      <w:pPr>
        <w:spacing w:after="0" w:line="71" w:lineRule="exact"/>
        <w:rPr>
          <w:rFonts w:ascii="Times New Roman" w:cs="Times New Roman" w:eastAsia="Times New Roman" w:hAnsi="Times New Roman"/>
          <w:sz w:val="17"/>
          <w:szCs w:val="17"/>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proper functoning of informaton technology and automated operatng systems to manage or support operatons;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infaton and its efect on both producton and interest costs;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concentraton of customers in constructon markets and the increased risk of potental losses on customer receivables;</w:t>
      </w:r>
    </w:p>
    <w:p>
      <w:pPr>
        <w:spacing w:after="0" w:line="68" w:lineRule="exact"/>
        <w:rPr>
          <w:rFonts w:ascii="Times New Roman" w:cs="Times New Roman" w:eastAsia="Times New Roman" w:hAnsi="Times New Roman"/>
          <w:sz w:val="18"/>
          <w:szCs w:val="18"/>
          <w:color w:val="auto"/>
        </w:rPr>
      </w:pPr>
    </w:p>
    <w:p>
      <w:pPr>
        <w:ind w:left="780" w:right="20" w:hanging="397"/>
        <w:spacing w:after="0" w:line="235" w:lineRule="auto"/>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the level of demand in the Company’s end-use markets, producton levels and management of producton costs on the operatng leverage and therefore proftability of the Company;</w:t>
      </w:r>
    </w:p>
    <w:p>
      <w:pPr>
        <w:spacing w:after="0" w:line="69"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possibility that the expected synergies from acquisitons will not be realized or will not be realized within the expected tme period, including achieving antcipated proftability to maintain compliance with the Company’s leverage rato debt covenant;</w:t>
      </w:r>
    </w:p>
    <w:p>
      <w:pPr>
        <w:spacing w:after="0" w:line="69"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possibility that the strategic benefts, outlook, performance and opportunites expected as a result of acquisitons and portolio optmizaton will not be realized;</w:t>
      </w:r>
    </w:p>
    <w:p>
      <w:pPr>
        <w:spacing w:after="0" w:line="69"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tax laws, the interpretaton of such laws and/or administratve practces, including acquisitons or divesttures, that would increase the Company’s tax rate;</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violaton of the Company’s debt covenant if price and/or volumes return to previous levels of instability;</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downward pressure on the Company’s common stock price and its impact on goodwill impairment evaluatons;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possibility of a reducton of the Company’s credit ratng to non-investment grade; and</w:t>
      </w:r>
    </w:p>
    <w:p>
      <w:pPr>
        <w:spacing w:after="0" w:line="12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-175260</wp:posOffset>
            </wp:positionV>
            <wp:extent cx="325755" cy="196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0" w:right="339" w:bottom="1440" w:gutter="0" w:footer="0" w:header="0"/>
        </w:sectPr>
      </w:pPr>
    </w:p>
    <w:bookmarkStart w:id="62" w:name="page63"/>
    <w:bookmarkEnd w:id="62"/>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82" w:lineRule="exact"/>
        <w:rPr>
          <w:sz w:val="20"/>
          <w:szCs w:val="20"/>
          <w:color w:val="auto"/>
        </w:rPr>
      </w:pPr>
    </w:p>
    <w:p>
      <w:pPr>
        <w:ind w:left="800" w:hanging="397"/>
        <w:spacing w:after="0"/>
        <w:tabs>
          <w:tab w:leader="none" w:pos="8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 risk factors listed from tme to tme found in the Company’s flings with the SEC.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increased highway constructon funding pressures resultng from either federal or state issues could result in reduced constructon spending, which could in turn afect proftability. Cement is subject to cyclical supply and demand and price fuctuatons.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principal business serves customers in constructon markets. This concentraton could increase the risk of potental losses on customer receivables; however, payment bonds normally posted on public projects, together with lien rights on private projects, mitgate the risk of uncollectble receivables. The level of demand in the Company’s end-use markets, producton levels and the management of producton costs will afect the operatng leverage of the Building Materials business and, therefore, proftability. Producton costs in the Building Materials business are also sensitve to energy and raw material prices, both directly and indirectly. Diesel fuel, natural gas, coal and other consumables change producton costs directly through consumpton or indirectly by increased energy-related input costs, such as steel, explosives, tres and conveyor belts. Fluctuatng diesel fuel pricing also afects transportaton costs, primarily through fuel surcharges in the Company’s long-haul distributon network. The Magnesia Specialtes business is sensitve to changes in domestc steel capacity utlizaton as well as the absolute price and fuctuaton in the cost of natural gas.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Transportaton in the Company’s long-haul network, partcularly the supply of railcars and locomotve power and conditon of rail infrastructure to move trains, afects the Company’s efcient transportaton of aggregates products in certain markets, most notably Texas, the Southeast and the Gulf Coast. In additon, availability of railcars and locomotves afects the Company’s movement of essental dolomitc lime for magnesia chemicals to both the Company’s plant in Manistee, Michigan, and its customers. The availability of trucks, drivers and railcars to transport the Company’s products, partcularly in markets experiencing high growth and increased demand, is also a risk and pressures the associated costs.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of the Company’s businesses are also subject to weather-related risks that can signifcantly afect producton schedules and proftability. The frst and fourth quarters are most adversely afected by winter weather. Hurricane and cyclone actvity in the Atlantc Ocean, Pacifc Ocean and Gulf Coast generally is most actve during the second, third and fourth quarters.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additon to the foregoing, other factors that could cause actual results to difer materially from the forward-looking statements in this Annual Report include but are not limited to those listed above in </w:t>
      </w:r>
      <w:r>
        <w:rPr>
          <w:rFonts w:ascii="Calibri" w:cs="Calibri" w:eastAsia="Calibri" w:hAnsi="Calibri"/>
          <w:sz w:val="18"/>
          <w:szCs w:val="18"/>
          <w:color w:val="007DC6"/>
        </w:rPr>
        <w:t>Item 1, Business – Competton</w:t>
      </w:r>
      <w:r>
        <w:rPr>
          <w:rFonts w:ascii="Calibri" w:cs="Calibri" w:eastAsia="Calibri" w:hAnsi="Calibri"/>
          <w:sz w:val="18"/>
          <w:szCs w:val="18"/>
          <w:color w:val="auto"/>
        </w:rPr>
        <w:t xml:space="preserve">, </w:t>
      </w:r>
      <w:r>
        <w:rPr>
          <w:rFonts w:ascii="Calibri" w:cs="Calibri" w:eastAsia="Calibri" w:hAnsi="Calibri"/>
          <w:sz w:val="18"/>
          <w:szCs w:val="18"/>
          <w:color w:val="007DC6"/>
        </w:rPr>
        <w:t>Item 1A, Risk Factors</w:t>
      </w:r>
      <w:r>
        <w:rPr>
          <w:rFonts w:ascii="Calibri" w:cs="Calibri" w:eastAsia="Calibri" w:hAnsi="Calibri"/>
          <w:sz w:val="18"/>
          <w:szCs w:val="18"/>
          <w:color w:val="auto"/>
        </w:rPr>
        <w:t xml:space="preserve">, and </w:t>
      </w:r>
      <w:r>
        <w:rPr>
          <w:rFonts w:ascii="Calibri" w:cs="Calibri" w:eastAsia="Calibri" w:hAnsi="Calibri"/>
          <w:sz w:val="18"/>
          <w:szCs w:val="18"/>
          <w:u w:val="single" w:color="auto"/>
          <w:color w:val="007DC6"/>
        </w:rPr>
        <w:t>Note A: Accountng Policies</w:t>
      </w:r>
      <w:r>
        <w:rPr>
          <w:rFonts w:ascii="Calibri" w:cs="Calibri" w:eastAsia="Calibri" w:hAnsi="Calibri"/>
          <w:sz w:val="18"/>
          <w:szCs w:val="18"/>
          <w:color w:val="auto"/>
        </w:rPr>
        <w:t xml:space="preserve"> and </w:t>
      </w:r>
      <w:r>
        <w:rPr>
          <w:rFonts w:ascii="Calibri" w:cs="Calibri" w:eastAsia="Calibri" w:hAnsi="Calibri"/>
          <w:sz w:val="18"/>
          <w:szCs w:val="18"/>
          <w:u w:val="single" w:color="auto"/>
          <w:color w:val="007DC6"/>
        </w:rPr>
        <w:t>Note 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Commitments and Contngencies</w:t>
      </w:r>
      <w:r>
        <w:rPr>
          <w:rFonts w:ascii="Calibri" w:cs="Calibri" w:eastAsia="Calibri" w:hAnsi="Calibri"/>
          <w:sz w:val="18"/>
          <w:szCs w:val="18"/>
          <w:color w:val="007DC6"/>
        </w:rPr>
        <w:t xml:space="preserve"> </w:t>
      </w:r>
      <w:r>
        <w:rPr>
          <w:rFonts w:ascii="Calibri" w:cs="Calibri" w:eastAsia="Calibri" w:hAnsi="Calibri"/>
          <w:sz w:val="18"/>
          <w:szCs w:val="18"/>
          <w:color w:val="000000"/>
        </w:rPr>
        <w:t>of the</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007DC6"/>
        </w:rPr>
        <w:t xml:space="preserve"> </w:t>
      </w:r>
      <w:r>
        <w:rPr>
          <w:rFonts w:ascii="Calibri" w:cs="Calibri" w:eastAsia="Calibri" w:hAnsi="Calibri"/>
          <w:sz w:val="18"/>
          <w:szCs w:val="18"/>
          <w:color w:val="000000"/>
        </w:rPr>
        <w:t>of the audited consolidated fnancial statements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-154940</wp:posOffset>
            </wp:positionV>
            <wp:extent cx="47250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31750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3175000" cy="8255"/>
                    </a:xfrm>
                    <a:prstGeom prst="rect">
                      <a:avLst/>
                    </a:prstGeom>
                    <a:noFill/>
                  </pic:spPr>
                </pic:pic>
              </a:graphicData>
            </a:graphic>
          </wp:anchor>
        </w:drawing>
      </w:r>
    </w:p>
    <w:p>
      <w:pPr>
        <w:spacing w:after="0" w:line="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should consider these forward-looking statements in light of risk factors discussed in the Company’s Annual Report on Form 10-K for the year ended December 31, 2024 and other flings made with the SEC. All of the Company’s forward-looking statements should be considered in light of these factors. In additon, other risks and uncertaintes not presently known to the Company or that the Company considers immaterial could afect the accuracy of its forward-looking statements, or adversely afect or be material to the Company. All forward-looking statements are made as of the date of fling or publicaton and we assume no obligaton to update any such forward-looking statements.</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3" w:name="page64"/>
    <w:bookmarkEnd w:id="63"/>
    <w:p>
      <w:pPr>
        <w:ind w:left="5580"/>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7A – Quanttatve and Qualitatve Disclosures About Market Risk</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7A – QUANTITATIVE AND QUALITATIVE DISCLOSURES ABOUT MARKET RISK</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discussed earlier, the Company’s operatons are highly dependent upon the interest rate-sensitve constructon and steelmaking industries. Consequently, these marketplaces could experience lower levels of economic actvity in an environment of rising interest rates or escalatng costs (see </w:t>
      </w:r>
      <w:r>
        <w:rPr>
          <w:rFonts w:ascii="Calibri" w:cs="Calibri" w:eastAsia="Calibri" w:hAnsi="Calibri"/>
          <w:sz w:val="18"/>
          <w:szCs w:val="18"/>
          <w:i w:val="1"/>
          <w:iCs w:val="1"/>
          <w:color w:val="auto"/>
        </w:rPr>
        <w:t>Business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Environment </w:t>
      </w:r>
      <w:r>
        <w:rPr>
          <w:rFonts w:ascii="Calibri" w:cs="Calibri" w:eastAsia="Calibri" w:hAnsi="Calibri"/>
          <w:sz w:val="18"/>
          <w:szCs w:val="18"/>
          <w:color w:val="auto"/>
        </w:rPr>
        <w:t>secton included under Item 7 – MD&amp;A of this Form 10-K).</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has considered the current economic environment and its potental impact to the Company’s business. Demand for aggregates products, partcularly in the infrastructure constructon market, is afected by federal, state and local budget and defcit issues. Further, delays or cancellatons of capital projects in the nonresidental and residental constructon markets could occur if companies and consumers are unable to obtain afordable fnancing for constructon projects or if consumer confdence is eroded by economic uncertainty.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Demand in the nonresidental and residental constructon markets, which combined accounted for 58% of the Company's 2024 aggregates shipments, is afected by interest rates. While the Federal Reserve lowered the target federal funds rate several tmes during 2024, it remains above historical levels.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Aside from these inherent risks from within its operatons, the Company’s earnings are also afected by changes in short-term interest rates and changes in enacted tax laws.</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Variable-Rate Borrowing Facilites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2024, the Company had an $800 million Revolving Facility and a $400 million Trade Receivable Facility. Borrowings under these facilites bear interest at a variable interest rate. As of December 31, 2024, the Company did not have any outstanding variable-rate borrowings. However, any future borrowings under the credit facilites or outstanding variable-rate debt are exposed to interest rate risk.</w:t>
      </w:r>
    </w:p>
    <w:p>
      <w:pPr>
        <w:spacing w:after="0" w:line="187"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Pension Expense</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Company’s results of operatons are afected by its pension expense. Assumptons that afect pension expense include the discount rate and, for the qualifed defned beneft pension plan only, the expected long-term rate of return on pension assets. Therefore, the Company has interest rate risk associated with these factors. The impact of hypothetcal changes in these assumptons on the Company’s annual pension expense and accrued pension obligaton is discussed in the </w:t>
      </w:r>
      <w:r>
        <w:rPr>
          <w:rFonts w:ascii="Calibri" w:cs="Calibri" w:eastAsia="Calibri" w:hAnsi="Calibri"/>
          <w:sz w:val="18"/>
          <w:szCs w:val="18"/>
          <w:i w:val="1"/>
          <w:iCs w:val="1"/>
          <w:color w:val="auto"/>
        </w:rPr>
        <w:t>Critcal Accountng Policies and Estmates – Pension Beneft Obligaton and Pension Expense – Selecton of Assumptons</w:t>
      </w:r>
      <w:r>
        <w:rPr>
          <w:rFonts w:ascii="Calibri" w:cs="Calibri" w:eastAsia="Calibri" w:hAnsi="Calibri"/>
          <w:sz w:val="18"/>
          <w:szCs w:val="18"/>
          <w:color w:val="auto"/>
        </w:rPr>
        <w:t xml:space="preserve"> secton included under Item 7 – MD&amp;A of this Form 10-K.</w:t>
      </w:r>
    </w:p>
    <w:p>
      <w:pPr>
        <w:spacing w:after="0" w:line="17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Income Tax</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changes in enacted tax laws, rules or regulatory or judicial interpretaton, or any change in the pronouncements relatng to accountng for income taxes, could materially impact the Company's efectve tax rate, tax payments, cash fow, fnancial conditon and 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Energy Costs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Energy costs, including diesel fuel, natural gas, electricity, coal and petroleum coke, represent signifcant producton costs of the Company. The cement product line and Magnesia Specialtes business each have varying fxed-price agreements for a porton of their future energy requirements. The Company may be unable to pass along increases in the costs of energy to customers in the form of price increases for the Company’s products. A hypothetcal 10% change in the Company’s energy prices in 2025 as compared with 2024, assuming constant volumes, would change 2025 energy expense by $32 million.</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308"/>
        </w:trPr>
        <w:tc>
          <w:tcPr>
            <w:tcW w:w="1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0" w:type="dxa"/>
            <w:vAlign w:val="bottom"/>
            <w:gridSpan w:val="2"/>
          </w:tcPr>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tc>
        <w:tc>
          <w:tcPr>
            <w:tcW w:w="0" w:type="dxa"/>
            <w:vAlign w:val="bottom"/>
          </w:tcPr>
          <w:p>
            <w:pPr>
              <w:spacing w:after="0"/>
              <w:rPr>
                <w:sz w:val="1"/>
                <w:szCs w:val="1"/>
                <w:color w:val="auto"/>
              </w:rPr>
            </w:pPr>
          </w:p>
        </w:tc>
      </w:tr>
      <w:tr>
        <w:trPr>
          <w:trHeight w:val="487"/>
        </w:trPr>
        <w:tc>
          <w:tcPr>
            <w:tcW w:w="11240" w:type="dxa"/>
            <w:vAlign w:val="bottom"/>
            <w:gridSpan w:val="14"/>
          </w:tcPr>
          <w:p>
            <w:pPr>
              <w:spacing w:after="0"/>
              <w:rPr>
                <w:sz w:val="20"/>
                <w:szCs w:val="20"/>
                <w:color w:val="auto"/>
              </w:rPr>
            </w:pPr>
            <w:r>
              <w:rPr>
                <w:rFonts w:ascii="Calibri" w:cs="Calibri" w:eastAsia="Calibri" w:hAnsi="Calibri"/>
                <w:sz w:val="25"/>
                <w:szCs w:val="25"/>
                <w:b w:val="1"/>
                <w:bCs w:val="1"/>
                <w:color w:val="auto"/>
              </w:rPr>
              <w:t>ITEM 8 – FINANCIAL STATEMENTS AND SUPPLEMENTARY DATA</w:t>
            </w:r>
          </w:p>
        </w:tc>
        <w:tc>
          <w:tcPr>
            <w:tcW w:w="0" w:type="dxa"/>
            <w:vAlign w:val="bottom"/>
          </w:tcPr>
          <w:p>
            <w:pPr>
              <w:spacing w:after="0"/>
              <w:rPr>
                <w:sz w:val="1"/>
                <w:szCs w:val="1"/>
                <w:color w:val="auto"/>
              </w:rPr>
            </w:pPr>
          </w:p>
        </w:tc>
      </w:tr>
      <w:tr>
        <w:trPr>
          <w:trHeight w:val="333"/>
        </w:trPr>
        <w:tc>
          <w:tcPr>
            <w:tcW w:w="6240" w:type="dxa"/>
            <w:vAlign w:val="bottom"/>
            <w:gridSpan w:val="12"/>
          </w:tcPr>
          <w:p>
            <w:pPr>
              <w:ind w:left="20"/>
              <w:spacing w:after="0"/>
              <w:rPr>
                <w:sz w:val="20"/>
                <w:szCs w:val="20"/>
                <w:color w:val="auto"/>
              </w:rPr>
            </w:pPr>
            <w:r>
              <w:rPr>
                <w:rFonts w:ascii="Calibri" w:cs="Calibri" w:eastAsia="Calibri" w:hAnsi="Calibri"/>
                <w:sz w:val="18"/>
                <w:szCs w:val="18"/>
                <w:b w:val="1"/>
                <w:bCs w:val="1"/>
                <w:color w:val="007DC6"/>
              </w:rPr>
              <w:t>Index to Consolidated Financial Statements</w:t>
            </w:r>
          </w:p>
        </w:tc>
        <w:tc>
          <w:tcPr>
            <w:tcW w:w="414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Calibri" w:cs="Calibri" w:eastAsia="Calibri" w:hAnsi="Calibri"/>
                <w:sz w:val="18"/>
                <w:szCs w:val="18"/>
                <w:b w:val="1"/>
                <w:bCs w:val="1"/>
                <w:color w:val="007DC6"/>
              </w:rPr>
              <w:t>Page</w:t>
            </w: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4540" w:type="dxa"/>
            <w:vAlign w:val="bottom"/>
            <w:gridSpan w:val="11"/>
            <w:vMerge w:val="restart"/>
          </w:tcPr>
          <w:p>
            <w:pPr>
              <w:spacing w:after="0"/>
              <w:rPr>
                <w:sz w:val="20"/>
                <w:szCs w:val="20"/>
                <w:color w:val="auto"/>
              </w:rPr>
            </w:pPr>
            <w:r>
              <w:rPr>
                <w:rFonts w:ascii="Calibri" w:cs="Calibri" w:eastAsia="Calibri" w:hAnsi="Calibri"/>
                <w:sz w:val="18"/>
                <w:szCs w:val="18"/>
                <w:color w:val="007DC6"/>
              </w:rPr>
              <w:t>Statement of Responsibility and Management’s Report on</w:t>
            </w:r>
          </w:p>
        </w:tc>
        <w:tc>
          <w:tcPr>
            <w:tcW w:w="4140" w:type="dxa"/>
            <w:vAlign w:val="bottom"/>
          </w:tcPr>
          <w:p>
            <w:pPr>
              <w:spacing w:after="0"/>
              <w:rPr>
                <w:sz w:val="2"/>
                <w:szCs w:val="2"/>
                <w:color w:val="auto"/>
              </w:rPr>
            </w:pPr>
          </w:p>
        </w:tc>
        <w:tc>
          <w:tcPr>
            <w:tcW w:w="860" w:type="dxa"/>
            <w:vAlign w:val="bottom"/>
            <w:tcBorders>
              <w:bottom w:val="single" w:sz="8" w:color="007DC6"/>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700" w:type="dxa"/>
            <w:vAlign w:val="bottom"/>
          </w:tcPr>
          <w:p>
            <w:pPr>
              <w:spacing w:after="0"/>
              <w:rPr>
                <w:sz w:val="24"/>
                <w:szCs w:val="24"/>
                <w:color w:val="auto"/>
              </w:rPr>
            </w:pPr>
          </w:p>
        </w:tc>
        <w:tc>
          <w:tcPr>
            <w:tcW w:w="4540" w:type="dxa"/>
            <w:vAlign w:val="bottom"/>
            <w:gridSpan w:val="11"/>
            <w:vMerge w:val="continue"/>
          </w:tcPr>
          <w:p>
            <w:pPr>
              <w:spacing w:after="0"/>
              <w:rPr>
                <w:sz w:val="24"/>
                <w:szCs w:val="24"/>
                <w:color w:val="auto"/>
              </w:rPr>
            </w:pPr>
          </w:p>
        </w:tc>
        <w:tc>
          <w:tcPr>
            <w:tcW w:w="4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4140" w:type="dxa"/>
            <w:vAlign w:val="bottom"/>
            <w:tcBorders>
              <w:top w:val="single" w:sz="8" w:color="007DC6"/>
            </w:tcBorders>
            <w:gridSpan w:val="10"/>
          </w:tcPr>
          <w:p>
            <w:pPr>
              <w:spacing w:after="0" w:line="196" w:lineRule="exact"/>
              <w:rPr>
                <w:sz w:val="20"/>
                <w:szCs w:val="20"/>
                <w:color w:val="auto"/>
              </w:rPr>
            </w:pPr>
            <w:r>
              <w:rPr>
                <w:rFonts w:ascii="Calibri" w:cs="Calibri" w:eastAsia="Calibri" w:hAnsi="Calibri"/>
                <w:sz w:val="18"/>
                <w:szCs w:val="18"/>
                <w:color w:val="007DC6"/>
              </w:rPr>
              <w:t>Internal Control over Financial Reportng</w:t>
            </w:r>
          </w:p>
        </w:tc>
        <w:tc>
          <w:tcPr>
            <w:tcW w:w="400" w:type="dxa"/>
            <w:vAlign w:val="bottom"/>
          </w:tcPr>
          <w:p>
            <w:pPr>
              <w:spacing w:after="0"/>
              <w:rPr>
                <w:sz w:val="17"/>
                <w:szCs w:val="17"/>
                <w:color w:val="auto"/>
              </w:rPr>
            </w:pPr>
          </w:p>
        </w:tc>
        <w:tc>
          <w:tcPr>
            <w:tcW w:w="50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63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40" w:type="dxa"/>
            <w:vAlign w:val="bottom"/>
            <w:shd w:val="clear" w:color="auto" w:fill="007DC6"/>
          </w:tcPr>
          <w:p>
            <w:pPr>
              <w:spacing w:after="0" w:line="20" w:lineRule="exact"/>
              <w:rPr>
                <w:sz w:val="1"/>
                <w:szCs w:val="1"/>
                <w:color w:val="auto"/>
              </w:rPr>
            </w:pPr>
          </w:p>
        </w:tc>
        <w:tc>
          <w:tcPr>
            <w:tcW w:w="160" w:type="dxa"/>
            <w:vAlign w:val="bottom"/>
            <w:tcBorders>
              <w:left w:val="single" w:sz="8" w:color="007DC6"/>
              <w:right w:val="single" w:sz="8" w:color="007DC6"/>
            </w:tcBorders>
            <w:shd w:val="clear" w:color="auto" w:fill="007DC6"/>
          </w:tcPr>
          <w:p>
            <w:pPr>
              <w:spacing w:after="0" w:line="20" w:lineRule="exact"/>
              <w:rPr>
                <w:sz w:val="1"/>
                <w:szCs w:val="1"/>
                <w:color w:val="auto"/>
              </w:rPr>
            </w:pPr>
          </w:p>
        </w:tc>
        <w:tc>
          <w:tcPr>
            <w:tcW w:w="460" w:type="dxa"/>
            <w:vAlign w:val="bottom"/>
            <w:shd w:val="clear" w:color="auto" w:fill="007DC6"/>
          </w:tcPr>
          <w:p>
            <w:pPr>
              <w:spacing w:after="0" w:line="20" w:lineRule="exact"/>
              <w:rPr>
                <w:sz w:val="1"/>
                <w:szCs w:val="1"/>
                <w:color w:val="auto"/>
              </w:rPr>
            </w:pPr>
          </w:p>
        </w:tc>
        <w:tc>
          <w:tcPr>
            <w:tcW w:w="160" w:type="dxa"/>
            <w:vAlign w:val="bottom"/>
            <w:tcBorders>
              <w:right w:val="single" w:sz="8" w:color="0000EE"/>
            </w:tcBorders>
            <w:shd w:val="clear" w:color="auto" w:fill="007DC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4120" w:type="dxa"/>
            <w:vAlign w:val="bottom"/>
            <w:tcBorders>
              <w:bottom w:val="single" w:sz="8" w:color="007DC6"/>
            </w:tcBorders>
            <w:gridSpan w:val="9"/>
          </w:tcPr>
          <w:p>
            <w:pPr>
              <w:spacing w:after="0"/>
              <w:rPr>
                <w:sz w:val="20"/>
                <w:szCs w:val="20"/>
                <w:color w:val="auto"/>
              </w:rPr>
            </w:pPr>
            <w:r>
              <w:rPr>
                <w:rFonts w:ascii="Calibri" w:cs="Calibri" w:eastAsia="Calibri" w:hAnsi="Calibri"/>
                <w:sz w:val="18"/>
                <w:szCs w:val="18"/>
                <w:color w:val="007DC6"/>
                <w:w w:val="98"/>
              </w:rPr>
              <w:t>Report of Independent Registered Public Accountng Firm</w:t>
            </w:r>
          </w:p>
        </w:tc>
        <w:tc>
          <w:tcPr>
            <w:tcW w:w="420" w:type="dxa"/>
            <w:vAlign w:val="bottom"/>
            <w:gridSpan w:val="2"/>
          </w:tcPr>
          <w:p>
            <w:pPr>
              <w:spacing w:after="0"/>
              <w:rPr>
                <w:sz w:val="24"/>
                <w:szCs w:val="24"/>
                <w:color w:val="auto"/>
              </w:rPr>
            </w:pPr>
          </w:p>
        </w:tc>
        <w:tc>
          <w:tcPr>
            <w:tcW w:w="5000" w:type="dxa"/>
            <w:vAlign w:val="bottom"/>
            <w:gridSpan w:val="2"/>
          </w:tcPr>
          <w:p>
            <w:pPr>
              <w:jc w:val="right"/>
              <w:spacing w:after="0"/>
              <w:rPr>
                <w:sz w:val="20"/>
                <w:szCs w:val="20"/>
                <w:color w:val="auto"/>
              </w:rPr>
            </w:pPr>
            <w:r>
              <w:rPr>
                <w:rFonts w:ascii="Calibri" w:cs="Calibri" w:eastAsia="Calibri" w:hAnsi="Calibri"/>
                <w:sz w:val="18"/>
                <w:szCs w:val="18"/>
                <w:color w:val="auto"/>
              </w:rPr>
              <w:t>65</w:t>
            </w:r>
          </w:p>
        </w:tc>
        <w:tc>
          <w:tcPr>
            <w:tcW w:w="0" w:type="dxa"/>
            <w:vAlign w:val="bottom"/>
          </w:tcPr>
          <w:p>
            <w:pPr>
              <w:spacing w:after="0"/>
              <w:rPr>
                <w:sz w:val="1"/>
                <w:szCs w:val="1"/>
                <w:color w:val="auto"/>
              </w:rPr>
            </w:pPr>
          </w:p>
        </w:tc>
      </w:tr>
      <w:tr>
        <w:trPr>
          <w:trHeight w:val="412"/>
        </w:trPr>
        <w:tc>
          <w:tcPr>
            <w:tcW w:w="1700" w:type="dxa"/>
            <w:vAlign w:val="bottom"/>
          </w:tcPr>
          <w:p>
            <w:pPr>
              <w:spacing w:after="0"/>
              <w:rPr>
                <w:sz w:val="24"/>
                <w:szCs w:val="24"/>
                <w:color w:val="auto"/>
              </w:rPr>
            </w:pPr>
          </w:p>
        </w:tc>
        <w:tc>
          <w:tcPr>
            <w:tcW w:w="4540" w:type="dxa"/>
            <w:vAlign w:val="bottom"/>
            <w:gridSpan w:val="11"/>
          </w:tcPr>
          <w:p>
            <w:pPr>
              <w:spacing w:after="0"/>
              <w:rPr>
                <w:sz w:val="20"/>
                <w:szCs w:val="20"/>
                <w:color w:val="auto"/>
              </w:rPr>
            </w:pPr>
            <w:r>
              <w:rPr>
                <w:rFonts w:ascii="Calibri" w:cs="Calibri" w:eastAsia="Calibri" w:hAnsi="Calibri"/>
                <w:sz w:val="18"/>
                <w:szCs w:val="18"/>
                <w:color w:val="007DC6"/>
              </w:rPr>
              <w:t>Consolidated Statements of Earnings –</w:t>
            </w:r>
          </w:p>
        </w:tc>
        <w:tc>
          <w:tcPr>
            <w:tcW w:w="4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40" w:type="dxa"/>
            <w:vAlign w:val="bottom"/>
            <w:shd w:val="clear" w:color="auto" w:fill="007DC6"/>
          </w:tcPr>
          <w:p>
            <w:pPr>
              <w:spacing w:after="0" w:line="20" w:lineRule="exact"/>
              <w:rPr>
                <w:sz w:val="1"/>
                <w:szCs w:val="1"/>
                <w:color w:val="auto"/>
              </w:rPr>
            </w:pPr>
          </w:p>
        </w:tc>
        <w:tc>
          <w:tcPr>
            <w:tcW w:w="160" w:type="dxa"/>
            <w:vAlign w:val="bottom"/>
            <w:tcBorders>
              <w:left w:val="single" w:sz="8" w:color="007DC6"/>
              <w:right w:val="single" w:sz="8" w:color="007DC6"/>
            </w:tcBorders>
            <w:shd w:val="clear" w:color="auto" w:fill="007DC6"/>
          </w:tcPr>
          <w:p>
            <w:pPr>
              <w:spacing w:after="0" w:line="20" w:lineRule="exact"/>
              <w:rPr>
                <w:sz w:val="1"/>
                <w:szCs w:val="1"/>
                <w:color w:val="auto"/>
              </w:rPr>
            </w:pPr>
          </w:p>
        </w:tc>
        <w:tc>
          <w:tcPr>
            <w:tcW w:w="460" w:type="dxa"/>
            <w:vAlign w:val="bottom"/>
            <w:shd w:val="clear" w:color="auto" w:fill="007DC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4540" w:type="dxa"/>
            <w:vAlign w:val="bottom"/>
            <w:gridSpan w:val="11"/>
          </w:tcPr>
          <w:p>
            <w:pPr>
              <w:spacing w:after="0" w:line="196" w:lineRule="exact"/>
              <w:rPr>
                <w:sz w:val="20"/>
                <w:szCs w:val="20"/>
                <w:color w:val="auto"/>
              </w:rPr>
            </w:pPr>
            <w:r>
              <w:rPr>
                <w:rFonts w:ascii="Calibri" w:cs="Calibri" w:eastAsia="Calibri" w:hAnsi="Calibri"/>
                <w:sz w:val="18"/>
                <w:szCs w:val="18"/>
                <w:color w:val="007DC6"/>
              </w:rPr>
              <w:t>for years ended December 31, 2024, 2023 and 2022</w:t>
            </w:r>
          </w:p>
        </w:tc>
        <w:tc>
          <w:tcPr>
            <w:tcW w:w="50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67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40" w:type="dxa"/>
            <w:vAlign w:val="bottom"/>
            <w:shd w:val="clear" w:color="auto" w:fill="007DC6"/>
          </w:tcPr>
          <w:p>
            <w:pPr>
              <w:spacing w:after="0" w:line="20" w:lineRule="exact"/>
              <w:rPr>
                <w:sz w:val="1"/>
                <w:szCs w:val="1"/>
                <w:color w:val="auto"/>
              </w:rPr>
            </w:pPr>
          </w:p>
        </w:tc>
        <w:tc>
          <w:tcPr>
            <w:tcW w:w="160" w:type="dxa"/>
            <w:vAlign w:val="bottom"/>
            <w:tcBorders>
              <w:left w:val="single" w:sz="8" w:color="007DC6"/>
              <w:right w:val="single" w:sz="8" w:color="007DC6"/>
            </w:tcBorders>
            <w:shd w:val="clear" w:color="auto" w:fill="007DC6"/>
          </w:tcPr>
          <w:p>
            <w:pPr>
              <w:spacing w:after="0" w:line="20" w:lineRule="exact"/>
              <w:rPr>
                <w:sz w:val="1"/>
                <w:szCs w:val="1"/>
                <w:color w:val="auto"/>
              </w:rPr>
            </w:pPr>
          </w:p>
        </w:tc>
        <w:tc>
          <w:tcPr>
            <w:tcW w:w="640" w:type="dxa"/>
            <w:vAlign w:val="bottom"/>
            <w:gridSpan w:val="3"/>
            <w:shd w:val="clear" w:color="auto" w:fill="007DC6"/>
          </w:tcPr>
          <w:p>
            <w:pPr>
              <w:spacing w:after="0" w:line="20" w:lineRule="exact"/>
              <w:rPr>
                <w:sz w:val="1"/>
                <w:szCs w:val="1"/>
                <w:color w:val="auto"/>
              </w:rPr>
            </w:pPr>
          </w:p>
        </w:tc>
        <w:tc>
          <w:tcPr>
            <w:tcW w:w="60" w:type="dxa"/>
            <w:vAlign w:val="bottom"/>
            <w:shd w:val="clear" w:color="auto" w:fill="007DC6"/>
          </w:tcPr>
          <w:p>
            <w:pPr>
              <w:spacing w:after="0" w:line="20" w:lineRule="exact"/>
              <w:rPr>
                <w:sz w:val="1"/>
                <w:szCs w:val="1"/>
                <w:color w:val="auto"/>
              </w:rPr>
            </w:pPr>
          </w:p>
        </w:tc>
        <w:tc>
          <w:tcPr>
            <w:tcW w:w="720" w:type="dxa"/>
            <w:vAlign w:val="bottom"/>
            <w:tcBorders>
              <w:right w:val="single" w:sz="8" w:color="0000EE"/>
            </w:tcBorders>
            <w:shd w:val="clear" w:color="auto" w:fill="007DC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3920" w:type="dxa"/>
            <w:vAlign w:val="bottom"/>
            <w:tcBorders>
              <w:bottom w:val="single" w:sz="8" w:color="007DC6"/>
            </w:tcBorders>
            <w:gridSpan w:val="8"/>
          </w:tcPr>
          <w:p>
            <w:pPr>
              <w:spacing w:after="0"/>
              <w:rPr>
                <w:sz w:val="20"/>
                <w:szCs w:val="20"/>
                <w:color w:val="auto"/>
              </w:rPr>
            </w:pPr>
            <w:r>
              <w:rPr>
                <w:rFonts w:ascii="Calibri" w:cs="Calibri" w:eastAsia="Calibri" w:hAnsi="Calibri"/>
                <w:sz w:val="18"/>
                <w:szCs w:val="18"/>
                <w:color w:val="007DC6"/>
                <w:w w:val="97"/>
              </w:rPr>
              <w:t>Consolidated Statements of Comprehensive Earnings –</w:t>
            </w:r>
          </w:p>
        </w:tc>
        <w:tc>
          <w:tcPr>
            <w:tcW w:w="620" w:type="dxa"/>
            <w:vAlign w:val="bottom"/>
            <w:gridSpan w:val="3"/>
          </w:tcPr>
          <w:p>
            <w:pPr>
              <w:spacing w:after="0"/>
              <w:rPr>
                <w:sz w:val="24"/>
                <w:szCs w:val="24"/>
                <w:color w:val="auto"/>
              </w:rPr>
            </w:pPr>
          </w:p>
        </w:tc>
        <w:tc>
          <w:tcPr>
            <w:tcW w:w="4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4540" w:type="dxa"/>
            <w:vAlign w:val="bottom"/>
            <w:gridSpan w:val="11"/>
          </w:tcPr>
          <w:p>
            <w:pPr>
              <w:spacing w:after="0" w:line="196" w:lineRule="exact"/>
              <w:rPr>
                <w:sz w:val="20"/>
                <w:szCs w:val="20"/>
                <w:color w:val="auto"/>
              </w:rPr>
            </w:pPr>
            <w:r>
              <w:rPr>
                <w:rFonts w:ascii="Calibri" w:cs="Calibri" w:eastAsia="Calibri" w:hAnsi="Calibri"/>
                <w:sz w:val="18"/>
                <w:szCs w:val="18"/>
                <w:color w:val="007DC6"/>
              </w:rPr>
              <w:t>for years ended December 31, 2024, 2023 and 2022</w:t>
            </w:r>
          </w:p>
        </w:tc>
        <w:tc>
          <w:tcPr>
            <w:tcW w:w="50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412"/>
        </w:trPr>
        <w:tc>
          <w:tcPr>
            <w:tcW w:w="1700" w:type="dxa"/>
            <w:vAlign w:val="bottom"/>
          </w:tcPr>
          <w:p>
            <w:pPr>
              <w:spacing w:after="0"/>
              <w:rPr>
                <w:sz w:val="24"/>
                <w:szCs w:val="24"/>
                <w:color w:val="auto"/>
              </w:rPr>
            </w:pPr>
          </w:p>
        </w:tc>
        <w:tc>
          <w:tcPr>
            <w:tcW w:w="3720" w:type="dxa"/>
            <w:vAlign w:val="bottom"/>
            <w:tcBorders>
              <w:top w:val="single" w:sz="8" w:color="007DC6"/>
            </w:tcBorders>
            <w:gridSpan w:val="7"/>
          </w:tcPr>
          <w:p>
            <w:pPr>
              <w:spacing w:after="0"/>
              <w:rPr>
                <w:sz w:val="20"/>
                <w:szCs w:val="20"/>
                <w:color w:val="auto"/>
              </w:rPr>
            </w:pPr>
            <w:r>
              <w:rPr>
                <w:rFonts w:ascii="Calibri" w:cs="Calibri" w:eastAsia="Calibri" w:hAnsi="Calibri"/>
                <w:sz w:val="18"/>
                <w:szCs w:val="18"/>
                <w:color w:val="007DC6"/>
              </w:rPr>
              <w:t>Consolidated Balance Sheets –</w:t>
            </w:r>
          </w:p>
        </w:tc>
        <w:tc>
          <w:tcPr>
            <w:tcW w:w="820" w:type="dxa"/>
            <w:vAlign w:val="bottom"/>
            <w:gridSpan w:val="4"/>
          </w:tcPr>
          <w:p>
            <w:pPr>
              <w:spacing w:after="0"/>
              <w:rPr>
                <w:sz w:val="24"/>
                <w:szCs w:val="24"/>
                <w:color w:val="auto"/>
              </w:rPr>
            </w:pPr>
          </w:p>
        </w:tc>
        <w:tc>
          <w:tcPr>
            <w:tcW w:w="4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40" w:type="dxa"/>
            <w:vAlign w:val="bottom"/>
            <w:shd w:val="clear" w:color="auto" w:fill="007DC6"/>
          </w:tcPr>
          <w:p>
            <w:pPr>
              <w:spacing w:after="0" w:line="20" w:lineRule="exact"/>
              <w:rPr>
                <w:sz w:val="1"/>
                <w:szCs w:val="1"/>
                <w:color w:val="auto"/>
              </w:rPr>
            </w:pPr>
          </w:p>
        </w:tc>
        <w:tc>
          <w:tcPr>
            <w:tcW w:w="160" w:type="dxa"/>
            <w:vAlign w:val="bottom"/>
            <w:tcBorders>
              <w:left w:val="single" w:sz="8" w:color="007DC6"/>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4540" w:type="dxa"/>
            <w:vAlign w:val="bottom"/>
            <w:gridSpan w:val="11"/>
          </w:tcPr>
          <w:p>
            <w:pPr>
              <w:spacing w:after="0" w:line="196" w:lineRule="exact"/>
              <w:rPr>
                <w:sz w:val="20"/>
                <w:szCs w:val="20"/>
                <w:color w:val="auto"/>
              </w:rPr>
            </w:pPr>
            <w:r>
              <w:rPr>
                <w:rFonts w:ascii="Calibri" w:cs="Calibri" w:eastAsia="Calibri" w:hAnsi="Calibri"/>
                <w:sz w:val="18"/>
                <w:szCs w:val="18"/>
                <w:color w:val="007DC6"/>
              </w:rPr>
              <w:t>at December 31, 2024 and 2023</w:t>
            </w:r>
          </w:p>
        </w:tc>
        <w:tc>
          <w:tcPr>
            <w:tcW w:w="50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69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40" w:type="dxa"/>
            <w:vAlign w:val="bottom"/>
            <w:shd w:val="clear" w:color="auto" w:fill="007DC6"/>
          </w:tcPr>
          <w:p>
            <w:pPr>
              <w:spacing w:after="0" w:line="20" w:lineRule="exact"/>
              <w:rPr>
                <w:sz w:val="1"/>
                <w:szCs w:val="1"/>
                <w:color w:val="auto"/>
              </w:rPr>
            </w:pPr>
          </w:p>
        </w:tc>
        <w:tc>
          <w:tcPr>
            <w:tcW w:w="160" w:type="dxa"/>
            <w:vAlign w:val="bottom"/>
            <w:tcBorders>
              <w:left w:val="single" w:sz="8" w:color="007DC6"/>
              <w:right w:val="single" w:sz="8" w:color="0000EE"/>
            </w:tcBorders>
            <w:shd w:val="clear" w:color="auto" w:fill="007DC6"/>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4540" w:type="dxa"/>
            <w:vAlign w:val="bottom"/>
            <w:gridSpan w:val="11"/>
          </w:tcPr>
          <w:p>
            <w:pPr>
              <w:spacing w:after="0"/>
              <w:rPr>
                <w:sz w:val="20"/>
                <w:szCs w:val="20"/>
                <w:color w:val="auto"/>
              </w:rPr>
            </w:pPr>
            <w:r>
              <w:rPr>
                <w:rFonts w:ascii="Calibri" w:cs="Calibri" w:eastAsia="Calibri" w:hAnsi="Calibri"/>
                <w:sz w:val="18"/>
                <w:szCs w:val="18"/>
                <w:color w:val="007DC6"/>
              </w:rPr>
              <w:t>Consolidated Statements of Cash Flows –</w:t>
            </w:r>
          </w:p>
        </w:tc>
        <w:tc>
          <w:tcPr>
            <w:tcW w:w="4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40" w:type="dxa"/>
            <w:vAlign w:val="bottom"/>
            <w:shd w:val="clear" w:color="auto" w:fill="007DC6"/>
          </w:tcPr>
          <w:p>
            <w:pPr>
              <w:spacing w:after="0" w:line="20" w:lineRule="exact"/>
              <w:rPr>
                <w:sz w:val="1"/>
                <w:szCs w:val="1"/>
                <w:color w:val="auto"/>
              </w:rPr>
            </w:pPr>
          </w:p>
        </w:tc>
        <w:tc>
          <w:tcPr>
            <w:tcW w:w="800" w:type="dxa"/>
            <w:vAlign w:val="bottom"/>
            <w:tcBorders>
              <w:left w:val="single" w:sz="8" w:color="007DC6"/>
            </w:tcBorders>
            <w:gridSpan w:val="4"/>
            <w:shd w:val="clear" w:color="auto" w:fill="007DC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4540" w:type="dxa"/>
            <w:vAlign w:val="bottom"/>
            <w:gridSpan w:val="11"/>
          </w:tcPr>
          <w:p>
            <w:pPr>
              <w:spacing w:after="0" w:line="196" w:lineRule="exact"/>
              <w:rPr>
                <w:sz w:val="20"/>
                <w:szCs w:val="20"/>
                <w:color w:val="auto"/>
              </w:rPr>
            </w:pPr>
            <w:r>
              <w:rPr>
                <w:rFonts w:ascii="Calibri" w:cs="Calibri" w:eastAsia="Calibri" w:hAnsi="Calibri"/>
                <w:sz w:val="18"/>
                <w:szCs w:val="18"/>
                <w:color w:val="007DC6"/>
              </w:rPr>
              <w:t>for years ended December 31, 2024, 2023 and 2022</w:t>
            </w:r>
          </w:p>
        </w:tc>
        <w:tc>
          <w:tcPr>
            <w:tcW w:w="50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70</w:t>
            </w:r>
          </w:p>
        </w:tc>
        <w:tc>
          <w:tcPr>
            <w:tcW w:w="0" w:type="dxa"/>
            <w:vAlign w:val="bottom"/>
          </w:tcPr>
          <w:p>
            <w:pPr>
              <w:spacing w:after="0"/>
              <w:rPr>
                <w:sz w:val="1"/>
                <w:szCs w:val="1"/>
                <w:color w:val="auto"/>
              </w:rPr>
            </w:pPr>
          </w:p>
        </w:tc>
      </w:tr>
      <w:tr>
        <w:trPr>
          <w:trHeight w:val="412"/>
        </w:trPr>
        <w:tc>
          <w:tcPr>
            <w:tcW w:w="1700" w:type="dxa"/>
            <w:vAlign w:val="bottom"/>
          </w:tcPr>
          <w:p>
            <w:pPr>
              <w:spacing w:after="0"/>
              <w:rPr>
                <w:sz w:val="24"/>
                <w:szCs w:val="24"/>
                <w:color w:val="auto"/>
              </w:rPr>
            </w:pPr>
          </w:p>
        </w:tc>
        <w:tc>
          <w:tcPr>
            <w:tcW w:w="3720" w:type="dxa"/>
            <w:vAlign w:val="bottom"/>
            <w:tcBorders>
              <w:top w:val="single" w:sz="8" w:color="007DC6"/>
            </w:tcBorders>
            <w:gridSpan w:val="7"/>
          </w:tcPr>
          <w:p>
            <w:pPr>
              <w:spacing w:after="0"/>
              <w:rPr>
                <w:sz w:val="20"/>
                <w:szCs w:val="20"/>
                <w:color w:val="auto"/>
              </w:rPr>
            </w:pPr>
            <w:r>
              <w:rPr>
                <w:rFonts w:ascii="Calibri" w:cs="Calibri" w:eastAsia="Calibri" w:hAnsi="Calibri"/>
                <w:sz w:val="18"/>
                <w:szCs w:val="18"/>
                <w:color w:val="007DC6"/>
              </w:rPr>
              <w:t>Consolidated Statements of Total Equity –</w:t>
            </w:r>
          </w:p>
        </w:tc>
        <w:tc>
          <w:tcPr>
            <w:tcW w:w="820" w:type="dxa"/>
            <w:vAlign w:val="bottom"/>
            <w:gridSpan w:val="4"/>
          </w:tcPr>
          <w:p>
            <w:pPr>
              <w:spacing w:after="0"/>
              <w:rPr>
                <w:sz w:val="24"/>
                <w:szCs w:val="24"/>
                <w:color w:val="auto"/>
              </w:rPr>
            </w:pPr>
          </w:p>
        </w:tc>
        <w:tc>
          <w:tcPr>
            <w:tcW w:w="4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40" w:type="dxa"/>
            <w:vAlign w:val="bottom"/>
            <w:shd w:val="clear" w:color="auto" w:fill="007DC6"/>
          </w:tcPr>
          <w:p>
            <w:pPr>
              <w:spacing w:after="0" w:line="20" w:lineRule="exact"/>
              <w:rPr>
                <w:sz w:val="1"/>
                <w:szCs w:val="1"/>
                <w:color w:val="auto"/>
              </w:rPr>
            </w:pPr>
          </w:p>
        </w:tc>
        <w:tc>
          <w:tcPr>
            <w:tcW w:w="860" w:type="dxa"/>
            <w:vAlign w:val="bottom"/>
            <w:tcBorders>
              <w:left w:val="single" w:sz="8" w:color="007DC6"/>
            </w:tcBorders>
            <w:gridSpan w:val="5"/>
            <w:shd w:val="clear" w:color="auto" w:fill="007DC6"/>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4540" w:type="dxa"/>
            <w:vAlign w:val="bottom"/>
            <w:gridSpan w:val="11"/>
          </w:tcPr>
          <w:p>
            <w:pPr>
              <w:spacing w:after="0" w:line="196" w:lineRule="exact"/>
              <w:rPr>
                <w:sz w:val="20"/>
                <w:szCs w:val="20"/>
                <w:color w:val="auto"/>
              </w:rPr>
            </w:pPr>
            <w:r>
              <w:rPr>
                <w:rFonts w:ascii="Calibri" w:cs="Calibri" w:eastAsia="Calibri" w:hAnsi="Calibri"/>
                <w:sz w:val="18"/>
                <w:szCs w:val="18"/>
                <w:color w:val="007DC6"/>
              </w:rPr>
              <w:t>for years ended December 31, 2024, 2023 and 2022</w:t>
            </w:r>
          </w:p>
        </w:tc>
        <w:tc>
          <w:tcPr>
            <w:tcW w:w="50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71</w:t>
            </w:r>
          </w:p>
        </w:tc>
        <w:tc>
          <w:tcPr>
            <w:tcW w:w="0" w:type="dxa"/>
            <w:vAlign w:val="bottom"/>
          </w:tcPr>
          <w:p>
            <w:pPr>
              <w:spacing w:after="0"/>
              <w:rPr>
                <w:sz w:val="1"/>
                <w:szCs w:val="1"/>
                <w:color w:val="auto"/>
              </w:rPr>
            </w:pPr>
          </w:p>
        </w:tc>
      </w:tr>
      <w:tr>
        <w:trPr>
          <w:trHeight w:val="412"/>
        </w:trPr>
        <w:tc>
          <w:tcPr>
            <w:tcW w:w="1700" w:type="dxa"/>
            <w:vAlign w:val="bottom"/>
          </w:tcPr>
          <w:p>
            <w:pPr>
              <w:spacing w:after="0"/>
              <w:rPr>
                <w:sz w:val="24"/>
                <w:szCs w:val="24"/>
                <w:color w:val="auto"/>
              </w:rPr>
            </w:pPr>
          </w:p>
        </w:tc>
        <w:tc>
          <w:tcPr>
            <w:tcW w:w="3720" w:type="dxa"/>
            <w:vAlign w:val="bottom"/>
            <w:tcBorders>
              <w:top w:val="single" w:sz="8" w:color="007DC6"/>
            </w:tcBorders>
            <w:gridSpan w:val="7"/>
          </w:tcPr>
          <w:p>
            <w:pPr>
              <w:spacing w:after="0"/>
              <w:rPr>
                <w:sz w:val="20"/>
                <w:szCs w:val="20"/>
                <w:color w:val="auto"/>
              </w:rPr>
            </w:pPr>
            <w:r>
              <w:rPr>
                <w:rFonts w:ascii="Calibri" w:cs="Calibri" w:eastAsia="Calibri" w:hAnsi="Calibri"/>
                <w:sz w:val="18"/>
                <w:szCs w:val="18"/>
                <w:color w:val="007DC6"/>
              </w:rPr>
              <w:t>Notes to Financial Statements</w:t>
            </w:r>
          </w:p>
        </w:tc>
        <w:tc>
          <w:tcPr>
            <w:tcW w:w="820" w:type="dxa"/>
            <w:vAlign w:val="bottom"/>
            <w:gridSpan w:val="4"/>
          </w:tcPr>
          <w:p>
            <w:pPr>
              <w:spacing w:after="0"/>
              <w:rPr>
                <w:sz w:val="24"/>
                <w:szCs w:val="24"/>
                <w:color w:val="auto"/>
              </w:rPr>
            </w:pPr>
          </w:p>
        </w:tc>
        <w:tc>
          <w:tcPr>
            <w:tcW w:w="5000" w:type="dxa"/>
            <w:vAlign w:val="bottom"/>
            <w:gridSpan w:val="2"/>
          </w:tcPr>
          <w:p>
            <w:pPr>
              <w:jc w:val="right"/>
              <w:spacing w:after="0"/>
              <w:rPr>
                <w:sz w:val="20"/>
                <w:szCs w:val="20"/>
                <w:color w:val="auto"/>
              </w:rPr>
            </w:pPr>
            <w:r>
              <w:rPr>
                <w:rFonts w:ascii="Calibri" w:cs="Calibri" w:eastAsia="Calibri" w:hAnsi="Calibri"/>
                <w:sz w:val="18"/>
                <w:szCs w:val="18"/>
                <w:color w:val="auto"/>
              </w:rPr>
              <w:t>72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40" w:type="dxa"/>
            <w:vAlign w:val="bottom"/>
            <w:shd w:val="clear" w:color="auto" w:fill="007DC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Statement of Responsibility and Management’s Report on Internal Control over Financial Reportng</w:t>
      </w:r>
    </w:p>
    <w:p>
      <w:pPr>
        <w:spacing w:after="0" w:line="6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Management’s Statement of Responsibility</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management of Martn Marieta Materials, Inc. (the Company or Martn Marieta) is responsible for the consolidated fnancial statements, the related fnancial informaton contained in this Form 10-K and the establishment and maintenance of adequate internal control over fnancial reportng. The consolidated balance sheets for Martn Marieta, at December 31, 2024 and 2023, and the related consolidated statements of earnings, comprehensive earnings, total equity and cash fows for each of the three years in the period ended December 31, 2024, include amounts based on estmates and judgments and have been prepared in accordance with accountng principles generally accepted in the United States applied on a consistent basis.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system of internal control over fnancial reportng is designed to provide reasonable assurance, in a cost-efectve manner, that assets are safeguarded, transactons are executed and recorded in accordance with management’s authorizaton, accountability for assets is maintained and fnancial statements are prepared and presented fairly in accordance with accountng principles generally accepted in the United States. Internal control systems over fnancial reportng have inherent limitatons and may not prevent or detect misstatements. Therefore, even those systems determined to be efectve can provide only reasonable assurance with respect to fnancial statement preparaton and presentaton.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operates in an environment that establishes an appropriate system of internal control over fnancial reportng and ensures that the system is maintained, assessed and monitored on a periodic basis. This internal control system includes examinatons by internal audit staf and oversight by the Audit Commitee of the Board of Directors.</w:t>
      </w:r>
    </w:p>
    <w:p>
      <w:pPr>
        <w:spacing w:after="0" w:line="11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 xml:space="preserve">The Company’s management recognizes its responsibility to foster a strong ethical climate. Management has issued writen policy statements that document the Company’s business code of ethics. The importance of ethical behavior is regularly communicated to all employees through the distributon of the </w:t>
      </w:r>
      <w:r>
        <w:rPr>
          <w:rFonts w:ascii="Calibri" w:cs="Calibri" w:eastAsia="Calibri" w:hAnsi="Calibri"/>
          <w:sz w:val="17"/>
          <w:szCs w:val="17"/>
          <w:i w:val="1"/>
          <w:iCs w:val="1"/>
          <w:color w:val="auto"/>
        </w:rPr>
        <w:t>Code</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 xml:space="preserve">of Ethical Business Conduct </w:t>
      </w:r>
      <w:r>
        <w:rPr>
          <w:rFonts w:ascii="Calibri" w:cs="Calibri" w:eastAsia="Calibri" w:hAnsi="Calibri"/>
          <w:sz w:val="17"/>
          <w:szCs w:val="17"/>
          <w:color w:val="auto"/>
        </w:rPr>
        <w:t>and through ongoing educaton and review programs designed to create a strong commitment to ethical business practces.</w:t>
      </w:r>
    </w:p>
    <w:p>
      <w:pPr>
        <w:spacing w:after="0" w:line="11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5" w:name="page66"/>
    <w:bookmarkEnd w:id="65"/>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Audit Commitee of the Board of Directors, which consists of four independent, nonemployee directors, meets periodically and separately with management, the independent auditors and the internal auditors to review the actvites of each. The Audit Commitee meets standards established by the Securites and Exchange Commission (SEC) and the New York Stock Exchange as they relate to the compositon and practces of audit commitees.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Management’s Report on Internal Control over Financial Reportng</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management of Martn Marieta is responsible for establishing and maintaining adequate internal control over fnancial reportng. Management assessed the efectveness of the Company’s internal control over fnancial reportng as of December 31, 2024. In making this assessment, management used the criteria set forth in </w:t>
      </w:r>
      <w:r>
        <w:rPr>
          <w:rFonts w:ascii="Calibri" w:cs="Calibri" w:eastAsia="Calibri" w:hAnsi="Calibri"/>
          <w:sz w:val="18"/>
          <w:szCs w:val="18"/>
          <w:i w:val="1"/>
          <w:iCs w:val="1"/>
          <w:color w:val="auto"/>
        </w:rPr>
        <w:t>Internal Control—Integrated Framework (2013)</w:t>
      </w:r>
      <w:r>
        <w:rPr>
          <w:rFonts w:ascii="Calibri" w:cs="Calibri" w:eastAsia="Calibri" w:hAnsi="Calibri"/>
          <w:sz w:val="18"/>
          <w:szCs w:val="18"/>
          <w:color w:val="auto"/>
        </w:rPr>
        <w:t xml:space="preserve"> issued by the Commitee of Sponsoring Organizatons of the Treadway Commission (2013 framework). Based on management’s assessment under the 2013 framework, management concluded that the Company’s internal control over fnancial reportng was efectve as of December 31, 2024.</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consolidated fnancial statements of the Company as of December 31, 2024 and 2023, and for each of the three years in the period ended December 31, 2024, and the efectveness of the Company’s internal control over fnancial reportng as of December 31, 2024, have been audited by PricewaterhouseCoopers LLP, an independent registered public accountng frm, whose report appears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1268730" cy="5829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68730" cy="5829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15875</wp:posOffset>
            </wp:positionV>
            <wp:extent cx="1731645" cy="548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7316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5620" w:val="left"/>
        </w:tabs>
        <w:rPr>
          <w:sz w:val="20"/>
          <w:szCs w:val="20"/>
          <w:color w:val="auto"/>
        </w:rPr>
      </w:pPr>
      <w:r>
        <w:rPr>
          <w:rFonts w:ascii="Calibri" w:cs="Calibri" w:eastAsia="Calibri" w:hAnsi="Calibri"/>
          <w:sz w:val="18"/>
          <w:szCs w:val="18"/>
          <w:b w:val="1"/>
          <w:bCs w:val="1"/>
          <w:color w:val="auto"/>
        </w:rPr>
        <w:t xml:space="preserve">C. Howard Nye, </w:t>
      </w:r>
      <w:r>
        <w:rPr>
          <w:rFonts w:ascii="Calibri" w:cs="Calibri" w:eastAsia="Calibri" w:hAnsi="Calibri"/>
          <w:sz w:val="16"/>
          <w:szCs w:val="16"/>
          <w:i w:val="1"/>
          <w:iCs w:val="1"/>
          <w:color w:val="auto"/>
        </w:rPr>
        <w:t>Chair, President and Chief Executve Ofcer</w:t>
      </w:r>
      <w:r>
        <w:rPr>
          <w:sz w:val="20"/>
          <w:szCs w:val="20"/>
          <w:color w:val="auto"/>
        </w:rPr>
        <w:tab/>
      </w:r>
      <w:r>
        <w:rPr>
          <w:rFonts w:ascii="Calibri" w:cs="Calibri" w:eastAsia="Calibri" w:hAnsi="Calibri"/>
          <w:sz w:val="18"/>
          <w:szCs w:val="18"/>
          <w:b w:val="1"/>
          <w:bCs w:val="1"/>
          <w:color w:val="auto"/>
        </w:rPr>
        <w:t>James A. J. Nickolas</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w:t>
      </w:r>
      <w:r>
        <w:rPr>
          <w:rFonts w:ascii="Calibri" w:cs="Calibri" w:eastAsia="Calibri" w:hAnsi="Calibri"/>
          <w:sz w:val="16"/>
          <w:szCs w:val="16"/>
          <w:i w:val="1"/>
          <w:iCs w:val="1"/>
          <w:color w:val="auto"/>
        </w:rPr>
        <w:t>Executve Vice President and Chief Financial Ofcer</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February 21, 2025</w:t>
      </w:r>
    </w:p>
    <w:p>
      <w:pPr>
        <w:spacing w:after="0" w:line="1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6" w:name="page67"/>
    <w:bookmarkEnd w:id="66"/>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Report of Independent Registered Public Accountng Firm</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Board of Directors and Shareholders of Martn Marieta Materials, Inc.</w:t>
      </w:r>
    </w:p>
    <w:p>
      <w:pPr>
        <w:spacing w:after="0" w:line="10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Opinions on the Financial Statements and Internal Control over Financial Reportng</w:t>
      </w:r>
    </w:p>
    <w:p>
      <w:pPr>
        <w:spacing w:after="0" w:line="1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audited the accompanying consolidated balance sheets of Martn Marieta Materials, Inc. and its subsidiaries (the "Company") as of December 31, 2024 and 2023, and the related consolidated statements of earnings, of comprehensive earnings, of total equity and of cash fows for each of the three years in the period ended December 31, 2024, including the related notes and schedule of valuaton and qualifying accounts for each of the three years in the period ended December 31, 2024 appearing under Item 15(a)(2) (collectvely referred to as the "consolidated fnancial statements"). We also have audited the Company's internal control over fnancial reportng as of December 31, 2024, based on criteria established in Internal Control - Integrated Framework (2013) issued by the Commitee of Sponsoring Organizatons of the Treadway Commission (COSO).</w:t>
      </w:r>
    </w:p>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opinion, the consolidated fnancial statements referred to above present fairly, in all material respects, the fnancial positon of the Company as of December 31, 2024 and 2023, and the results of its operatons and its cash fows for each of the three years in the period ended December 31, 2024 in conformity with accountng principles generally accepted in the United States of America. Also in our opinion, the Company maintained, in all material respects, efectve internal control over fnancial reportng as of December 31, 2024, based on criteria established in Internal Control - Integrated Framework (2013) issued by the COSO.</w:t>
      </w:r>
    </w:p>
    <w:p>
      <w:pPr>
        <w:spacing w:after="0" w:line="150"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Basis for Opinions</w:t>
      </w:r>
    </w:p>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management is responsible for these consolidated fnancial statements, for maintaining efectve internal control over fnancial reportng, and for its assessment of the efectveness of internal control over fnancial reportng, included in the accompanying Management’s Report on Internal Control over Financial Reportng. Our responsibility is to express opinions on the Company’s consolidated fnancial statements and on the Company's internal control over fnancial reportng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audits to obtain reasonable assurance about whether the consolidated fnancial statements are free of material misstatement, whether due to error or fraud, and whether efectve internal control over fnancial reportng was maintained in all material respects.</w:t>
      </w:r>
    </w:p>
    <w:p>
      <w:pPr>
        <w:spacing w:after="0" w:line="19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audits of the consolidated fnancial statements included performing procedures to assess the risks of material misstatement of the consolidated fnancial statements, whether due to error or fraud, and performing procedures that respond to those risks. Such procedures included examining, on a test basis, evidence regarding the amounts and disclosures in the consolidated fnancial statements. Our audits also included evaluatng the accountng principles used and signifcant estmates made by management, as well as evaluatng the overall presentaton of the consolidated fnancial statements. Our audit of internal control over fnancial reportng included obtaining an understanding of internal control over fnancial reportng, assessing the risk that a material weakness exists, and testng and evaluatng the design and operatng efectveness of internal control based on the assessed risk. Our audits also included performing such other procedures as we considered necessary in the circumstances. We believe that our audits provide a reasonable basis for our opinions.</w:t>
      </w:r>
    </w:p>
    <w:p>
      <w:pPr>
        <w:spacing w:after="0" w:line="12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Defniton and Limitatons of Internal Control over Financial Reportng</w:t>
      </w:r>
    </w:p>
    <w:p>
      <w:pPr>
        <w:spacing w:after="0" w:line="1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(i) pertain to the maintenance of records that, in reasonable detail, accurately and fairly refect the transactons and dispositons of the assets of the company; (ii)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7" w:name="page68"/>
    <w:bookmarkEnd w:id="67"/>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company; and (iii) provide reasonable assurance regarding preventon or tmely detecton of unauthorized acquisiton, use, or dispositon of the company’s assets that could have a material efect on the fnancial statements.</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13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Critcal Audit Maters</w:t>
      </w:r>
    </w:p>
    <w:p>
      <w:pPr>
        <w:spacing w:after="0" w:line="1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consolidated fnancial statements that was communicated or required to be communicated to the audit commitee and that (i) relates to accounts or disclosures that are material to the consolidated fnancial statements and (ii) involved our especially challenging, subjectve, or complex judgments. The communicaton of critcal audit maters does not alter in any way our opinion on the consolidated fnancial statements, taken as a whole, and we are not, by communicatng the critcal audit mater below, providing a separate opinion on the critcal audit mater or on the accounts or disclosures to which it relates.</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Acquisiton of BWI Southeast – Valuaton of Mineral Reserves</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described in Note B to the consolidated fnancial statements, on April 5, 2024, the Company completed the acquisiton of 20 actve aggregates operatons in Alabama, South Carolina, South Florida, Tennessee, and Virginia from afliates of Blue Water Industries LLC (BWI Southeast) for $2.05 billion in cash, which resulted in the Company recording mineral reserves of $1.9 billion . As disclosed by management, the fair value of mineral reserves is determined using an excess earnings approach, which requires signifcant judgment to estmate future cash fows based on available historical informaton and future expectatons, as well as signifcant assumptons, which include forecasted revenues based on sales price and shipment volumes, EBITDA margin, forecasted expenses inclusive of producton costs and capital needs, and the discount rate.</w:t>
      </w:r>
    </w:p>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principal consideratons for our determinaton that performing procedures relatng to the valuaton of mineral reserves acquired in the acquisiton of BWI Southeast is a critcal audit mater are (i) the signifcant judgment by management when developing the fair value estmate of the mineral reserves acquired; (ii) a high degree of auditor judgment, subjectvity and efort in performing procedures and evaluatng management’s signifcant assumptons related to forecasted revenues, EBITDA margin and the discount rate; and (iii) the audit efort involved the use of professionals with specialized skill and knowledge.</w:t>
      </w:r>
    </w:p>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Addressing the mater involved performing procedures and evaluatng audit evidence in connecton with forming our overall opinion on the consolidated fnancial statements. These procedures included testng the efectveness of controls relatng to the acquisiton accountng, including controls over management’s valuaton of the mineral reserves acquired. These procedures also included, among others, (i) reading the purchase agreement; (ii) testng management’s process for developing the fair value estmate of the mineral reserves acquired; (iii) evaluatng the appropriateness of the excess earnings approach; (iv) testng the completeness and accuracy of the underlying data used in the excess earnings approach; and (v) evaluatng the reasonableness of the signifcant assumptons used by management related to forecasted revenues, EBITDA margin and the discount rate. Evaluatng management's assumptons related to forecasted revenues and EBITDA margin involved considering (i) the current and past performance of the BWI Southeast business; (ii) the current and past performance of peer companies; (iii) the consistency with external market and industry data; and (iv) whether the assumptons were consistent with evidence obtained in other areas of the audit. Professionals with specialized skill and knowledge were used to assist in evaluatng (i) the appropriateness of the excess earnings approach and (ii) the reasonableness of the discount rate assumpton.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alibri" w:cs="Calibri" w:eastAsia="Calibri" w:hAnsi="Calibri"/>
          <w:sz w:val="18"/>
          <w:szCs w:val="18"/>
          <w:color w:val="auto"/>
        </w:rPr>
        <w:t>/s/ PricewaterhouseCoopers LLP</w:t>
      </w:r>
    </w:p>
    <w:p>
      <w:pPr>
        <w:spacing w:after="0" w:line="235" w:lineRule="auto"/>
        <w:rPr>
          <w:sz w:val="20"/>
          <w:szCs w:val="20"/>
          <w:color w:val="auto"/>
        </w:rPr>
      </w:pPr>
      <w:r>
        <w:rPr>
          <w:rFonts w:ascii="Calibri" w:cs="Calibri" w:eastAsia="Calibri" w:hAnsi="Calibri"/>
          <w:sz w:val="18"/>
          <w:szCs w:val="18"/>
          <w:color w:val="auto"/>
        </w:rPr>
        <w:t>Raleigh, North Carolina</w:t>
      </w:r>
    </w:p>
    <w:p>
      <w:pPr>
        <w:spacing w:after="0" w:line="236" w:lineRule="auto"/>
        <w:rPr>
          <w:sz w:val="20"/>
          <w:szCs w:val="20"/>
          <w:color w:val="auto"/>
        </w:rPr>
      </w:pPr>
      <w:r>
        <w:rPr>
          <w:rFonts w:ascii="Calibri" w:cs="Calibri" w:eastAsia="Calibri" w:hAnsi="Calibri"/>
          <w:sz w:val="18"/>
          <w:szCs w:val="18"/>
          <w:color w:val="auto"/>
        </w:rPr>
        <w:t>February 21, 2025</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2016.</w:t>
      </w:r>
    </w:p>
    <w:p>
      <w:pPr>
        <w:spacing w:after="0" w:line="1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8" w:name="page69"/>
    <w:bookmarkEnd w:id="6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Financial Statements</w:t>
      </w:r>
    </w:p>
    <w:p>
      <w:pPr>
        <w:spacing w:after="0" w:line="18"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b w:val="1"/>
          <w:bCs w:val="1"/>
          <w:color w:val="007DC6"/>
        </w:rPr>
        <w:t>Consolidated Statements of Earnings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ind w:left="20"/>
              <w:spacing w:after="0"/>
              <w:rPr>
                <w:sz w:val="20"/>
                <w:szCs w:val="20"/>
                <w:color w:val="auto"/>
              </w:rPr>
            </w:pPr>
            <w:r>
              <w:rPr>
                <w:rFonts w:ascii="Calibri" w:cs="Calibri" w:eastAsia="Calibri" w:hAnsi="Calibri"/>
                <w:sz w:val="16"/>
                <w:szCs w:val="16"/>
                <w:i w:val="1"/>
                <w:iCs w:val="1"/>
                <w:color w:val="auto"/>
              </w:rPr>
              <w:t>years ended December 31</w:t>
            </w:r>
          </w:p>
        </w:tc>
        <w:tc>
          <w:tcPr>
            <w:tcW w:w="300" w:type="dxa"/>
            <w:vAlign w:val="bottom"/>
            <w:shd w:val="clear" w:color="auto" w:fill="007DC6"/>
          </w:tcPr>
          <w:p>
            <w:pPr>
              <w:spacing w:after="0"/>
              <w:rPr>
                <w:sz w:val="16"/>
                <w:szCs w:val="16"/>
                <w:color w:val="auto"/>
              </w:rPr>
            </w:pPr>
          </w:p>
        </w:tc>
        <w:tc>
          <w:tcPr>
            <w:tcW w:w="1260" w:type="dxa"/>
            <w:vAlign w:val="bottom"/>
            <w:shd w:val="clear" w:color="auto" w:fill="007DC6"/>
          </w:tcPr>
          <w:p>
            <w:pPr>
              <w:spacing w:after="0"/>
              <w:rPr>
                <w:sz w:val="16"/>
                <w:szCs w:val="16"/>
                <w:color w:val="auto"/>
              </w:rPr>
            </w:pPr>
          </w:p>
        </w:tc>
        <w:tc>
          <w:tcPr>
            <w:tcW w:w="100" w:type="dxa"/>
            <w:vAlign w:val="bottom"/>
            <w:shd w:val="clear" w:color="auto" w:fill="007DC6"/>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 except per share data)</w:t>
            </w:r>
          </w:p>
        </w:tc>
        <w:tc>
          <w:tcPr>
            <w:tcW w:w="300" w:type="dxa"/>
            <w:vAlign w:val="bottom"/>
            <w:tcBorders>
              <w:bottom w:val="single" w:sz="8" w:color="007DC6"/>
            </w:tcBorders>
            <w:shd w:val="clear" w:color="auto" w:fill="007DC6"/>
          </w:tcPr>
          <w:p>
            <w:pPr>
              <w:spacing w:after="0"/>
              <w:rPr>
                <w:sz w:val="19"/>
                <w:szCs w:val="19"/>
                <w:color w:val="auto"/>
              </w:rPr>
            </w:pPr>
          </w:p>
        </w:tc>
        <w:tc>
          <w:tcPr>
            <w:tcW w:w="1260" w:type="dxa"/>
            <w:vAlign w:val="bottom"/>
            <w:tcBorders>
              <w:bottom w:val="single" w:sz="8" w:color="007DC6"/>
            </w:tcBorders>
            <w:shd w:val="clear" w:color="auto" w:fill="007DC6"/>
          </w:tcPr>
          <w:p>
            <w:pPr>
              <w:jc w:val="right"/>
              <w:ind w:right="459"/>
              <w:spacing w:after="0" w:line="193" w:lineRule="exact"/>
              <w:rPr>
                <w:sz w:val="20"/>
                <w:szCs w:val="20"/>
                <w:color w:val="auto"/>
              </w:rPr>
            </w:pPr>
            <w:r>
              <w:rPr>
                <w:rFonts w:ascii="Calibri" w:cs="Calibri" w:eastAsia="Calibri" w:hAnsi="Calibri"/>
                <w:sz w:val="16"/>
                <w:szCs w:val="16"/>
                <w:b w:val="1"/>
                <w:bCs w:val="1"/>
                <w:color w:val="FFFFFF"/>
              </w:rPr>
              <w:t>2024</w:t>
            </w:r>
          </w:p>
        </w:tc>
        <w:tc>
          <w:tcPr>
            <w:tcW w:w="100" w:type="dxa"/>
            <w:vAlign w:val="bottom"/>
            <w:tcBorders>
              <w:bottom w:val="single" w:sz="8" w:color="007DC6"/>
            </w:tcBorders>
            <w:shd w:val="clear" w:color="auto" w:fill="007DC6"/>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DEEAEB"/>
            </w:tcBorders>
            <w:shd w:val="clear" w:color="auto" w:fill="DEEAEB"/>
          </w:tcPr>
          <w:p>
            <w:pPr>
              <w:spacing w:after="0"/>
              <w:rPr>
                <w:sz w:val="19"/>
                <w:szCs w:val="19"/>
                <w:color w:val="auto"/>
              </w:rPr>
            </w:pPr>
          </w:p>
        </w:tc>
        <w:tc>
          <w:tcPr>
            <w:tcW w:w="128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2023</w:t>
            </w:r>
          </w:p>
        </w:tc>
        <w:tc>
          <w:tcPr>
            <w:tcW w:w="100" w:type="dxa"/>
            <w:vAlign w:val="bottom"/>
            <w:tcBorders>
              <w:bottom w:val="single" w:sz="8" w:color="DEEAEB"/>
            </w:tcBorders>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DEEAEB"/>
            </w:tcBorders>
            <w:shd w:val="clear" w:color="auto" w:fill="DEEAEB"/>
          </w:tcPr>
          <w:p>
            <w:pPr>
              <w:spacing w:after="0"/>
              <w:rPr>
                <w:sz w:val="19"/>
                <w:szCs w:val="19"/>
                <w:color w:val="auto"/>
              </w:rPr>
            </w:pPr>
          </w:p>
        </w:tc>
        <w:tc>
          <w:tcPr>
            <w:tcW w:w="128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2022</w:t>
            </w:r>
          </w:p>
        </w:tc>
        <w:tc>
          <w:tcPr>
            <w:tcW w:w="100" w:type="dxa"/>
            <w:vAlign w:val="bottom"/>
            <w:tcBorders>
              <w:bottom w:val="single" w:sz="8" w:color="DEEAEB"/>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Revenues</w:t>
            </w:r>
          </w:p>
        </w:tc>
        <w:tc>
          <w:tcPr>
            <w:tcW w:w="30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6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6,536</w:t>
            </w:r>
          </w:p>
        </w:tc>
        <w:tc>
          <w:tcPr>
            <w:tcW w:w="10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6,777</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6,161</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color w:val="auto"/>
              </w:rPr>
              <w:t>Cost of revenues</w:t>
            </w:r>
          </w:p>
        </w:tc>
        <w:tc>
          <w:tcPr>
            <w:tcW w:w="300" w:type="dxa"/>
            <w:vAlign w:val="bottom"/>
            <w:tcBorders>
              <w:bottom w:val="single" w:sz="8" w:color="auto"/>
            </w:tcBorders>
            <w:shd w:val="clear" w:color="auto" w:fill="B6D2E2"/>
          </w:tcPr>
          <w:p>
            <w:pPr>
              <w:spacing w:after="0"/>
              <w:rPr>
                <w:sz w:val="17"/>
                <w:szCs w:val="17"/>
                <w:color w:val="auto"/>
              </w:rPr>
            </w:pPr>
          </w:p>
        </w:tc>
        <w:tc>
          <w:tcPr>
            <w:tcW w:w="126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4,658</w:t>
            </w:r>
          </w:p>
        </w:tc>
        <w:tc>
          <w:tcPr>
            <w:tcW w:w="100" w:type="dxa"/>
            <w:vAlign w:val="bottom"/>
            <w:tcBorders>
              <w:bottom w:val="single" w:sz="8" w:color="auto"/>
            </w:tcBorders>
            <w:shd w:val="clear" w:color="auto" w:fill="B6D2E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4,754</w:t>
            </w:r>
          </w:p>
        </w:tc>
        <w:tc>
          <w:tcPr>
            <w:tcW w:w="100" w:type="dxa"/>
            <w:vAlign w:val="bottom"/>
            <w:tcBorders>
              <w:bottom w:val="single" w:sz="8" w:color="auto"/>
            </w:tcBorders>
            <w:shd w:val="clear" w:color="auto" w:fill="DEEAEB"/>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4,738</w:t>
            </w:r>
          </w:p>
        </w:tc>
        <w:tc>
          <w:tcPr>
            <w:tcW w:w="100" w:type="dxa"/>
            <w:vAlign w:val="bottom"/>
            <w:tcBorders>
              <w:bottom w:val="single" w:sz="8" w:color="auto"/>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Gross Proft</w:t>
            </w:r>
          </w:p>
        </w:tc>
        <w:tc>
          <w:tcPr>
            <w:tcW w:w="300" w:type="dxa"/>
            <w:vAlign w:val="bottom"/>
            <w:shd w:val="clear" w:color="auto" w:fill="B6D2E2"/>
          </w:tcPr>
          <w:p>
            <w:pPr>
              <w:spacing w:after="0"/>
              <w:rPr>
                <w:sz w:val="16"/>
                <w:szCs w:val="16"/>
                <w:color w:val="auto"/>
              </w:rPr>
            </w:pPr>
          </w:p>
        </w:tc>
        <w:tc>
          <w:tcPr>
            <w:tcW w:w="126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1,878</w:t>
            </w: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2,023</w:t>
            </w: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1,423</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Selling, general and administratve expenses</w:t>
            </w:r>
          </w:p>
        </w:tc>
        <w:tc>
          <w:tcPr>
            <w:tcW w:w="300" w:type="dxa"/>
            <w:vAlign w:val="bottom"/>
            <w:shd w:val="clear" w:color="auto" w:fill="B6D2E2"/>
          </w:tcPr>
          <w:p>
            <w:pPr>
              <w:spacing w:after="0"/>
              <w:rPr>
                <w:sz w:val="16"/>
                <w:szCs w:val="16"/>
                <w:color w:val="auto"/>
              </w:rPr>
            </w:pPr>
          </w:p>
        </w:tc>
        <w:tc>
          <w:tcPr>
            <w:tcW w:w="126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447</w:t>
            </w: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443</w:t>
            </w: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397</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Acquisiton, divestture and integraton expenses</w:t>
            </w:r>
          </w:p>
        </w:tc>
        <w:tc>
          <w:tcPr>
            <w:tcW w:w="300" w:type="dxa"/>
            <w:vAlign w:val="bottom"/>
            <w:shd w:val="clear" w:color="auto" w:fill="B6D2E2"/>
          </w:tcPr>
          <w:p>
            <w:pPr>
              <w:spacing w:after="0"/>
              <w:rPr>
                <w:sz w:val="16"/>
                <w:szCs w:val="16"/>
                <w:color w:val="auto"/>
              </w:rPr>
            </w:pPr>
          </w:p>
        </w:tc>
        <w:tc>
          <w:tcPr>
            <w:tcW w:w="126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50</w:t>
            </w: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12</w:t>
            </w: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9</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Other operatng income, net</w:t>
            </w:r>
          </w:p>
        </w:tc>
        <w:tc>
          <w:tcPr>
            <w:tcW w:w="300" w:type="dxa"/>
            <w:vAlign w:val="bottom"/>
            <w:tcBorders>
              <w:bottom w:val="single" w:sz="8" w:color="B6D2E2"/>
            </w:tcBorders>
            <w:shd w:val="clear" w:color="auto" w:fill="B6D2E2"/>
          </w:tcPr>
          <w:p>
            <w:pPr>
              <w:spacing w:after="0"/>
              <w:rPr>
                <w:sz w:val="19"/>
                <w:szCs w:val="19"/>
                <w:color w:val="auto"/>
              </w:rPr>
            </w:pPr>
          </w:p>
        </w:tc>
        <w:tc>
          <w:tcPr>
            <w:tcW w:w="12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(1,326</w:t>
            </w:r>
          </w:p>
        </w:tc>
        <w:tc>
          <w:tcPr>
            <w:tcW w:w="1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9"/>
                <w:szCs w:val="19"/>
                <w:color w:val="auto"/>
              </w:rPr>
            </w:pPr>
          </w:p>
        </w:tc>
        <w:tc>
          <w:tcPr>
            <w:tcW w:w="260" w:type="dxa"/>
            <w:vAlign w:val="bottom"/>
            <w:tcBorders>
              <w:bottom w:val="single" w:sz="8" w:color="DEEAEB"/>
            </w:tcBorders>
            <w:shd w:val="clear" w:color="auto" w:fill="DEEAEB"/>
          </w:tcPr>
          <w:p>
            <w:pPr>
              <w:spacing w:after="0"/>
              <w:rPr>
                <w:sz w:val="19"/>
                <w:szCs w:val="19"/>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(28</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9"/>
                <w:szCs w:val="19"/>
                <w:color w:val="auto"/>
              </w:rPr>
            </w:pPr>
          </w:p>
        </w:tc>
        <w:tc>
          <w:tcPr>
            <w:tcW w:w="260" w:type="dxa"/>
            <w:vAlign w:val="bottom"/>
            <w:tcBorders>
              <w:bottom w:val="single" w:sz="8" w:color="DEEAEB"/>
            </w:tcBorders>
            <w:shd w:val="clear" w:color="auto" w:fill="DEEAEB"/>
          </w:tcPr>
          <w:p>
            <w:pPr>
              <w:spacing w:after="0"/>
              <w:rPr>
                <w:sz w:val="19"/>
                <w:szCs w:val="19"/>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(190</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Earnings from Operatons</w:t>
            </w:r>
          </w:p>
        </w:tc>
        <w:tc>
          <w:tcPr>
            <w:tcW w:w="300" w:type="dxa"/>
            <w:vAlign w:val="bottom"/>
            <w:tcBorders>
              <w:top w:val="single" w:sz="8" w:color="auto"/>
            </w:tcBorders>
            <w:shd w:val="clear" w:color="auto" w:fill="B6D2E2"/>
          </w:tcPr>
          <w:p>
            <w:pPr>
              <w:spacing w:after="0"/>
              <w:rPr>
                <w:sz w:val="16"/>
                <w:szCs w:val="16"/>
                <w:color w:val="auto"/>
              </w:rPr>
            </w:pPr>
          </w:p>
        </w:tc>
        <w:tc>
          <w:tcPr>
            <w:tcW w:w="126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2,707</w:t>
            </w:r>
          </w:p>
        </w:tc>
        <w:tc>
          <w:tcPr>
            <w:tcW w:w="10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1,596</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1,207</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Interest expense</w:t>
            </w:r>
          </w:p>
        </w:tc>
        <w:tc>
          <w:tcPr>
            <w:tcW w:w="300" w:type="dxa"/>
            <w:vAlign w:val="bottom"/>
            <w:shd w:val="clear" w:color="auto" w:fill="B6D2E2"/>
          </w:tcPr>
          <w:p>
            <w:pPr>
              <w:spacing w:after="0"/>
              <w:rPr>
                <w:sz w:val="16"/>
                <w:szCs w:val="16"/>
                <w:color w:val="auto"/>
              </w:rPr>
            </w:pPr>
          </w:p>
        </w:tc>
        <w:tc>
          <w:tcPr>
            <w:tcW w:w="126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169</w:t>
            </w: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165</w:t>
            </w: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169</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Other nonoperatng income, net</w:t>
            </w:r>
          </w:p>
        </w:tc>
        <w:tc>
          <w:tcPr>
            <w:tcW w:w="300" w:type="dxa"/>
            <w:vAlign w:val="bottom"/>
            <w:tcBorders>
              <w:bottom w:val="single" w:sz="8" w:color="B6D2E2"/>
            </w:tcBorders>
            <w:shd w:val="clear" w:color="auto" w:fill="B6D2E2"/>
          </w:tcPr>
          <w:p>
            <w:pPr>
              <w:spacing w:after="0"/>
              <w:rPr>
                <w:sz w:val="19"/>
                <w:szCs w:val="19"/>
                <w:color w:val="auto"/>
              </w:rPr>
            </w:pPr>
          </w:p>
        </w:tc>
        <w:tc>
          <w:tcPr>
            <w:tcW w:w="1360" w:type="dxa"/>
            <w:vAlign w:val="bottom"/>
            <w:tcBorders>
              <w:bottom w:val="single" w:sz="8" w:color="B6D2E2"/>
            </w:tcBorders>
            <w:gridSpan w:val="2"/>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(58 )</w:t>
            </w:r>
          </w:p>
        </w:tc>
        <w:tc>
          <w:tcPr>
            <w:tcW w:w="160" w:type="dxa"/>
            <w:vAlign w:val="bottom"/>
          </w:tcPr>
          <w:p>
            <w:pPr>
              <w:spacing w:after="0"/>
              <w:rPr>
                <w:sz w:val="19"/>
                <w:szCs w:val="19"/>
                <w:color w:val="auto"/>
              </w:rPr>
            </w:pPr>
          </w:p>
        </w:tc>
        <w:tc>
          <w:tcPr>
            <w:tcW w:w="260" w:type="dxa"/>
            <w:vAlign w:val="bottom"/>
            <w:tcBorders>
              <w:bottom w:val="single" w:sz="8" w:color="DEEAEB"/>
            </w:tcBorders>
            <w:shd w:val="clear" w:color="auto" w:fill="DEEAEB"/>
          </w:tcPr>
          <w:p>
            <w:pPr>
              <w:spacing w:after="0"/>
              <w:rPr>
                <w:sz w:val="19"/>
                <w:szCs w:val="19"/>
                <w:color w:val="auto"/>
              </w:rPr>
            </w:pPr>
          </w:p>
        </w:tc>
        <w:tc>
          <w:tcPr>
            <w:tcW w:w="1380" w:type="dxa"/>
            <w:vAlign w:val="bottom"/>
            <w:tcBorders>
              <w:bottom w:val="single" w:sz="8" w:color="DEEAEB"/>
            </w:tcBorders>
            <w:gridSpan w:val="2"/>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(62 )</w:t>
            </w:r>
          </w:p>
        </w:tc>
        <w:tc>
          <w:tcPr>
            <w:tcW w:w="160" w:type="dxa"/>
            <w:vAlign w:val="bottom"/>
          </w:tcPr>
          <w:p>
            <w:pPr>
              <w:spacing w:after="0"/>
              <w:rPr>
                <w:sz w:val="19"/>
                <w:szCs w:val="19"/>
                <w:color w:val="auto"/>
              </w:rPr>
            </w:pPr>
          </w:p>
        </w:tc>
        <w:tc>
          <w:tcPr>
            <w:tcW w:w="260" w:type="dxa"/>
            <w:vAlign w:val="bottom"/>
            <w:tcBorders>
              <w:bottom w:val="single" w:sz="8" w:color="DEEAEB"/>
            </w:tcBorders>
            <w:shd w:val="clear" w:color="auto" w:fill="DEEAEB"/>
          </w:tcPr>
          <w:p>
            <w:pPr>
              <w:spacing w:after="0"/>
              <w:rPr>
                <w:sz w:val="19"/>
                <w:szCs w:val="19"/>
                <w:color w:val="auto"/>
              </w:rPr>
            </w:pPr>
          </w:p>
        </w:tc>
        <w:tc>
          <w:tcPr>
            <w:tcW w:w="1380" w:type="dxa"/>
            <w:vAlign w:val="bottom"/>
            <w:tcBorders>
              <w:bottom w:val="single" w:sz="8" w:color="DEEAEB"/>
            </w:tcBorders>
            <w:gridSpan w:val="2"/>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(53 )</w:t>
            </w: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Earnings from contnuing operatons before income tax expense</w:t>
            </w:r>
          </w:p>
        </w:tc>
        <w:tc>
          <w:tcPr>
            <w:tcW w:w="300" w:type="dxa"/>
            <w:vAlign w:val="bottom"/>
            <w:tcBorders>
              <w:top w:val="single" w:sz="8" w:color="auto"/>
            </w:tcBorders>
            <w:shd w:val="clear" w:color="auto" w:fill="B6D2E2"/>
          </w:tcPr>
          <w:p>
            <w:pPr>
              <w:spacing w:after="0"/>
              <w:rPr>
                <w:sz w:val="16"/>
                <w:szCs w:val="16"/>
                <w:color w:val="auto"/>
              </w:rPr>
            </w:pPr>
          </w:p>
        </w:tc>
        <w:tc>
          <w:tcPr>
            <w:tcW w:w="126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2,596</w:t>
            </w:r>
          </w:p>
        </w:tc>
        <w:tc>
          <w:tcPr>
            <w:tcW w:w="10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1,493</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1,091</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color w:val="auto"/>
              </w:rPr>
              <w:t>Income tax expense</w:t>
            </w:r>
          </w:p>
        </w:tc>
        <w:tc>
          <w:tcPr>
            <w:tcW w:w="300" w:type="dxa"/>
            <w:vAlign w:val="bottom"/>
            <w:tcBorders>
              <w:bottom w:val="single" w:sz="8" w:color="auto"/>
            </w:tcBorders>
            <w:shd w:val="clear" w:color="auto" w:fill="B6D2E2"/>
          </w:tcPr>
          <w:p>
            <w:pPr>
              <w:spacing w:after="0"/>
              <w:rPr>
                <w:sz w:val="17"/>
                <w:szCs w:val="17"/>
                <w:color w:val="auto"/>
              </w:rPr>
            </w:pPr>
          </w:p>
        </w:tc>
        <w:tc>
          <w:tcPr>
            <w:tcW w:w="126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600</w:t>
            </w:r>
          </w:p>
        </w:tc>
        <w:tc>
          <w:tcPr>
            <w:tcW w:w="100" w:type="dxa"/>
            <w:vAlign w:val="bottom"/>
            <w:tcBorders>
              <w:bottom w:val="single" w:sz="8" w:color="auto"/>
            </w:tcBorders>
            <w:shd w:val="clear" w:color="auto" w:fill="B6D2E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293</w:t>
            </w:r>
          </w:p>
        </w:tc>
        <w:tc>
          <w:tcPr>
            <w:tcW w:w="100" w:type="dxa"/>
            <w:vAlign w:val="bottom"/>
            <w:tcBorders>
              <w:bottom w:val="single" w:sz="8" w:color="auto"/>
            </w:tcBorders>
            <w:shd w:val="clear" w:color="auto" w:fill="DEEAEB"/>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235</w:t>
            </w:r>
          </w:p>
        </w:tc>
        <w:tc>
          <w:tcPr>
            <w:tcW w:w="100" w:type="dxa"/>
            <w:vAlign w:val="bottom"/>
            <w:tcBorders>
              <w:bottom w:val="single" w:sz="8" w:color="auto"/>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Earnings from contnuing operatons</w:t>
            </w:r>
          </w:p>
        </w:tc>
        <w:tc>
          <w:tcPr>
            <w:tcW w:w="300" w:type="dxa"/>
            <w:vAlign w:val="bottom"/>
            <w:shd w:val="clear" w:color="auto" w:fill="B6D2E2"/>
          </w:tcPr>
          <w:p>
            <w:pPr>
              <w:spacing w:after="0"/>
              <w:rPr>
                <w:sz w:val="16"/>
                <w:szCs w:val="16"/>
                <w:color w:val="auto"/>
              </w:rPr>
            </w:pPr>
          </w:p>
        </w:tc>
        <w:tc>
          <w:tcPr>
            <w:tcW w:w="126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1,996</w:t>
            </w: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1,200</w:t>
            </w: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856</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(Loss) Earnings from discontnued operatons, net of income tax</w:t>
            </w:r>
          </w:p>
        </w:tc>
        <w:tc>
          <w:tcPr>
            <w:tcW w:w="300" w:type="dxa"/>
            <w:vAlign w:val="bottom"/>
            <w:shd w:val="clear" w:color="auto" w:fill="B6D2E2"/>
          </w:tcPr>
          <w:p>
            <w:pPr>
              <w:spacing w:after="0"/>
              <w:rPr>
                <w:sz w:val="16"/>
                <w:szCs w:val="16"/>
                <w:color w:val="auto"/>
              </w:rPr>
            </w:pPr>
          </w:p>
        </w:tc>
        <w:tc>
          <w:tcPr>
            <w:tcW w:w="1260" w:type="dxa"/>
            <w:vAlign w:val="bottom"/>
            <w:shd w:val="clear" w:color="auto" w:fill="B6D2E2"/>
          </w:tcPr>
          <w:p>
            <w:pPr>
              <w:spacing w:after="0"/>
              <w:rPr>
                <w:sz w:val="16"/>
                <w:szCs w:val="16"/>
                <w:color w:val="auto"/>
              </w:rPr>
            </w:pP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980" w:type="dxa"/>
            <w:vAlign w:val="bottom"/>
          </w:tcPr>
          <w:p>
            <w:pPr>
              <w:ind w:left="140"/>
              <w:spacing w:after="0" w:line="193" w:lineRule="exact"/>
              <w:rPr>
                <w:sz w:val="20"/>
                <w:szCs w:val="20"/>
                <w:color w:val="auto"/>
              </w:rPr>
            </w:pPr>
            <w:r>
              <w:rPr>
                <w:rFonts w:ascii="Calibri" w:cs="Calibri" w:eastAsia="Calibri" w:hAnsi="Calibri"/>
                <w:sz w:val="16"/>
                <w:szCs w:val="16"/>
                <w:color w:val="auto"/>
              </w:rPr>
              <w:t>(beneft) expense</w:t>
            </w:r>
          </w:p>
        </w:tc>
        <w:tc>
          <w:tcPr>
            <w:tcW w:w="300" w:type="dxa"/>
            <w:vAlign w:val="bottom"/>
            <w:tcBorders>
              <w:bottom w:val="single" w:sz="8" w:color="B6D2E2"/>
            </w:tcBorders>
            <w:shd w:val="clear" w:color="auto" w:fill="B6D2E2"/>
          </w:tcPr>
          <w:p>
            <w:pPr>
              <w:spacing w:after="0"/>
              <w:rPr>
                <w:sz w:val="19"/>
                <w:szCs w:val="19"/>
                <w:color w:val="auto"/>
              </w:rPr>
            </w:pPr>
          </w:p>
        </w:tc>
        <w:tc>
          <w:tcPr>
            <w:tcW w:w="1360" w:type="dxa"/>
            <w:vAlign w:val="bottom"/>
            <w:tcBorders>
              <w:bottom w:val="single" w:sz="8" w:color="B6D2E2"/>
            </w:tcBorders>
            <w:gridSpan w:val="2"/>
            <w:shd w:val="clear" w:color="auto" w:fill="B6D2E2"/>
          </w:tcPr>
          <w:p>
            <w:pPr>
              <w:jc w:val="right"/>
              <w:ind w:right="39"/>
              <w:spacing w:after="0" w:line="193" w:lineRule="exact"/>
              <w:rPr>
                <w:sz w:val="20"/>
                <w:szCs w:val="20"/>
                <w:color w:val="auto"/>
              </w:rPr>
            </w:pPr>
            <w:r>
              <w:rPr>
                <w:rFonts w:ascii="Calibri" w:cs="Calibri" w:eastAsia="Calibri" w:hAnsi="Calibri"/>
                <w:sz w:val="16"/>
                <w:szCs w:val="16"/>
                <w:b w:val="1"/>
                <w:bCs w:val="1"/>
                <w:color w:val="auto"/>
              </w:rPr>
              <w:t>—</w:t>
            </w:r>
          </w:p>
        </w:tc>
        <w:tc>
          <w:tcPr>
            <w:tcW w:w="160" w:type="dxa"/>
            <w:vAlign w:val="bottom"/>
          </w:tcPr>
          <w:p>
            <w:pPr>
              <w:spacing w:after="0"/>
              <w:rPr>
                <w:sz w:val="19"/>
                <w:szCs w:val="19"/>
                <w:color w:val="auto"/>
              </w:rPr>
            </w:pPr>
          </w:p>
        </w:tc>
        <w:tc>
          <w:tcPr>
            <w:tcW w:w="260" w:type="dxa"/>
            <w:vAlign w:val="bottom"/>
            <w:tcBorders>
              <w:bottom w:val="single" w:sz="8" w:color="DEEAEB"/>
            </w:tcBorders>
            <w:shd w:val="clear" w:color="auto" w:fill="DEEAEB"/>
          </w:tcPr>
          <w:p>
            <w:pPr>
              <w:spacing w:after="0"/>
              <w:rPr>
                <w:sz w:val="19"/>
                <w:szCs w:val="19"/>
                <w:color w:val="auto"/>
              </w:rPr>
            </w:pPr>
          </w:p>
        </w:tc>
        <w:tc>
          <w:tcPr>
            <w:tcW w:w="1380" w:type="dxa"/>
            <w:vAlign w:val="bottom"/>
            <w:tcBorders>
              <w:bottom w:val="single" w:sz="8" w:color="DEEAEB"/>
            </w:tcBorders>
            <w:gridSpan w:val="2"/>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(30 )</w:t>
            </w:r>
          </w:p>
        </w:tc>
        <w:tc>
          <w:tcPr>
            <w:tcW w:w="160" w:type="dxa"/>
            <w:vAlign w:val="bottom"/>
          </w:tcPr>
          <w:p>
            <w:pPr>
              <w:spacing w:after="0"/>
              <w:rPr>
                <w:sz w:val="19"/>
                <w:szCs w:val="19"/>
                <w:color w:val="auto"/>
              </w:rPr>
            </w:pPr>
          </w:p>
        </w:tc>
        <w:tc>
          <w:tcPr>
            <w:tcW w:w="260" w:type="dxa"/>
            <w:vAlign w:val="bottom"/>
            <w:tcBorders>
              <w:bottom w:val="single" w:sz="8" w:color="DEEAEB"/>
            </w:tcBorders>
            <w:shd w:val="clear" w:color="auto" w:fill="DEEAEB"/>
          </w:tcPr>
          <w:p>
            <w:pPr>
              <w:spacing w:after="0"/>
              <w:rPr>
                <w:sz w:val="19"/>
                <w:szCs w:val="19"/>
                <w:color w:val="auto"/>
              </w:rPr>
            </w:pPr>
          </w:p>
        </w:tc>
        <w:tc>
          <w:tcPr>
            <w:tcW w:w="1280" w:type="dxa"/>
            <w:vAlign w:val="bottom"/>
            <w:tcBorders>
              <w:bottom w:val="single" w:sz="8" w:color="DEEAEB"/>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11</w:t>
            </w:r>
          </w:p>
        </w:tc>
        <w:tc>
          <w:tcPr>
            <w:tcW w:w="100" w:type="dxa"/>
            <w:vAlign w:val="bottom"/>
            <w:tcBorders>
              <w:bottom w:val="single" w:sz="8" w:color="DEEAEB"/>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Consolidated net earnings</w:t>
            </w:r>
          </w:p>
        </w:tc>
        <w:tc>
          <w:tcPr>
            <w:tcW w:w="300" w:type="dxa"/>
            <w:vAlign w:val="bottom"/>
            <w:tcBorders>
              <w:top w:val="single" w:sz="8" w:color="auto"/>
            </w:tcBorders>
            <w:shd w:val="clear" w:color="auto" w:fill="B6D2E2"/>
          </w:tcPr>
          <w:p>
            <w:pPr>
              <w:spacing w:after="0"/>
              <w:rPr>
                <w:sz w:val="16"/>
                <w:szCs w:val="16"/>
                <w:color w:val="auto"/>
              </w:rPr>
            </w:pPr>
          </w:p>
        </w:tc>
        <w:tc>
          <w:tcPr>
            <w:tcW w:w="126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1,996</w:t>
            </w:r>
          </w:p>
        </w:tc>
        <w:tc>
          <w:tcPr>
            <w:tcW w:w="10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1,170</w:t>
            </w: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867</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color w:val="auto"/>
              </w:rPr>
              <w:t>Less: Net earnings atributable to noncontrolling interests</w:t>
            </w:r>
          </w:p>
        </w:tc>
        <w:tc>
          <w:tcPr>
            <w:tcW w:w="300" w:type="dxa"/>
            <w:vAlign w:val="bottom"/>
            <w:tcBorders>
              <w:bottom w:val="single" w:sz="8" w:color="auto"/>
            </w:tcBorders>
            <w:shd w:val="clear" w:color="auto" w:fill="B6D2E2"/>
          </w:tcPr>
          <w:p>
            <w:pPr>
              <w:spacing w:after="0"/>
              <w:rPr>
                <w:sz w:val="17"/>
                <w:szCs w:val="17"/>
                <w:color w:val="auto"/>
              </w:rPr>
            </w:pPr>
          </w:p>
        </w:tc>
        <w:tc>
          <w:tcPr>
            <w:tcW w:w="126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w:t>
            </w:r>
          </w:p>
        </w:tc>
        <w:tc>
          <w:tcPr>
            <w:tcW w:w="100" w:type="dxa"/>
            <w:vAlign w:val="bottom"/>
            <w:tcBorders>
              <w:bottom w:val="single" w:sz="8" w:color="auto"/>
            </w:tcBorders>
            <w:shd w:val="clear" w:color="auto" w:fill="B6D2E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auto"/>
            </w:tcBorders>
            <w:shd w:val="clear" w:color="auto" w:fill="DEEAEB"/>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380" w:type="dxa"/>
            <w:vAlign w:val="bottom"/>
            <w:tcBorders>
              <w:bottom w:val="single" w:sz="8" w:color="auto"/>
            </w:tcBorders>
            <w:gridSpan w:val="2"/>
            <w:shd w:val="clear" w:color="auto" w:fill="DEEAEB"/>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8"/>
        </w:trPr>
        <w:tc>
          <w:tcPr>
            <w:tcW w:w="598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Earnings Atributable to Martn Marieta</w:t>
            </w:r>
          </w:p>
        </w:tc>
        <w:tc>
          <w:tcPr>
            <w:tcW w:w="30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26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1,995</w:t>
            </w:r>
          </w:p>
        </w:tc>
        <w:tc>
          <w:tcPr>
            <w:tcW w:w="100" w:type="dxa"/>
            <w:vAlign w:val="bottom"/>
            <w:tcBorders>
              <w:bottom w:val="single" w:sz="8" w:color="auto"/>
            </w:tcBorders>
            <w:shd w:val="clear" w:color="auto" w:fill="B6D2E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1,169</w:t>
            </w:r>
          </w:p>
        </w:tc>
        <w:tc>
          <w:tcPr>
            <w:tcW w:w="100" w:type="dxa"/>
            <w:vAlign w:val="bottom"/>
            <w:tcBorders>
              <w:bottom w:val="single" w:sz="8" w:color="auto"/>
            </w:tcBorders>
            <w:shd w:val="clear" w:color="auto" w:fill="DEEAEB"/>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867</w:t>
            </w:r>
          </w:p>
        </w:tc>
        <w:tc>
          <w:tcPr>
            <w:tcW w:w="100" w:type="dxa"/>
            <w:vAlign w:val="bottom"/>
            <w:tcBorders>
              <w:bottom w:val="single" w:sz="8" w:color="auto"/>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5980" w:type="dxa"/>
            <w:vAlign w:val="bottom"/>
          </w:tcPr>
          <w:p>
            <w:pPr>
              <w:ind w:left="20"/>
              <w:spacing w:after="0"/>
              <w:rPr>
                <w:sz w:val="20"/>
                <w:szCs w:val="20"/>
                <w:color w:val="auto"/>
              </w:rPr>
            </w:pPr>
            <w:r>
              <w:rPr>
                <w:rFonts w:ascii="Calibri" w:cs="Calibri" w:eastAsia="Calibri" w:hAnsi="Calibri"/>
                <w:sz w:val="16"/>
                <w:szCs w:val="16"/>
                <w:b w:val="1"/>
                <w:bCs w:val="1"/>
                <w:color w:val="auto"/>
              </w:rPr>
              <w:t>Net Earnings (Loss) Atributable to Martn Marieta Per Common</w:t>
            </w:r>
          </w:p>
        </w:tc>
        <w:tc>
          <w:tcPr>
            <w:tcW w:w="300" w:type="dxa"/>
            <w:vAlign w:val="bottom"/>
            <w:shd w:val="clear" w:color="auto" w:fill="B6D2E2"/>
          </w:tcPr>
          <w:p>
            <w:pPr>
              <w:spacing w:after="0"/>
              <w:rPr>
                <w:sz w:val="24"/>
                <w:szCs w:val="24"/>
                <w:color w:val="auto"/>
              </w:rPr>
            </w:pPr>
          </w:p>
        </w:tc>
        <w:tc>
          <w:tcPr>
            <w:tcW w:w="1260" w:type="dxa"/>
            <w:vAlign w:val="bottom"/>
            <w:shd w:val="clear" w:color="auto" w:fill="B6D2E2"/>
          </w:tcPr>
          <w:p>
            <w:pPr>
              <w:spacing w:after="0"/>
              <w:rPr>
                <w:sz w:val="24"/>
                <w:szCs w:val="24"/>
                <w:color w:val="auto"/>
              </w:rPr>
            </w:pPr>
          </w:p>
        </w:tc>
        <w:tc>
          <w:tcPr>
            <w:tcW w:w="100" w:type="dxa"/>
            <w:vAlign w:val="bottom"/>
            <w:shd w:val="clear" w:color="auto" w:fill="B6D2E2"/>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shd w:val="clear" w:color="auto" w:fill="DEEAEB"/>
          </w:tcPr>
          <w:p>
            <w:pPr>
              <w:spacing w:after="0"/>
              <w:rPr>
                <w:sz w:val="24"/>
                <w:szCs w:val="24"/>
                <w:color w:val="auto"/>
              </w:rPr>
            </w:pPr>
          </w:p>
        </w:tc>
        <w:tc>
          <w:tcPr>
            <w:tcW w:w="1280" w:type="dxa"/>
            <w:vAlign w:val="bottom"/>
            <w:shd w:val="clear" w:color="auto" w:fill="DEEAEB"/>
          </w:tcPr>
          <w:p>
            <w:pPr>
              <w:spacing w:after="0"/>
              <w:rPr>
                <w:sz w:val="24"/>
                <w:szCs w:val="24"/>
                <w:color w:val="auto"/>
              </w:rPr>
            </w:pPr>
          </w:p>
        </w:tc>
        <w:tc>
          <w:tcPr>
            <w:tcW w:w="100" w:type="dxa"/>
            <w:vAlign w:val="bottom"/>
            <w:shd w:val="clear" w:color="auto" w:fill="DEEAEB"/>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shd w:val="clear" w:color="auto" w:fill="DEEAEB"/>
          </w:tcPr>
          <w:p>
            <w:pPr>
              <w:spacing w:after="0"/>
              <w:rPr>
                <w:sz w:val="24"/>
                <w:szCs w:val="24"/>
                <w:color w:val="auto"/>
              </w:rPr>
            </w:pPr>
          </w:p>
        </w:tc>
        <w:tc>
          <w:tcPr>
            <w:tcW w:w="1280" w:type="dxa"/>
            <w:vAlign w:val="bottom"/>
            <w:shd w:val="clear" w:color="auto" w:fill="DEEAEB"/>
          </w:tcPr>
          <w:p>
            <w:pPr>
              <w:spacing w:after="0"/>
              <w:rPr>
                <w:sz w:val="24"/>
                <w:szCs w:val="24"/>
                <w:color w:val="auto"/>
              </w:rPr>
            </w:pPr>
          </w:p>
        </w:tc>
        <w:tc>
          <w:tcPr>
            <w:tcW w:w="100" w:type="dxa"/>
            <w:vAlign w:val="bottom"/>
            <w:shd w:val="clear" w:color="auto" w:fill="DEEA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rPr>
                <w:sz w:val="20"/>
                <w:szCs w:val="20"/>
                <w:color w:val="auto"/>
              </w:rPr>
            </w:pPr>
            <w:r>
              <w:rPr>
                <w:rFonts w:ascii="Calibri" w:cs="Calibri" w:eastAsia="Calibri" w:hAnsi="Calibri"/>
                <w:sz w:val="16"/>
                <w:szCs w:val="16"/>
                <w:b w:val="1"/>
                <w:bCs w:val="1"/>
                <w:color w:val="auto"/>
              </w:rPr>
              <w:t>Share (see Note A)</w:t>
            </w:r>
          </w:p>
        </w:tc>
        <w:tc>
          <w:tcPr>
            <w:tcW w:w="300" w:type="dxa"/>
            <w:vAlign w:val="bottom"/>
            <w:shd w:val="clear" w:color="auto" w:fill="B6D2E2"/>
          </w:tcPr>
          <w:p>
            <w:pPr>
              <w:spacing w:after="0"/>
              <w:rPr>
                <w:sz w:val="17"/>
                <w:szCs w:val="17"/>
                <w:color w:val="auto"/>
              </w:rPr>
            </w:pPr>
          </w:p>
        </w:tc>
        <w:tc>
          <w:tcPr>
            <w:tcW w:w="126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0"/>
              <w:spacing w:after="0"/>
              <w:rPr>
                <w:sz w:val="20"/>
                <w:szCs w:val="20"/>
                <w:color w:val="auto"/>
              </w:rPr>
            </w:pPr>
            <w:r>
              <w:rPr>
                <w:rFonts w:ascii="Calibri" w:cs="Calibri" w:eastAsia="Calibri" w:hAnsi="Calibri"/>
                <w:sz w:val="16"/>
                <w:szCs w:val="16"/>
                <w:color w:val="auto"/>
              </w:rPr>
              <w:t>Basic earnings per share from contnuing operatons atributable to</w:t>
            </w:r>
          </w:p>
        </w:tc>
        <w:tc>
          <w:tcPr>
            <w:tcW w:w="300" w:type="dxa"/>
            <w:vAlign w:val="bottom"/>
            <w:shd w:val="clear" w:color="auto" w:fill="B6D2E2"/>
          </w:tcPr>
          <w:p>
            <w:pPr>
              <w:spacing w:after="0"/>
              <w:rPr>
                <w:sz w:val="17"/>
                <w:szCs w:val="17"/>
                <w:color w:val="auto"/>
              </w:rPr>
            </w:pPr>
          </w:p>
        </w:tc>
        <w:tc>
          <w:tcPr>
            <w:tcW w:w="126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common shareholders</w:t>
            </w:r>
          </w:p>
        </w:tc>
        <w:tc>
          <w:tcPr>
            <w:tcW w:w="3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32.50</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19.38</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13.74</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0"/>
              <w:spacing w:after="0"/>
              <w:rPr>
                <w:sz w:val="20"/>
                <w:szCs w:val="20"/>
                <w:color w:val="auto"/>
              </w:rPr>
            </w:pPr>
            <w:r>
              <w:rPr>
                <w:rFonts w:ascii="Calibri" w:cs="Calibri" w:eastAsia="Calibri" w:hAnsi="Calibri"/>
                <w:sz w:val="16"/>
                <w:szCs w:val="16"/>
                <w:color w:val="auto"/>
              </w:rPr>
              <w:t>Basic (loss) earnings per share from discontnued operatons</w:t>
            </w:r>
          </w:p>
        </w:tc>
        <w:tc>
          <w:tcPr>
            <w:tcW w:w="300" w:type="dxa"/>
            <w:vAlign w:val="bottom"/>
            <w:shd w:val="clear" w:color="auto" w:fill="B6D2E2"/>
          </w:tcPr>
          <w:p>
            <w:pPr>
              <w:spacing w:after="0"/>
              <w:rPr>
                <w:sz w:val="17"/>
                <w:szCs w:val="17"/>
                <w:color w:val="auto"/>
              </w:rPr>
            </w:pPr>
          </w:p>
        </w:tc>
        <w:tc>
          <w:tcPr>
            <w:tcW w:w="1360" w:type="dxa"/>
            <w:vAlign w:val="bottom"/>
            <w:gridSpan w:val="2"/>
            <w:vMerge w:val="restart"/>
            <w:shd w:val="clear" w:color="auto" w:fill="B6D2E2"/>
          </w:tcPr>
          <w:p>
            <w:pPr>
              <w:jc w:val="right"/>
              <w:ind w:right="39"/>
              <w:spacing w:after="0"/>
              <w:rPr>
                <w:sz w:val="20"/>
                <w:szCs w:val="20"/>
                <w:color w:val="auto"/>
              </w:rPr>
            </w:pPr>
            <w:r>
              <w:rPr>
                <w:rFonts w:ascii="Calibri" w:cs="Calibri" w:eastAsia="Calibri" w:hAnsi="Calibri"/>
                <w:sz w:val="16"/>
                <w:szCs w:val="16"/>
                <w:b w:val="1"/>
                <w:bCs w:val="1"/>
                <w:color w:val="auto"/>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380" w:type="dxa"/>
            <w:vAlign w:val="bottom"/>
            <w:gridSpan w:val="2"/>
            <w:vMerge w:val="restart"/>
            <w:shd w:val="clear" w:color="auto" w:fill="DEEAEB"/>
          </w:tcPr>
          <w:p>
            <w:pPr>
              <w:jc w:val="right"/>
              <w:spacing w:after="0"/>
              <w:rPr>
                <w:sz w:val="20"/>
                <w:szCs w:val="20"/>
                <w:color w:val="auto"/>
              </w:rPr>
            </w:pPr>
            <w:r>
              <w:rPr>
                <w:rFonts w:ascii="Calibri" w:cs="Calibri" w:eastAsia="Calibri" w:hAnsi="Calibri"/>
                <w:sz w:val="16"/>
                <w:szCs w:val="16"/>
                <w:color w:val="auto"/>
              </w:rPr>
              <w:t>(0.50 )</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0.17</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320"/>
              <w:spacing w:after="0"/>
              <w:rPr>
                <w:sz w:val="20"/>
                <w:szCs w:val="20"/>
                <w:color w:val="auto"/>
              </w:rPr>
            </w:pPr>
            <w:r>
              <w:rPr>
                <w:rFonts w:ascii="Calibri" w:cs="Calibri" w:eastAsia="Calibri" w:hAnsi="Calibri"/>
                <w:sz w:val="16"/>
                <w:szCs w:val="16"/>
                <w:color w:val="auto"/>
              </w:rPr>
              <w:t>atributable to common shareholders</w:t>
            </w:r>
          </w:p>
        </w:tc>
        <w:tc>
          <w:tcPr>
            <w:tcW w:w="300" w:type="dxa"/>
            <w:vAlign w:val="bottom"/>
            <w:tcBorders>
              <w:bottom w:val="single" w:sz="8" w:color="auto"/>
            </w:tcBorders>
            <w:shd w:val="clear" w:color="auto" w:fill="B6D2E2"/>
          </w:tcPr>
          <w:p>
            <w:pPr>
              <w:spacing w:after="0"/>
              <w:rPr>
                <w:sz w:val="18"/>
                <w:szCs w:val="18"/>
                <w:color w:val="auto"/>
              </w:rPr>
            </w:pPr>
          </w:p>
        </w:tc>
        <w:tc>
          <w:tcPr>
            <w:tcW w:w="1360" w:type="dxa"/>
            <w:vAlign w:val="bottom"/>
            <w:tcBorders>
              <w:bottom w:val="single" w:sz="8" w:color="auto"/>
            </w:tcBorders>
            <w:gridSpan w:val="2"/>
            <w:vMerge w:val="continue"/>
            <w:shd w:val="clear" w:color="auto" w:fill="B6D2E2"/>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shd w:val="clear" w:color="auto" w:fill="DEEAEB"/>
          </w:tcPr>
          <w:p>
            <w:pPr>
              <w:spacing w:after="0"/>
              <w:rPr>
                <w:sz w:val="18"/>
                <w:szCs w:val="18"/>
                <w:color w:val="auto"/>
              </w:rPr>
            </w:pPr>
          </w:p>
        </w:tc>
        <w:tc>
          <w:tcPr>
            <w:tcW w:w="1380" w:type="dxa"/>
            <w:vAlign w:val="bottom"/>
            <w:tcBorders>
              <w:bottom w:val="single" w:sz="8" w:color="auto"/>
            </w:tcBorders>
            <w:gridSpan w:val="2"/>
            <w:vMerge w:val="continue"/>
            <w:shd w:val="clear" w:color="auto" w:fill="DEEAEB"/>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EEAEB"/>
          </w:tcPr>
          <w:p>
            <w:pPr>
              <w:spacing w:after="0"/>
              <w:rPr>
                <w:sz w:val="18"/>
                <w:szCs w:val="18"/>
                <w:color w:val="auto"/>
              </w:rPr>
            </w:pPr>
          </w:p>
        </w:tc>
        <w:tc>
          <w:tcPr>
            <w:tcW w:w="1280" w:type="dxa"/>
            <w:vAlign w:val="bottom"/>
            <w:tcBorders>
              <w:bottom w:val="single" w:sz="8" w:color="auto"/>
            </w:tcBorders>
            <w:vMerge w:val="continue"/>
            <w:shd w:val="clear" w:color="auto" w:fill="DEEAEB"/>
          </w:tcPr>
          <w:p>
            <w:pPr>
              <w:spacing w:after="0"/>
              <w:rPr>
                <w:sz w:val="18"/>
                <w:szCs w:val="18"/>
                <w:color w:val="auto"/>
              </w:rPr>
            </w:pPr>
          </w:p>
        </w:tc>
        <w:tc>
          <w:tcPr>
            <w:tcW w:w="100" w:type="dxa"/>
            <w:vAlign w:val="bottom"/>
            <w:tcBorders>
              <w:bottom w:val="single" w:sz="8" w:color="auto"/>
            </w:tcBorders>
            <w:shd w:val="clear" w:color="auto" w:fill="DEEAEB"/>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30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26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32.50</w:t>
            </w:r>
          </w:p>
        </w:tc>
        <w:tc>
          <w:tcPr>
            <w:tcW w:w="100" w:type="dxa"/>
            <w:vAlign w:val="bottom"/>
            <w:tcBorders>
              <w:bottom w:val="single" w:sz="8" w:color="auto"/>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18.88</w:t>
            </w:r>
          </w:p>
        </w:tc>
        <w:tc>
          <w:tcPr>
            <w:tcW w:w="100" w:type="dxa"/>
            <w:vAlign w:val="bottom"/>
            <w:tcBorders>
              <w:bottom w:val="single" w:sz="8" w:color="auto"/>
            </w:tcBorders>
            <w:shd w:val="clear" w:color="auto" w:fill="DEEAEB"/>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13.91</w:t>
            </w:r>
          </w:p>
        </w:tc>
        <w:tc>
          <w:tcPr>
            <w:tcW w:w="100" w:type="dxa"/>
            <w:vAlign w:val="bottom"/>
            <w:tcBorders>
              <w:bottom w:val="single" w:sz="8" w:color="auto"/>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980" w:type="dxa"/>
            <w:vAlign w:val="bottom"/>
          </w:tcPr>
          <w:p>
            <w:pPr>
              <w:ind w:left="200"/>
              <w:spacing w:after="0"/>
              <w:rPr>
                <w:sz w:val="20"/>
                <w:szCs w:val="20"/>
                <w:color w:val="auto"/>
              </w:rPr>
            </w:pPr>
            <w:r>
              <w:rPr>
                <w:rFonts w:ascii="Calibri" w:cs="Calibri" w:eastAsia="Calibri" w:hAnsi="Calibri"/>
                <w:sz w:val="16"/>
                <w:szCs w:val="16"/>
                <w:color w:val="auto"/>
              </w:rPr>
              <w:t>Diluted earnings per share from contnuing operatons atributable</w:t>
            </w:r>
          </w:p>
        </w:tc>
        <w:tc>
          <w:tcPr>
            <w:tcW w:w="300" w:type="dxa"/>
            <w:vAlign w:val="bottom"/>
            <w:shd w:val="clear" w:color="auto" w:fill="B6D2E2"/>
          </w:tcPr>
          <w:p>
            <w:pPr>
              <w:spacing w:after="0"/>
              <w:rPr>
                <w:sz w:val="24"/>
                <w:szCs w:val="24"/>
                <w:color w:val="auto"/>
              </w:rPr>
            </w:pPr>
          </w:p>
        </w:tc>
        <w:tc>
          <w:tcPr>
            <w:tcW w:w="1260" w:type="dxa"/>
            <w:vAlign w:val="bottom"/>
            <w:shd w:val="clear" w:color="auto" w:fill="B6D2E2"/>
          </w:tcPr>
          <w:p>
            <w:pPr>
              <w:spacing w:after="0"/>
              <w:rPr>
                <w:sz w:val="24"/>
                <w:szCs w:val="24"/>
                <w:color w:val="auto"/>
              </w:rPr>
            </w:pPr>
          </w:p>
        </w:tc>
        <w:tc>
          <w:tcPr>
            <w:tcW w:w="100" w:type="dxa"/>
            <w:vAlign w:val="bottom"/>
            <w:shd w:val="clear" w:color="auto" w:fill="B6D2E2"/>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shd w:val="clear" w:color="auto" w:fill="DEEAEB"/>
          </w:tcPr>
          <w:p>
            <w:pPr>
              <w:spacing w:after="0"/>
              <w:rPr>
                <w:sz w:val="24"/>
                <w:szCs w:val="24"/>
                <w:color w:val="auto"/>
              </w:rPr>
            </w:pPr>
          </w:p>
        </w:tc>
        <w:tc>
          <w:tcPr>
            <w:tcW w:w="1280" w:type="dxa"/>
            <w:vAlign w:val="bottom"/>
            <w:shd w:val="clear" w:color="auto" w:fill="DEEAEB"/>
          </w:tcPr>
          <w:p>
            <w:pPr>
              <w:spacing w:after="0"/>
              <w:rPr>
                <w:sz w:val="24"/>
                <w:szCs w:val="24"/>
                <w:color w:val="auto"/>
              </w:rPr>
            </w:pPr>
          </w:p>
        </w:tc>
        <w:tc>
          <w:tcPr>
            <w:tcW w:w="100" w:type="dxa"/>
            <w:vAlign w:val="bottom"/>
            <w:shd w:val="clear" w:color="auto" w:fill="DEEAEB"/>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shd w:val="clear" w:color="auto" w:fill="DEEAEB"/>
          </w:tcPr>
          <w:p>
            <w:pPr>
              <w:spacing w:after="0"/>
              <w:rPr>
                <w:sz w:val="24"/>
                <w:szCs w:val="24"/>
                <w:color w:val="auto"/>
              </w:rPr>
            </w:pPr>
          </w:p>
        </w:tc>
        <w:tc>
          <w:tcPr>
            <w:tcW w:w="1280" w:type="dxa"/>
            <w:vAlign w:val="bottom"/>
            <w:shd w:val="clear" w:color="auto" w:fill="DEEAEB"/>
          </w:tcPr>
          <w:p>
            <w:pPr>
              <w:spacing w:after="0"/>
              <w:rPr>
                <w:sz w:val="24"/>
                <w:szCs w:val="24"/>
                <w:color w:val="auto"/>
              </w:rPr>
            </w:pPr>
          </w:p>
        </w:tc>
        <w:tc>
          <w:tcPr>
            <w:tcW w:w="100" w:type="dxa"/>
            <w:vAlign w:val="bottom"/>
            <w:shd w:val="clear" w:color="auto" w:fill="DEEA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to common shareholders</w:t>
            </w:r>
          </w:p>
        </w:tc>
        <w:tc>
          <w:tcPr>
            <w:tcW w:w="3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32.41</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19.32</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13.70</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0"/>
              <w:spacing w:after="0"/>
              <w:rPr>
                <w:sz w:val="20"/>
                <w:szCs w:val="20"/>
                <w:color w:val="auto"/>
              </w:rPr>
            </w:pPr>
            <w:r>
              <w:rPr>
                <w:rFonts w:ascii="Calibri" w:cs="Calibri" w:eastAsia="Calibri" w:hAnsi="Calibri"/>
                <w:sz w:val="16"/>
                <w:szCs w:val="16"/>
                <w:color w:val="auto"/>
              </w:rPr>
              <w:t>Diluted (loss) earnings per share from discontnued operatons</w:t>
            </w:r>
          </w:p>
        </w:tc>
        <w:tc>
          <w:tcPr>
            <w:tcW w:w="300" w:type="dxa"/>
            <w:vAlign w:val="bottom"/>
            <w:shd w:val="clear" w:color="auto" w:fill="B6D2E2"/>
          </w:tcPr>
          <w:p>
            <w:pPr>
              <w:spacing w:after="0"/>
              <w:rPr>
                <w:sz w:val="17"/>
                <w:szCs w:val="17"/>
                <w:color w:val="auto"/>
              </w:rPr>
            </w:pPr>
          </w:p>
        </w:tc>
        <w:tc>
          <w:tcPr>
            <w:tcW w:w="1360" w:type="dxa"/>
            <w:vAlign w:val="bottom"/>
            <w:gridSpan w:val="2"/>
            <w:vMerge w:val="restart"/>
            <w:shd w:val="clear" w:color="auto" w:fill="B6D2E2"/>
          </w:tcPr>
          <w:p>
            <w:pPr>
              <w:jc w:val="right"/>
              <w:ind w:right="39"/>
              <w:spacing w:after="0"/>
              <w:rPr>
                <w:sz w:val="20"/>
                <w:szCs w:val="20"/>
                <w:color w:val="auto"/>
              </w:rPr>
            </w:pPr>
            <w:r>
              <w:rPr>
                <w:rFonts w:ascii="Calibri" w:cs="Calibri" w:eastAsia="Calibri" w:hAnsi="Calibri"/>
                <w:sz w:val="16"/>
                <w:szCs w:val="16"/>
                <w:b w:val="1"/>
                <w:bCs w:val="1"/>
                <w:color w:val="auto"/>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380" w:type="dxa"/>
            <w:vAlign w:val="bottom"/>
            <w:gridSpan w:val="2"/>
            <w:vMerge w:val="restart"/>
            <w:shd w:val="clear" w:color="auto" w:fill="DEEAEB"/>
          </w:tcPr>
          <w:p>
            <w:pPr>
              <w:jc w:val="right"/>
              <w:spacing w:after="0"/>
              <w:rPr>
                <w:sz w:val="20"/>
                <w:szCs w:val="20"/>
                <w:color w:val="auto"/>
              </w:rPr>
            </w:pPr>
            <w:r>
              <w:rPr>
                <w:rFonts w:ascii="Calibri" w:cs="Calibri" w:eastAsia="Calibri" w:hAnsi="Calibri"/>
                <w:sz w:val="16"/>
                <w:szCs w:val="16"/>
                <w:color w:val="auto"/>
              </w:rPr>
              <w:t>(0.50 )</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0.17</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320"/>
              <w:spacing w:after="0"/>
              <w:rPr>
                <w:sz w:val="20"/>
                <w:szCs w:val="20"/>
                <w:color w:val="auto"/>
              </w:rPr>
            </w:pPr>
            <w:r>
              <w:rPr>
                <w:rFonts w:ascii="Calibri" w:cs="Calibri" w:eastAsia="Calibri" w:hAnsi="Calibri"/>
                <w:sz w:val="16"/>
                <w:szCs w:val="16"/>
                <w:color w:val="auto"/>
              </w:rPr>
              <w:t>atributable to common shareholders</w:t>
            </w:r>
          </w:p>
        </w:tc>
        <w:tc>
          <w:tcPr>
            <w:tcW w:w="300" w:type="dxa"/>
            <w:vAlign w:val="bottom"/>
            <w:tcBorders>
              <w:bottom w:val="single" w:sz="8" w:color="auto"/>
            </w:tcBorders>
            <w:shd w:val="clear" w:color="auto" w:fill="B6D2E2"/>
          </w:tcPr>
          <w:p>
            <w:pPr>
              <w:spacing w:after="0"/>
              <w:rPr>
                <w:sz w:val="18"/>
                <w:szCs w:val="18"/>
                <w:color w:val="auto"/>
              </w:rPr>
            </w:pPr>
          </w:p>
        </w:tc>
        <w:tc>
          <w:tcPr>
            <w:tcW w:w="1360" w:type="dxa"/>
            <w:vAlign w:val="bottom"/>
            <w:tcBorders>
              <w:bottom w:val="single" w:sz="8" w:color="auto"/>
            </w:tcBorders>
            <w:gridSpan w:val="2"/>
            <w:vMerge w:val="continue"/>
            <w:shd w:val="clear" w:color="auto" w:fill="B6D2E2"/>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shd w:val="clear" w:color="auto" w:fill="DEEAEB"/>
          </w:tcPr>
          <w:p>
            <w:pPr>
              <w:spacing w:after="0"/>
              <w:rPr>
                <w:sz w:val="18"/>
                <w:szCs w:val="18"/>
                <w:color w:val="auto"/>
              </w:rPr>
            </w:pPr>
          </w:p>
        </w:tc>
        <w:tc>
          <w:tcPr>
            <w:tcW w:w="1380" w:type="dxa"/>
            <w:vAlign w:val="bottom"/>
            <w:tcBorders>
              <w:bottom w:val="single" w:sz="8" w:color="auto"/>
            </w:tcBorders>
            <w:gridSpan w:val="2"/>
            <w:vMerge w:val="continue"/>
            <w:shd w:val="clear" w:color="auto" w:fill="DEEAEB"/>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EEAEB"/>
          </w:tcPr>
          <w:p>
            <w:pPr>
              <w:spacing w:after="0"/>
              <w:rPr>
                <w:sz w:val="18"/>
                <w:szCs w:val="18"/>
                <w:color w:val="auto"/>
              </w:rPr>
            </w:pPr>
          </w:p>
        </w:tc>
        <w:tc>
          <w:tcPr>
            <w:tcW w:w="1280" w:type="dxa"/>
            <w:vAlign w:val="bottom"/>
            <w:tcBorders>
              <w:bottom w:val="single" w:sz="8" w:color="auto"/>
            </w:tcBorders>
            <w:vMerge w:val="continue"/>
            <w:shd w:val="clear" w:color="auto" w:fill="DEEAEB"/>
          </w:tcPr>
          <w:p>
            <w:pPr>
              <w:spacing w:after="0"/>
              <w:rPr>
                <w:sz w:val="18"/>
                <w:szCs w:val="18"/>
                <w:color w:val="auto"/>
              </w:rPr>
            </w:pPr>
          </w:p>
        </w:tc>
        <w:tc>
          <w:tcPr>
            <w:tcW w:w="100" w:type="dxa"/>
            <w:vAlign w:val="bottom"/>
            <w:tcBorders>
              <w:bottom w:val="single" w:sz="8" w:color="auto"/>
            </w:tcBorders>
            <w:shd w:val="clear" w:color="auto" w:fill="DEEAEB"/>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30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26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32.41</w:t>
            </w:r>
          </w:p>
        </w:tc>
        <w:tc>
          <w:tcPr>
            <w:tcW w:w="100" w:type="dxa"/>
            <w:vAlign w:val="bottom"/>
            <w:tcBorders>
              <w:bottom w:val="single" w:sz="8" w:color="auto"/>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18.82</w:t>
            </w:r>
          </w:p>
        </w:tc>
        <w:tc>
          <w:tcPr>
            <w:tcW w:w="100" w:type="dxa"/>
            <w:vAlign w:val="bottom"/>
            <w:tcBorders>
              <w:bottom w:val="single" w:sz="8" w:color="auto"/>
            </w:tcBorders>
            <w:shd w:val="clear" w:color="auto" w:fill="DEEAEB"/>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13.87</w:t>
            </w:r>
          </w:p>
        </w:tc>
        <w:tc>
          <w:tcPr>
            <w:tcW w:w="100" w:type="dxa"/>
            <w:vAlign w:val="bottom"/>
            <w:tcBorders>
              <w:bottom w:val="single" w:sz="8" w:color="auto"/>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980" w:type="dxa"/>
            <w:vAlign w:val="bottom"/>
          </w:tcPr>
          <w:p>
            <w:pPr>
              <w:ind w:left="20"/>
              <w:spacing w:after="0" w:line="162" w:lineRule="exact"/>
              <w:rPr>
                <w:sz w:val="20"/>
                <w:szCs w:val="20"/>
                <w:color w:val="auto"/>
              </w:rPr>
            </w:pPr>
            <w:r>
              <w:rPr>
                <w:rFonts w:ascii="Calibri" w:cs="Calibri" w:eastAsia="Calibri" w:hAnsi="Calibri"/>
                <w:sz w:val="16"/>
                <w:szCs w:val="16"/>
                <w:b w:val="1"/>
                <w:bCs w:val="1"/>
                <w:color w:val="auto"/>
              </w:rPr>
              <w:t>Weighted-Average Common Shares Outstanding</w:t>
            </w:r>
          </w:p>
        </w:tc>
        <w:tc>
          <w:tcPr>
            <w:tcW w:w="300" w:type="dxa"/>
            <w:vAlign w:val="bottom"/>
            <w:shd w:val="clear" w:color="auto" w:fill="B6D2E2"/>
          </w:tcPr>
          <w:p>
            <w:pPr>
              <w:spacing w:after="0"/>
              <w:rPr>
                <w:sz w:val="14"/>
                <w:szCs w:val="14"/>
                <w:color w:val="auto"/>
              </w:rPr>
            </w:pPr>
          </w:p>
        </w:tc>
        <w:tc>
          <w:tcPr>
            <w:tcW w:w="126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shd w:val="clear" w:color="auto" w:fill="DEEAEB"/>
          </w:tcPr>
          <w:p>
            <w:pPr>
              <w:spacing w:after="0"/>
              <w:rPr>
                <w:sz w:val="14"/>
                <w:szCs w:val="14"/>
                <w:color w:val="auto"/>
              </w:rPr>
            </w:pPr>
          </w:p>
        </w:tc>
        <w:tc>
          <w:tcPr>
            <w:tcW w:w="128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shd w:val="clear" w:color="auto" w:fill="DEEAEB"/>
          </w:tcPr>
          <w:p>
            <w:pPr>
              <w:spacing w:after="0"/>
              <w:rPr>
                <w:sz w:val="14"/>
                <w:szCs w:val="14"/>
                <w:color w:val="auto"/>
              </w:rPr>
            </w:pPr>
          </w:p>
        </w:tc>
        <w:tc>
          <w:tcPr>
            <w:tcW w:w="128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0"/>
              <w:spacing w:after="0"/>
              <w:rPr>
                <w:sz w:val="20"/>
                <w:szCs w:val="20"/>
                <w:color w:val="auto"/>
              </w:rPr>
            </w:pPr>
            <w:r>
              <w:rPr>
                <w:rFonts w:ascii="Calibri" w:cs="Calibri" w:eastAsia="Calibri" w:hAnsi="Calibri"/>
                <w:sz w:val="16"/>
                <w:szCs w:val="16"/>
                <w:color w:val="auto"/>
              </w:rPr>
              <w:t>Basic</w:t>
            </w:r>
          </w:p>
        </w:tc>
        <w:tc>
          <w:tcPr>
            <w:tcW w:w="300" w:type="dxa"/>
            <w:vAlign w:val="bottom"/>
            <w:tcBorders>
              <w:bottom w:val="single" w:sz="8" w:color="B6D2E2"/>
            </w:tcBorders>
            <w:shd w:val="clear" w:color="auto" w:fill="B6D2E2"/>
          </w:tcPr>
          <w:p>
            <w:pPr>
              <w:spacing w:after="0"/>
              <w:rPr>
                <w:sz w:val="20"/>
                <w:szCs w:val="20"/>
                <w:color w:val="auto"/>
              </w:rPr>
            </w:pPr>
          </w:p>
        </w:tc>
        <w:tc>
          <w:tcPr>
            <w:tcW w:w="12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61.4</w:t>
            </w:r>
          </w:p>
        </w:tc>
        <w:tc>
          <w:tcPr>
            <w:tcW w:w="100" w:type="dxa"/>
            <w:vAlign w:val="bottom"/>
            <w:tcBorders>
              <w:bottom w:val="single" w:sz="8" w:color="B6D2E2"/>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61.9</w:t>
            </w:r>
          </w:p>
        </w:tc>
        <w:tc>
          <w:tcPr>
            <w:tcW w:w="100" w:type="dxa"/>
            <w:vAlign w:val="bottom"/>
            <w:tcBorders>
              <w:bottom w:val="single" w:sz="8" w:color="DEEAEB"/>
            </w:tcBorders>
            <w:shd w:val="clear" w:color="auto" w:fill="DEEAEB"/>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62.3</w:t>
            </w:r>
          </w:p>
        </w:tc>
        <w:tc>
          <w:tcPr>
            <w:tcW w:w="100" w:type="dxa"/>
            <w:vAlign w:val="bottom"/>
            <w:tcBorders>
              <w:bottom w:val="single" w:sz="8" w:color="DEEAEB"/>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00"/>
              <w:spacing w:after="0" w:line="169" w:lineRule="exact"/>
              <w:rPr>
                <w:sz w:val="20"/>
                <w:szCs w:val="20"/>
                <w:color w:val="auto"/>
              </w:rPr>
            </w:pPr>
            <w:r>
              <w:rPr>
                <w:rFonts w:ascii="Calibri" w:cs="Calibri" w:eastAsia="Calibri" w:hAnsi="Calibri"/>
                <w:sz w:val="16"/>
                <w:szCs w:val="16"/>
                <w:color w:val="auto"/>
              </w:rPr>
              <w:t>Diluted</w:t>
            </w:r>
          </w:p>
        </w:tc>
        <w:tc>
          <w:tcPr>
            <w:tcW w:w="300" w:type="dxa"/>
            <w:vAlign w:val="bottom"/>
            <w:tcBorders>
              <w:top w:val="single" w:sz="8" w:color="auto"/>
              <w:bottom w:val="single" w:sz="8" w:color="auto"/>
            </w:tcBorders>
            <w:shd w:val="clear" w:color="auto" w:fill="B6D2E2"/>
          </w:tcPr>
          <w:p>
            <w:pPr>
              <w:spacing w:after="0"/>
              <w:rPr>
                <w:sz w:val="16"/>
                <w:szCs w:val="16"/>
                <w:color w:val="auto"/>
              </w:rPr>
            </w:pPr>
          </w:p>
        </w:tc>
        <w:tc>
          <w:tcPr>
            <w:tcW w:w="1260" w:type="dxa"/>
            <w:vAlign w:val="bottom"/>
            <w:tcBorders>
              <w:top w:val="single" w:sz="8" w:color="auto"/>
              <w:bottom w:val="single" w:sz="8" w:color="auto"/>
            </w:tcBorders>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rPr>
              <w:t>61.6</w:t>
            </w:r>
          </w:p>
        </w:tc>
        <w:tc>
          <w:tcPr>
            <w:tcW w:w="100" w:type="dxa"/>
            <w:vAlign w:val="bottom"/>
            <w:tcBorders>
              <w:top w:val="single" w:sz="8" w:color="auto"/>
              <w:bottom w:val="single" w:sz="8" w:color="auto"/>
            </w:tcBorders>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bottom w:val="single" w:sz="8" w:color="auto"/>
            </w:tcBorders>
            <w:shd w:val="clear" w:color="auto" w:fill="DEEAEB"/>
          </w:tcPr>
          <w:p>
            <w:pPr>
              <w:spacing w:after="0"/>
              <w:rPr>
                <w:sz w:val="16"/>
                <w:szCs w:val="16"/>
                <w:color w:val="auto"/>
              </w:rPr>
            </w:pPr>
          </w:p>
        </w:tc>
        <w:tc>
          <w:tcPr>
            <w:tcW w:w="128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62.1</w:t>
            </w:r>
          </w:p>
        </w:tc>
        <w:tc>
          <w:tcPr>
            <w:tcW w:w="100" w:type="dxa"/>
            <w:vAlign w:val="bottom"/>
            <w:tcBorders>
              <w:top w:val="single" w:sz="8" w:color="auto"/>
              <w:bottom w:val="single" w:sz="8" w:color="auto"/>
            </w:tcBorders>
            <w:shd w:val="clear" w:color="auto" w:fill="DEEAEB"/>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shd w:val="clear" w:color="auto" w:fill="DEEAEB"/>
          </w:tcPr>
          <w:p>
            <w:pPr>
              <w:spacing w:after="0"/>
              <w:rPr>
                <w:sz w:val="16"/>
                <w:szCs w:val="16"/>
                <w:color w:val="auto"/>
              </w:rPr>
            </w:pPr>
          </w:p>
        </w:tc>
        <w:tc>
          <w:tcPr>
            <w:tcW w:w="128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62.5</w:t>
            </w:r>
          </w:p>
        </w:tc>
        <w:tc>
          <w:tcPr>
            <w:tcW w:w="100" w:type="dxa"/>
            <w:vAlign w:val="bottom"/>
            <w:tcBorders>
              <w:top w:val="single" w:sz="8" w:color="auto"/>
              <w:bottom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1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9" w:name="page70"/>
    <w:bookmarkEnd w:id="69"/>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398"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b w:val="1"/>
          <w:bCs w:val="1"/>
          <w:color w:val="007DC6"/>
        </w:rPr>
        <w:t>Consolidated Statements of Comprehensive Earnings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ind w:left="20"/>
              <w:spacing w:after="0"/>
              <w:rPr>
                <w:sz w:val="20"/>
                <w:szCs w:val="20"/>
                <w:color w:val="auto"/>
              </w:rPr>
            </w:pPr>
            <w:r>
              <w:rPr>
                <w:rFonts w:ascii="Calibri" w:cs="Calibri" w:eastAsia="Calibri" w:hAnsi="Calibri"/>
                <w:sz w:val="16"/>
                <w:szCs w:val="16"/>
                <w:i w:val="1"/>
                <w:iCs w:val="1"/>
                <w:color w:val="auto"/>
              </w:rPr>
              <w:t>years ended December 31</w:t>
            </w:r>
          </w:p>
        </w:tc>
        <w:tc>
          <w:tcPr>
            <w:tcW w:w="180" w:type="dxa"/>
            <w:vAlign w:val="bottom"/>
            <w:shd w:val="clear" w:color="auto" w:fill="007DC6"/>
          </w:tcPr>
          <w:p>
            <w:pPr>
              <w:spacing w:after="0"/>
              <w:rPr>
                <w:sz w:val="16"/>
                <w:szCs w:val="16"/>
                <w:color w:val="auto"/>
              </w:rPr>
            </w:pPr>
          </w:p>
        </w:tc>
        <w:tc>
          <w:tcPr>
            <w:tcW w:w="120" w:type="dxa"/>
            <w:vAlign w:val="bottom"/>
            <w:shd w:val="clear" w:color="auto" w:fill="007DC6"/>
          </w:tcPr>
          <w:p>
            <w:pPr>
              <w:spacing w:after="0"/>
              <w:rPr>
                <w:sz w:val="16"/>
                <w:szCs w:val="16"/>
                <w:color w:val="auto"/>
              </w:rPr>
            </w:pPr>
          </w:p>
        </w:tc>
        <w:tc>
          <w:tcPr>
            <w:tcW w:w="1260" w:type="dxa"/>
            <w:vAlign w:val="bottom"/>
            <w:shd w:val="clear" w:color="auto" w:fill="007DC6"/>
          </w:tcPr>
          <w:p>
            <w:pPr>
              <w:spacing w:after="0"/>
              <w:rPr>
                <w:sz w:val="16"/>
                <w:szCs w:val="16"/>
                <w:color w:val="auto"/>
              </w:rPr>
            </w:pPr>
          </w:p>
        </w:tc>
        <w:tc>
          <w:tcPr>
            <w:tcW w:w="100" w:type="dxa"/>
            <w:vAlign w:val="bottom"/>
            <w:shd w:val="clear" w:color="auto" w:fill="007DC6"/>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w:t>
            </w:r>
          </w:p>
        </w:tc>
        <w:tc>
          <w:tcPr>
            <w:tcW w:w="180" w:type="dxa"/>
            <w:vAlign w:val="bottom"/>
            <w:tcBorders>
              <w:bottom w:val="single" w:sz="8" w:color="007DC6"/>
            </w:tcBorders>
            <w:shd w:val="clear" w:color="auto" w:fill="007DC6"/>
          </w:tcPr>
          <w:p>
            <w:pPr>
              <w:spacing w:after="0"/>
              <w:rPr>
                <w:sz w:val="19"/>
                <w:szCs w:val="19"/>
                <w:color w:val="auto"/>
              </w:rPr>
            </w:pPr>
          </w:p>
        </w:tc>
        <w:tc>
          <w:tcPr>
            <w:tcW w:w="120" w:type="dxa"/>
            <w:vAlign w:val="bottom"/>
            <w:tcBorders>
              <w:bottom w:val="single" w:sz="8" w:color="007DC6"/>
            </w:tcBorders>
            <w:shd w:val="clear" w:color="auto" w:fill="007DC6"/>
          </w:tcPr>
          <w:p>
            <w:pPr>
              <w:spacing w:after="0"/>
              <w:rPr>
                <w:sz w:val="19"/>
                <w:szCs w:val="19"/>
                <w:color w:val="auto"/>
              </w:rPr>
            </w:pPr>
          </w:p>
        </w:tc>
        <w:tc>
          <w:tcPr>
            <w:tcW w:w="1260" w:type="dxa"/>
            <w:vAlign w:val="bottom"/>
            <w:tcBorders>
              <w:bottom w:val="single" w:sz="8" w:color="007DC6"/>
            </w:tcBorders>
            <w:shd w:val="clear" w:color="auto" w:fill="007DC6"/>
          </w:tcPr>
          <w:p>
            <w:pPr>
              <w:jc w:val="right"/>
              <w:ind w:right="459"/>
              <w:spacing w:after="0" w:line="193" w:lineRule="exact"/>
              <w:rPr>
                <w:sz w:val="20"/>
                <w:szCs w:val="20"/>
                <w:color w:val="auto"/>
              </w:rPr>
            </w:pPr>
            <w:r>
              <w:rPr>
                <w:rFonts w:ascii="Calibri" w:cs="Calibri" w:eastAsia="Calibri" w:hAnsi="Calibri"/>
                <w:sz w:val="16"/>
                <w:szCs w:val="16"/>
                <w:b w:val="1"/>
                <w:bCs w:val="1"/>
                <w:color w:val="FFFFFF"/>
              </w:rPr>
              <w:t>2024</w:t>
            </w:r>
          </w:p>
        </w:tc>
        <w:tc>
          <w:tcPr>
            <w:tcW w:w="100" w:type="dxa"/>
            <w:vAlign w:val="bottom"/>
            <w:tcBorders>
              <w:bottom w:val="single" w:sz="8" w:color="007DC6"/>
            </w:tcBorders>
            <w:shd w:val="clear" w:color="auto" w:fill="007DC6"/>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DEEAEB"/>
            </w:tcBorders>
            <w:shd w:val="clear" w:color="auto" w:fill="DEEAEB"/>
          </w:tcPr>
          <w:p>
            <w:pPr>
              <w:spacing w:after="0"/>
              <w:rPr>
                <w:sz w:val="19"/>
                <w:szCs w:val="19"/>
                <w:color w:val="auto"/>
              </w:rPr>
            </w:pPr>
          </w:p>
        </w:tc>
        <w:tc>
          <w:tcPr>
            <w:tcW w:w="120" w:type="dxa"/>
            <w:vAlign w:val="bottom"/>
            <w:tcBorders>
              <w:bottom w:val="single" w:sz="8" w:color="DEEAEB"/>
            </w:tcBorders>
            <w:shd w:val="clear" w:color="auto" w:fill="DEEAEB"/>
          </w:tcPr>
          <w:p>
            <w:pPr>
              <w:spacing w:after="0"/>
              <w:rPr>
                <w:sz w:val="19"/>
                <w:szCs w:val="19"/>
                <w:color w:val="auto"/>
              </w:rPr>
            </w:pPr>
          </w:p>
        </w:tc>
        <w:tc>
          <w:tcPr>
            <w:tcW w:w="128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2023</w:t>
            </w:r>
          </w:p>
        </w:tc>
        <w:tc>
          <w:tcPr>
            <w:tcW w:w="100" w:type="dxa"/>
            <w:vAlign w:val="bottom"/>
            <w:tcBorders>
              <w:bottom w:val="single" w:sz="8" w:color="DEEAEB"/>
            </w:tcBorders>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DEEAEB"/>
            </w:tcBorders>
            <w:shd w:val="clear" w:color="auto" w:fill="DEEAEB"/>
          </w:tcPr>
          <w:p>
            <w:pPr>
              <w:spacing w:after="0"/>
              <w:rPr>
                <w:sz w:val="19"/>
                <w:szCs w:val="19"/>
                <w:color w:val="auto"/>
              </w:rPr>
            </w:pPr>
          </w:p>
        </w:tc>
        <w:tc>
          <w:tcPr>
            <w:tcW w:w="120" w:type="dxa"/>
            <w:vAlign w:val="bottom"/>
            <w:tcBorders>
              <w:bottom w:val="single" w:sz="8" w:color="DEEAEB"/>
            </w:tcBorders>
            <w:shd w:val="clear" w:color="auto" w:fill="DEEAEB"/>
          </w:tcPr>
          <w:p>
            <w:pPr>
              <w:spacing w:after="0"/>
              <w:rPr>
                <w:sz w:val="19"/>
                <w:szCs w:val="19"/>
                <w:color w:val="auto"/>
              </w:rPr>
            </w:pPr>
          </w:p>
        </w:tc>
        <w:tc>
          <w:tcPr>
            <w:tcW w:w="128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2022</w:t>
            </w:r>
          </w:p>
        </w:tc>
        <w:tc>
          <w:tcPr>
            <w:tcW w:w="100" w:type="dxa"/>
            <w:vAlign w:val="bottom"/>
            <w:tcBorders>
              <w:bottom w:val="single" w:sz="8" w:color="DEEAEB"/>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980" w:type="dxa"/>
            <w:vAlign w:val="bottom"/>
            <w:tcBorders>
              <w:top w:val="single" w:sz="8" w:color="auto"/>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Consolidated Net Earnings</w:t>
            </w:r>
          </w:p>
        </w:tc>
        <w:tc>
          <w:tcPr>
            <w:tcW w:w="300" w:type="dxa"/>
            <w:vAlign w:val="bottom"/>
            <w:tcBorders>
              <w:top w:val="single" w:sz="8" w:color="auto"/>
              <w:bottom w:val="single" w:sz="8" w:color="auto"/>
            </w:tcBorders>
            <w:gridSpan w:val="2"/>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rPr>
              <w:t>$</w:t>
            </w:r>
          </w:p>
        </w:tc>
        <w:tc>
          <w:tcPr>
            <w:tcW w:w="1260" w:type="dxa"/>
            <w:vAlign w:val="bottom"/>
            <w:tcBorders>
              <w:top w:val="single" w:sz="8" w:color="auto"/>
              <w:bottom w:val="single" w:sz="8" w:color="auto"/>
            </w:tcBorders>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rPr>
              <w:t>1,996</w:t>
            </w:r>
          </w:p>
        </w:tc>
        <w:tc>
          <w:tcPr>
            <w:tcW w:w="100" w:type="dxa"/>
            <w:vAlign w:val="bottom"/>
            <w:tcBorders>
              <w:top w:val="single" w:sz="8" w:color="auto"/>
              <w:bottom w:val="single" w:sz="8" w:color="auto"/>
            </w:tcBorders>
            <w:shd w:val="clear" w:color="auto" w:fill="B6D2E2"/>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gridSpan w:val="2"/>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1,170</w:t>
            </w:r>
          </w:p>
        </w:tc>
        <w:tc>
          <w:tcPr>
            <w:tcW w:w="100" w:type="dxa"/>
            <w:vAlign w:val="bottom"/>
            <w:tcBorders>
              <w:top w:val="single" w:sz="8" w:color="auto"/>
              <w:bottom w:val="single" w:sz="8" w:color="auto"/>
            </w:tcBorders>
            <w:shd w:val="clear" w:color="auto" w:fill="DEEAEB"/>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gridSpan w:val="2"/>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867</w:t>
            </w:r>
          </w:p>
        </w:tc>
        <w:tc>
          <w:tcPr>
            <w:tcW w:w="100" w:type="dxa"/>
            <w:vAlign w:val="bottom"/>
            <w:tcBorders>
              <w:top w:val="single" w:sz="8" w:color="auto"/>
              <w:bottom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0"/>
              <w:spacing w:after="0" w:line="192" w:lineRule="exact"/>
              <w:rPr>
                <w:sz w:val="20"/>
                <w:szCs w:val="20"/>
                <w:color w:val="auto"/>
              </w:rPr>
            </w:pPr>
            <w:r>
              <w:rPr>
                <w:rFonts w:ascii="Calibri" w:cs="Calibri" w:eastAsia="Calibri" w:hAnsi="Calibri"/>
                <w:sz w:val="16"/>
                <w:szCs w:val="16"/>
                <w:color w:val="auto"/>
              </w:rPr>
              <w:t>Other comprehensive earnings (loss), net of tax:</w:t>
            </w:r>
          </w:p>
        </w:tc>
        <w:tc>
          <w:tcPr>
            <w:tcW w:w="1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260" w:type="dxa"/>
            <w:vAlign w:val="bottom"/>
            <w:shd w:val="clear" w:color="auto" w:fill="B6D2E2"/>
          </w:tcPr>
          <w:p>
            <w:pPr>
              <w:spacing w:after="0"/>
              <w:rPr>
                <w:sz w:val="16"/>
                <w:szCs w:val="16"/>
                <w:color w:val="auto"/>
              </w:rPr>
            </w:pP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Defned beneft pension and postretrement plans:</w:t>
            </w:r>
          </w:p>
        </w:tc>
        <w:tc>
          <w:tcPr>
            <w:tcW w:w="1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260" w:type="dxa"/>
            <w:vAlign w:val="bottom"/>
            <w:shd w:val="clear" w:color="auto" w:fill="B6D2E2"/>
          </w:tcPr>
          <w:p>
            <w:pPr>
              <w:spacing w:after="0"/>
              <w:rPr>
                <w:sz w:val="16"/>
                <w:szCs w:val="16"/>
                <w:color w:val="auto"/>
              </w:rPr>
            </w:pP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0"/>
              <w:spacing w:after="0" w:line="193" w:lineRule="exact"/>
              <w:rPr>
                <w:sz w:val="20"/>
                <w:szCs w:val="20"/>
                <w:color w:val="auto"/>
              </w:rPr>
            </w:pPr>
            <w:r>
              <w:rPr>
                <w:rFonts w:ascii="Calibri" w:cs="Calibri" w:eastAsia="Calibri" w:hAnsi="Calibri"/>
                <w:sz w:val="16"/>
                <w:szCs w:val="16"/>
                <w:color w:val="auto"/>
              </w:rPr>
              <w:t>Net gain (loss) arising during period, net of tax of $11, $(5) and</w:t>
            </w:r>
          </w:p>
        </w:tc>
        <w:tc>
          <w:tcPr>
            <w:tcW w:w="1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260" w:type="dxa"/>
            <w:vAlign w:val="bottom"/>
            <w:shd w:val="clear" w:color="auto" w:fill="B6D2E2"/>
          </w:tcPr>
          <w:p>
            <w:pPr>
              <w:spacing w:after="0"/>
              <w:rPr>
                <w:sz w:val="16"/>
                <w:szCs w:val="16"/>
                <w:color w:val="auto"/>
              </w:rPr>
            </w:pP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28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320"/>
              <w:spacing w:after="0"/>
              <w:rPr>
                <w:sz w:val="20"/>
                <w:szCs w:val="20"/>
                <w:color w:val="auto"/>
              </w:rPr>
            </w:pPr>
            <w:r>
              <w:rPr>
                <w:rFonts w:ascii="Calibri" w:cs="Calibri" w:eastAsia="Calibri" w:hAnsi="Calibri"/>
                <w:sz w:val="16"/>
                <w:szCs w:val="16"/>
                <w:color w:val="auto"/>
              </w:rPr>
              <w:t>$29, respectvely</w:t>
            </w:r>
          </w:p>
        </w:tc>
        <w:tc>
          <w:tcPr>
            <w:tcW w:w="1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33</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380" w:type="dxa"/>
            <w:vAlign w:val="bottom"/>
            <w:gridSpan w:val="2"/>
            <w:shd w:val="clear" w:color="auto" w:fill="DEEAEB"/>
          </w:tcPr>
          <w:p>
            <w:pPr>
              <w:jc w:val="right"/>
              <w:spacing w:after="0"/>
              <w:rPr>
                <w:sz w:val="20"/>
                <w:szCs w:val="20"/>
                <w:color w:val="auto"/>
              </w:rPr>
            </w:pPr>
            <w:r>
              <w:rPr>
                <w:rFonts w:ascii="Calibri" w:cs="Calibri" w:eastAsia="Calibri" w:hAnsi="Calibri"/>
                <w:sz w:val="16"/>
                <w:szCs w:val="16"/>
                <w:color w:val="auto"/>
              </w:rPr>
              <w:t>(16 )</w:t>
            </w: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88</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0"/>
              <w:spacing w:after="0"/>
              <w:rPr>
                <w:sz w:val="20"/>
                <w:szCs w:val="20"/>
                <w:color w:val="auto"/>
              </w:rPr>
            </w:pPr>
            <w:r>
              <w:rPr>
                <w:rFonts w:ascii="Calibri" w:cs="Calibri" w:eastAsia="Calibri" w:hAnsi="Calibri"/>
                <w:sz w:val="16"/>
                <w:szCs w:val="16"/>
                <w:color w:val="auto"/>
              </w:rPr>
              <w:t>Prior service cost arising during period, net of tax of $0, $0 and</w:t>
            </w:r>
          </w:p>
        </w:tc>
        <w:tc>
          <w:tcPr>
            <w:tcW w:w="1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6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$(12), respectvely</w:t>
            </w:r>
          </w:p>
        </w:tc>
        <w:tc>
          <w:tcPr>
            <w:tcW w:w="1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(36</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0" w:type="dxa"/>
            <w:vAlign w:val="bottom"/>
          </w:tcPr>
          <w:p>
            <w:pPr>
              <w:spacing w:after="0"/>
              <w:rPr>
                <w:sz w:val="1"/>
                <w:szCs w:val="1"/>
                <w:color w:val="auto"/>
              </w:rPr>
            </w:pPr>
          </w:p>
        </w:tc>
      </w:tr>
      <w:tr>
        <w:trPr>
          <w:trHeight w:val="203"/>
        </w:trPr>
        <w:tc>
          <w:tcPr>
            <w:tcW w:w="5980" w:type="dxa"/>
            <w:vAlign w:val="bottom"/>
          </w:tcPr>
          <w:p>
            <w:pPr>
              <w:ind w:left="200"/>
              <w:spacing w:after="0"/>
              <w:rPr>
                <w:sz w:val="20"/>
                <w:szCs w:val="20"/>
                <w:color w:val="auto"/>
              </w:rPr>
            </w:pPr>
            <w:r>
              <w:rPr>
                <w:rFonts w:ascii="Calibri" w:cs="Calibri" w:eastAsia="Calibri" w:hAnsi="Calibri"/>
                <w:sz w:val="16"/>
                <w:szCs w:val="16"/>
                <w:color w:val="auto"/>
              </w:rPr>
              <w:t>Amortzaton of prior service cost, net of tax of $1, $2 and</w:t>
            </w:r>
          </w:p>
        </w:tc>
        <w:tc>
          <w:tcPr>
            <w:tcW w:w="1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6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$1, respectvely</w:t>
            </w:r>
          </w:p>
        </w:tc>
        <w:tc>
          <w:tcPr>
            <w:tcW w:w="1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0"/>
              <w:spacing w:after="0"/>
              <w:rPr>
                <w:sz w:val="20"/>
                <w:szCs w:val="20"/>
                <w:color w:val="auto"/>
              </w:rPr>
            </w:pPr>
            <w:r>
              <w:rPr>
                <w:rFonts w:ascii="Calibri" w:cs="Calibri" w:eastAsia="Calibri" w:hAnsi="Calibri"/>
                <w:sz w:val="16"/>
                <w:szCs w:val="16"/>
                <w:color w:val="auto"/>
              </w:rPr>
              <w:t>Amortzaton of actuarial loss, net of tax of $0, $0 and</w:t>
            </w:r>
          </w:p>
        </w:tc>
        <w:tc>
          <w:tcPr>
            <w:tcW w:w="1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6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$1, respectvely</w:t>
            </w:r>
          </w:p>
        </w:tc>
        <w:tc>
          <w:tcPr>
            <w:tcW w:w="1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0"/>
              <w:spacing w:after="0"/>
              <w:rPr>
                <w:sz w:val="20"/>
                <w:szCs w:val="20"/>
                <w:color w:val="auto"/>
              </w:rPr>
            </w:pPr>
            <w:r>
              <w:rPr>
                <w:rFonts w:ascii="Calibri" w:cs="Calibri" w:eastAsia="Calibri" w:hAnsi="Calibri"/>
                <w:sz w:val="16"/>
                <w:szCs w:val="16"/>
                <w:color w:val="auto"/>
              </w:rPr>
              <w:t>Amount recognized in net periodic pension cost due to setlement,</w:t>
            </w:r>
          </w:p>
        </w:tc>
        <w:tc>
          <w:tcPr>
            <w:tcW w:w="1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60" w:type="dxa"/>
            <w:vAlign w:val="bottom"/>
            <w:vMerge w:val="restart"/>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8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4</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320"/>
              <w:spacing w:after="0"/>
              <w:rPr>
                <w:sz w:val="20"/>
                <w:szCs w:val="20"/>
                <w:color w:val="auto"/>
              </w:rPr>
            </w:pPr>
            <w:r>
              <w:rPr>
                <w:rFonts w:ascii="Calibri" w:cs="Calibri" w:eastAsia="Calibri" w:hAnsi="Calibri"/>
                <w:sz w:val="16"/>
                <w:szCs w:val="16"/>
                <w:color w:val="auto"/>
              </w:rPr>
              <w:t>net of tax of $0, $0 and $1, respectvely</w:t>
            </w:r>
          </w:p>
        </w:tc>
        <w:tc>
          <w:tcPr>
            <w:tcW w:w="180" w:type="dxa"/>
            <w:vAlign w:val="bottom"/>
            <w:tcBorders>
              <w:bottom w:val="single" w:sz="8" w:color="auto"/>
            </w:tcBorders>
            <w:shd w:val="clear" w:color="auto" w:fill="B6D2E2"/>
          </w:tcPr>
          <w:p>
            <w:pPr>
              <w:spacing w:after="0"/>
              <w:rPr>
                <w:sz w:val="18"/>
                <w:szCs w:val="18"/>
                <w:color w:val="auto"/>
              </w:rPr>
            </w:pPr>
          </w:p>
        </w:tc>
        <w:tc>
          <w:tcPr>
            <w:tcW w:w="120" w:type="dxa"/>
            <w:vAlign w:val="bottom"/>
            <w:tcBorders>
              <w:bottom w:val="single" w:sz="8" w:color="auto"/>
            </w:tcBorders>
            <w:shd w:val="clear" w:color="auto" w:fill="B6D2E2"/>
          </w:tcPr>
          <w:p>
            <w:pPr>
              <w:spacing w:after="0"/>
              <w:rPr>
                <w:sz w:val="18"/>
                <w:szCs w:val="18"/>
                <w:color w:val="auto"/>
              </w:rPr>
            </w:pPr>
          </w:p>
        </w:tc>
        <w:tc>
          <w:tcPr>
            <w:tcW w:w="1260" w:type="dxa"/>
            <w:vAlign w:val="bottom"/>
            <w:tcBorders>
              <w:bottom w:val="single" w:sz="8" w:color="auto"/>
            </w:tcBorders>
            <w:vMerge w:val="continue"/>
            <w:shd w:val="clear" w:color="auto" w:fill="B6D2E2"/>
          </w:tcPr>
          <w:p>
            <w:pPr>
              <w:spacing w:after="0"/>
              <w:rPr>
                <w:sz w:val="18"/>
                <w:szCs w:val="18"/>
                <w:color w:val="auto"/>
              </w:rPr>
            </w:pPr>
          </w:p>
        </w:tc>
        <w:tc>
          <w:tcPr>
            <w:tcW w:w="100" w:type="dxa"/>
            <w:vAlign w:val="bottom"/>
            <w:tcBorders>
              <w:bottom w:val="single" w:sz="8" w:color="auto"/>
            </w:tcBorders>
            <w:shd w:val="clear" w:color="auto" w:fill="B6D2E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EEAEB"/>
          </w:tcPr>
          <w:p>
            <w:pPr>
              <w:spacing w:after="0"/>
              <w:rPr>
                <w:sz w:val="18"/>
                <w:szCs w:val="18"/>
                <w:color w:val="auto"/>
              </w:rPr>
            </w:pPr>
          </w:p>
        </w:tc>
        <w:tc>
          <w:tcPr>
            <w:tcW w:w="120" w:type="dxa"/>
            <w:vAlign w:val="bottom"/>
            <w:tcBorders>
              <w:bottom w:val="single" w:sz="8" w:color="auto"/>
            </w:tcBorders>
            <w:shd w:val="clear" w:color="auto" w:fill="DEEAEB"/>
          </w:tcPr>
          <w:p>
            <w:pPr>
              <w:spacing w:after="0"/>
              <w:rPr>
                <w:sz w:val="18"/>
                <w:szCs w:val="18"/>
                <w:color w:val="auto"/>
              </w:rPr>
            </w:pPr>
          </w:p>
        </w:tc>
        <w:tc>
          <w:tcPr>
            <w:tcW w:w="1280" w:type="dxa"/>
            <w:vAlign w:val="bottom"/>
            <w:tcBorders>
              <w:bottom w:val="single" w:sz="8" w:color="auto"/>
            </w:tcBorders>
            <w:vMerge w:val="continue"/>
            <w:shd w:val="clear" w:color="auto" w:fill="DEEAEB"/>
          </w:tcPr>
          <w:p>
            <w:pPr>
              <w:spacing w:after="0"/>
              <w:rPr>
                <w:sz w:val="18"/>
                <w:szCs w:val="18"/>
                <w:color w:val="auto"/>
              </w:rPr>
            </w:pPr>
          </w:p>
        </w:tc>
        <w:tc>
          <w:tcPr>
            <w:tcW w:w="100" w:type="dxa"/>
            <w:vAlign w:val="bottom"/>
            <w:tcBorders>
              <w:bottom w:val="single" w:sz="8" w:color="auto"/>
            </w:tcBorders>
            <w:shd w:val="clear" w:color="auto" w:fill="DEEAEB"/>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EEAEB"/>
          </w:tcPr>
          <w:p>
            <w:pPr>
              <w:spacing w:after="0"/>
              <w:rPr>
                <w:sz w:val="18"/>
                <w:szCs w:val="18"/>
                <w:color w:val="auto"/>
              </w:rPr>
            </w:pPr>
          </w:p>
        </w:tc>
        <w:tc>
          <w:tcPr>
            <w:tcW w:w="120" w:type="dxa"/>
            <w:vAlign w:val="bottom"/>
            <w:tcBorders>
              <w:bottom w:val="single" w:sz="8" w:color="auto"/>
            </w:tcBorders>
            <w:shd w:val="clear" w:color="auto" w:fill="DEEAEB"/>
          </w:tcPr>
          <w:p>
            <w:pPr>
              <w:spacing w:after="0"/>
              <w:rPr>
                <w:sz w:val="18"/>
                <w:szCs w:val="18"/>
                <w:color w:val="auto"/>
              </w:rPr>
            </w:pPr>
          </w:p>
        </w:tc>
        <w:tc>
          <w:tcPr>
            <w:tcW w:w="1280" w:type="dxa"/>
            <w:vAlign w:val="bottom"/>
            <w:tcBorders>
              <w:bottom w:val="single" w:sz="8" w:color="auto"/>
            </w:tcBorders>
            <w:vMerge w:val="continue"/>
            <w:shd w:val="clear" w:color="auto" w:fill="DEEAEB"/>
          </w:tcPr>
          <w:p>
            <w:pPr>
              <w:spacing w:after="0"/>
              <w:rPr>
                <w:sz w:val="18"/>
                <w:szCs w:val="18"/>
                <w:color w:val="auto"/>
              </w:rPr>
            </w:pPr>
          </w:p>
        </w:tc>
        <w:tc>
          <w:tcPr>
            <w:tcW w:w="100" w:type="dxa"/>
            <w:vAlign w:val="bottom"/>
            <w:tcBorders>
              <w:bottom w:val="single" w:sz="8" w:color="auto"/>
            </w:tcBorders>
            <w:shd w:val="clear" w:color="auto" w:fill="DEEAEB"/>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26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39</w:t>
            </w: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(12</w:t>
            </w:r>
          </w:p>
        </w:tc>
        <w:tc>
          <w:tcPr>
            <w:tcW w:w="1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6"/>
                <w:szCs w:val="16"/>
                <w:color w:val="auto"/>
              </w:rPr>
            </w:pPr>
          </w:p>
        </w:tc>
        <w:tc>
          <w:tcPr>
            <w:tcW w:w="14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c>
          <w:tcPr>
            <w:tcW w:w="128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62</w:t>
            </w:r>
          </w:p>
        </w:tc>
        <w:tc>
          <w:tcPr>
            <w:tcW w:w="100" w:type="dxa"/>
            <w:vAlign w:val="bottom"/>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Foreign currency translaton (loss) gain</w:t>
            </w:r>
          </w:p>
        </w:tc>
        <w:tc>
          <w:tcPr>
            <w:tcW w:w="180" w:type="dxa"/>
            <w:vAlign w:val="bottom"/>
            <w:tcBorders>
              <w:bottom w:val="single" w:sz="8" w:color="auto"/>
            </w:tcBorders>
            <w:shd w:val="clear" w:color="auto" w:fill="B6D2E2"/>
          </w:tcPr>
          <w:p>
            <w:pPr>
              <w:spacing w:after="0"/>
              <w:rPr>
                <w:sz w:val="17"/>
                <w:szCs w:val="17"/>
                <w:color w:val="auto"/>
              </w:rPr>
            </w:pPr>
          </w:p>
        </w:tc>
        <w:tc>
          <w:tcPr>
            <w:tcW w:w="120" w:type="dxa"/>
            <w:vAlign w:val="bottom"/>
            <w:tcBorders>
              <w:bottom w:val="single" w:sz="8" w:color="auto"/>
            </w:tcBorders>
            <w:shd w:val="clear" w:color="auto" w:fill="B6D2E2"/>
          </w:tcPr>
          <w:p>
            <w:pPr>
              <w:spacing w:after="0"/>
              <w:rPr>
                <w:sz w:val="17"/>
                <w:szCs w:val="17"/>
                <w:color w:val="auto"/>
              </w:rPr>
            </w:pPr>
          </w:p>
        </w:tc>
        <w:tc>
          <w:tcPr>
            <w:tcW w:w="1360" w:type="dxa"/>
            <w:vAlign w:val="bottom"/>
            <w:tcBorders>
              <w:bottom w:val="single" w:sz="8" w:color="auto"/>
            </w:tcBorders>
            <w:gridSpan w:val="2"/>
            <w:shd w:val="clear" w:color="auto" w:fill="B6D2E2"/>
          </w:tcPr>
          <w:p>
            <w:pPr>
              <w:jc w:val="right"/>
              <w:ind w:right="40"/>
              <w:spacing w:after="0" w:line="193" w:lineRule="exact"/>
              <w:rPr>
                <w:sz w:val="20"/>
                <w:szCs w:val="20"/>
                <w:color w:val="auto"/>
              </w:rPr>
            </w:pPr>
            <w:r>
              <w:rPr>
                <w:rFonts w:ascii="Calibri" w:cs="Calibri" w:eastAsia="Calibri" w:hAnsi="Calibri"/>
                <w:sz w:val="16"/>
                <w:szCs w:val="16"/>
                <w:b w:val="1"/>
                <w:bCs w:val="1"/>
                <w:color w:val="auto"/>
              </w:rPr>
              <w:t>(3 )</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DEEAEB"/>
          </w:tcPr>
          <w:p>
            <w:pPr>
              <w:spacing w:after="0"/>
              <w:rPr>
                <w:sz w:val="17"/>
                <w:szCs w:val="17"/>
                <w:color w:val="auto"/>
              </w:rPr>
            </w:pPr>
          </w:p>
        </w:tc>
        <w:tc>
          <w:tcPr>
            <w:tcW w:w="120" w:type="dxa"/>
            <w:vAlign w:val="bottom"/>
            <w:tcBorders>
              <w:bottom w:val="single" w:sz="8" w:color="auto"/>
            </w:tcBorders>
            <w:shd w:val="clear" w:color="auto" w:fill="DEEAEB"/>
          </w:tcPr>
          <w:p>
            <w:pPr>
              <w:spacing w:after="0"/>
              <w:rPr>
                <w:sz w:val="17"/>
                <w:szCs w:val="17"/>
                <w:color w:val="auto"/>
              </w:rPr>
            </w:pP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auto"/>
            </w:tcBorders>
            <w:shd w:val="clear" w:color="auto" w:fill="DEEAEB"/>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DEEAEB"/>
          </w:tcPr>
          <w:p>
            <w:pPr>
              <w:spacing w:after="0"/>
              <w:rPr>
                <w:sz w:val="17"/>
                <w:szCs w:val="17"/>
                <w:color w:val="auto"/>
              </w:rPr>
            </w:pPr>
          </w:p>
        </w:tc>
        <w:tc>
          <w:tcPr>
            <w:tcW w:w="120" w:type="dxa"/>
            <w:vAlign w:val="bottom"/>
            <w:tcBorders>
              <w:bottom w:val="single" w:sz="8" w:color="auto"/>
            </w:tcBorders>
            <w:shd w:val="clear" w:color="auto" w:fill="DEEAEB"/>
          </w:tcPr>
          <w:p>
            <w:pPr>
              <w:spacing w:after="0"/>
              <w:rPr>
                <w:sz w:val="17"/>
                <w:szCs w:val="17"/>
                <w:color w:val="auto"/>
              </w:rPr>
            </w:pPr>
          </w:p>
        </w:tc>
        <w:tc>
          <w:tcPr>
            <w:tcW w:w="1380" w:type="dxa"/>
            <w:vAlign w:val="bottom"/>
            <w:tcBorders>
              <w:bottom w:val="single" w:sz="8" w:color="auto"/>
            </w:tcBorders>
            <w:gridSpan w:val="2"/>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(2 )</w:t>
            </w:r>
          </w:p>
        </w:tc>
        <w:tc>
          <w:tcPr>
            <w:tcW w:w="0" w:type="dxa"/>
            <w:vAlign w:val="bottom"/>
          </w:tcPr>
          <w:p>
            <w:pPr>
              <w:spacing w:after="0"/>
              <w:rPr>
                <w:sz w:val="1"/>
                <w:szCs w:val="1"/>
                <w:color w:val="auto"/>
              </w:rPr>
            </w:pPr>
          </w:p>
        </w:tc>
      </w:tr>
      <w:tr>
        <w:trPr>
          <w:trHeight w:val="218"/>
        </w:trPr>
        <w:tc>
          <w:tcPr>
            <w:tcW w:w="5980" w:type="dxa"/>
            <w:vAlign w:val="bottom"/>
          </w:tcPr>
          <w:p>
            <w:pPr>
              <w:spacing w:after="0"/>
              <w:rPr>
                <w:sz w:val="18"/>
                <w:szCs w:val="18"/>
                <w:color w:val="auto"/>
              </w:rPr>
            </w:pPr>
          </w:p>
        </w:tc>
        <w:tc>
          <w:tcPr>
            <w:tcW w:w="180" w:type="dxa"/>
            <w:vAlign w:val="bottom"/>
            <w:tcBorders>
              <w:bottom w:val="single" w:sz="8" w:color="auto"/>
            </w:tcBorders>
            <w:shd w:val="clear" w:color="auto" w:fill="B6D2E2"/>
          </w:tcPr>
          <w:p>
            <w:pPr>
              <w:spacing w:after="0"/>
              <w:rPr>
                <w:sz w:val="18"/>
                <w:szCs w:val="18"/>
                <w:color w:val="auto"/>
              </w:rPr>
            </w:pPr>
          </w:p>
        </w:tc>
        <w:tc>
          <w:tcPr>
            <w:tcW w:w="120" w:type="dxa"/>
            <w:vAlign w:val="bottom"/>
            <w:tcBorders>
              <w:bottom w:val="single" w:sz="8" w:color="auto"/>
            </w:tcBorders>
            <w:shd w:val="clear" w:color="auto" w:fill="B6D2E2"/>
          </w:tcPr>
          <w:p>
            <w:pPr>
              <w:spacing w:after="0"/>
              <w:rPr>
                <w:sz w:val="18"/>
                <w:szCs w:val="18"/>
                <w:color w:val="auto"/>
              </w:rPr>
            </w:pPr>
          </w:p>
        </w:tc>
        <w:tc>
          <w:tcPr>
            <w:tcW w:w="126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36</w:t>
            </w:r>
          </w:p>
        </w:tc>
        <w:tc>
          <w:tcPr>
            <w:tcW w:w="100" w:type="dxa"/>
            <w:vAlign w:val="bottom"/>
            <w:tcBorders>
              <w:bottom w:val="single" w:sz="8" w:color="auto"/>
            </w:tcBorders>
            <w:shd w:val="clear" w:color="auto" w:fill="B6D2E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EEAEB"/>
          </w:tcPr>
          <w:p>
            <w:pPr>
              <w:spacing w:after="0"/>
              <w:rPr>
                <w:sz w:val="18"/>
                <w:szCs w:val="18"/>
                <w:color w:val="auto"/>
              </w:rPr>
            </w:pPr>
          </w:p>
        </w:tc>
        <w:tc>
          <w:tcPr>
            <w:tcW w:w="120" w:type="dxa"/>
            <w:vAlign w:val="bottom"/>
            <w:tcBorders>
              <w:bottom w:val="single" w:sz="8" w:color="auto"/>
            </w:tcBorders>
            <w:shd w:val="clear" w:color="auto" w:fill="DEEAEB"/>
          </w:tcPr>
          <w:p>
            <w:pPr>
              <w:spacing w:after="0"/>
              <w:rPr>
                <w:sz w:val="18"/>
                <w:szCs w:val="18"/>
                <w:color w:val="auto"/>
              </w:rPr>
            </w:pPr>
          </w:p>
        </w:tc>
        <w:tc>
          <w:tcPr>
            <w:tcW w:w="1380" w:type="dxa"/>
            <w:vAlign w:val="bottom"/>
            <w:tcBorders>
              <w:bottom w:val="single" w:sz="8" w:color="auto"/>
            </w:tcBorders>
            <w:gridSpan w:val="2"/>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(11 )</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DEEAEB"/>
          </w:tcPr>
          <w:p>
            <w:pPr>
              <w:spacing w:after="0"/>
              <w:rPr>
                <w:sz w:val="18"/>
                <w:szCs w:val="18"/>
                <w:color w:val="auto"/>
              </w:rPr>
            </w:pPr>
          </w:p>
        </w:tc>
        <w:tc>
          <w:tcPr>
            <w:tcW w:w="120" w:type="dxa"/>
            <w:vAlign w:val="bottom"/>
            <w:tcBorders>
              <w:bottom w:val="single" w:sz="8" w:color="auto"/>
            </w:tcBorders>
            <w:shd w:val="clear" w:color="auto" w:fill="DEEAEB"/>
          </w:tcPr>
          <w:p>
            <w:pPr>
              <w:spacing w:after="0"/>
              <w:rPr>
                <w:sz w:val="18"/>
                <w:szCs w:val="18"/>
                <w:color w:val="auto"/>
              </w:rPr>
            </w:pPr>
          </w:p>
        </w:tc>
        <w:tc>
          <w:tcPr>
            <w:tcW w:w="128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60</w:t>
            </w:r>
          </w:p>
        </w:tc>
        <w:tc>
          <w:tcPr>
            <w:tcW w:w="100" w:type="dxa"/>
            <w:vAlign w:val="bottom"/>
            <w:tcBorders>
              <w:bottom w:val="single" w:sz="8" w:color="auto"/>
            </w:tcBorders>
            <w:shd w:val="clear" w:color="auto" w:fill="DEEAE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Borders>
              <w:top w:val="single" w:sz="8" w:color="auto"/>
              <w:bottom w:val="single" w:sz="8" w:color="auto"/>
            </w:tcBorders>
          </w:tcPr>
          <w:p>
            <w:pPr>
              <w:ind w:left="20"/>
              <w:spacing w:after="0" w:line="189" w:lineRule="exact"/>
              <w:rPr>
                <w:sz w:val="20"/>
                <w:szCs w:val="20"/>
                <w:color w:val="auto"/>
              </w:rPr>
            </w:pPr>
            <w:r>
              <w:rPr>
                <w:rFonts w:ascii="Calibri" w:cs="Calibri" w:eastAsia="Calibri" w:hAnsi="Calibri"/>
                <w:sz w:val="16"/>
                <w:szCs w:val="16"/>
                <w:b w:val="1"/>
                <w:bCs w:val="1"/>
                <w:color w:val="auto"/>
              </w:rPr>
              <w:t>Comprehensive Earnings Atributable to Martn Marieta</w:t>
            </w:r>
          </w:p>
        </w:tc>
        <w:tc>
          <w:tcPr>
            <w:tcW w:w="180" w:type="dxa"/>
            <w:vAlign w:val="bottom"/>
            <w:tcBorders>
              <w:top w:val="single" w:sz="8" w:color="B6D2E2"/>
              <w:bottom w:val="single" w:sz="8" w:color="auto"/>
            </w:tcBorders>
            <w:shd w:val="clear" w:color="auto" w:fill="B6D2E2"/>
          </w:tcPr>
          <w:p>
            <w:pPr>
              <w:spacing w:after="0"/>
              <w:rPr>
                <w:sz w:val="19"/>
                <w:szCs w:val="19"/>
                <w:color w:val="auto"/>
              </w:rPr>
            </w:pPr>
          </w:p>
        </w:tc>
        <w:tc>
          <w:tcPr>
            <w:tcW w:w="120" w:type="dxa"/>
            <w:vAlign w:val="bottom"/>
            <w:tcBorders>
              <w:top w:val="single" w:sz="8" w:color="B6D2E2"/>
              <w:bottom w:val="single" w:sz="8" w:color="auto"/>
            </w:tcBorders>
            <w:shd w:val="clear" w:color="auto" w:fill="B6D2E2"/>
          </w:tcPr>
          <w:p>
            <w:pPr>
              <w:jc w:val="right"/>
              <w:spacing w:after="0" w:line="174" w:lineRule="exact"/>
              <w:rPr>
                <w:sz w:val="20"/>
                <w:szCs w:val="20"/>
                <w:color w:val="auto"/>
              </w:rPr>
            </w:pPr>
            <w:r>
              <w:rPr>
                <w:rFonts w:ascii="Calibri" w:cs="Calibri" w:eastAsia="Calibri" w:hAnsi="Calibri"/>
                <w:sz w:val="16"/>
                <w:szCs w:val="16"/>
                <w:b w:val="1"/>
                <w:bCs w:val="1"/>
                <w:color w:val="auto"/>
                <w:w w:val="73"/>
              </w:rPr>
              <w:t>$</w:t>
            </w:r>
          </w:p>
        </w:tc>
        <w:tc>
          <w:tcPr>
            <w:tcW w:w="1260" w:type="dxa"/>
            <w:vAlign w:val="bottom"/>
            <w:tcBorders>
              <w:top w:val="single" w:sz="8" w:color="B6D2E2"/>
              <w:bottom w:val="single" w:sz="8" w:color="auto"/>
            </w:tcBorders>
            <w:shd w:val="clear" w:color="auto" w:fill="B6D2E2"/>
          </w:tcPr>
          <w:p>
            <w:pPr>
              <w:jc w:val="right"/>
              <w:spacing w:after="0" w:line="174" w:lineRule="exact"/>
              <w:rPr>
                <w:sz w:val="20"/>
                <w:szCs w:val="20"/>
                <w:color w:val="auto"/>
              </w:rPr>
            </w:pPr>
            <w:r>
              <w:rPr>
                <w:rFonts w:ascii="Calibri" w:cs="Calibri" w:eastAsia="Calibri" w:hAnsi="Calibri"/>
                <w:sz w:val="16"/>
                <w:szCs w:val="16"/>
                <w:b w:val="1"/>
                <w:bCs w:val="1"/>
                <w:color w:val="auto"/>
              </w:rPr>
              <w:t>2,032</w:t>
            </w:r>
          </w:p>
        </w:tc>
        <w:tc>
          <w:tcPr>
            <w:tcW w:w="100" w:type="dxa"/>
            <w:vAlign w:val="bottom"/>
            <w:tcBorders>
              <w:top w:val="single" w:sz="8" w:color="B6D2E2"/>
              <w:bottom w:val="single" w:sz="8" w:color="auto"/>
            </w:tcBorders>
            <w:shd w:val="clear" w:color="auto" w:fill="B6D2E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top w:val="single" w:sz="8" w:color="DEEAEB"/>
              <w:bottom w:val="single" w:sz="8" w:color="auto"/>
            </w:tcBorders>
            <w:shd w:val="clear" w:color="auto" w:fill="DEEAEB"/>
          </w:tcPr>
          <w:p>
            <w:pPr>
              <w:spacing w:after="0"/>
              <w:rPr>
                <w:sz w:val="19"/>
                <w:szCs w:val="19"/>
                <w:color w:val="auto"/>
              </w:rPr>
            </w:pPr>
          </w:p>
        </w:tc>
        <w:tc>
          <w:tcPr>
            <w:tcW w:w="120" w:type="dxa"/>
            <w:vAlign w:val="bottom"/>
            <w:tcBorders>
              <w:top w:val="single" w:sz="8" w:color="DEEAEB"/>
              <w:bottom w:val="single" w:sz="8" w:color="auto"/>
            </w:tcBorders>
            <w:shd w:val="clear" w:color="auto" w:fill="DEEAEB"/>
          </w:tcPr>
          <w:p>
            <w:pPr>
              <w:jc w:val="right"/>
              <w:spacing w:after="0" w:line="174" w:lineRule="exact"/>
              <w:rPr>
                <w:sz w:val="20"/>
                <w:szCs w:val="20"/>
                <w:color w:val="auto"/>
              </w:rPr>
            </w:pPr>
            <w:r>
              <w:rPr>
                <w:rFonts w:ascii="Calibri" w:cs="Calibri" w:eastAsia="Calibri" w:hAnsi="Calibri"/>
                <w:sz w:val="16"/>
                <w:szCs w:val="16"/>
                <w:color w:val="auto"/>
                <w:w w:val="97"/>
              </w:rPr>
              <w:t>$</w:t>
            </w:r>
          </w:p>
        </w:tc>
        <w:tc>
          <w:tcPr>
            <w:tcW w:w="1280" w:type="dxa"/>
            <w:vAlign w:val="bottom"/>
            <w:tcBorders>
              <w:top w:val="single" w:sz="8" w:color="DEEAEB"/>
              <w:bottom w:val="single" w:sz="8" w:color="auto"/>
            </w:tcBorders>
            <w:shd w:val="clear" w:color="auto" w:fill="DEEAEB"/>
          </w:tcPr>
          <w:p>
            <w:pPr>
              <w:jc w:val="right"/>
              <w:spacing w:after="0" w:line="174" w:lineRule="exact"/>
              <w:rPr>
                <w:sz w:val="20"/>
                <w:szCs w:val="20"/>
                <w:color w:val="auto"/>
              </w:rPr>
            </w:pPr>
            <w:r>
              <w:rPr>
                <w:rFonts w:ascii="Calibri" w:cs="Calibri" w:eastAsia="Calibri" w:hAnsi="Calibri"/>
                <w:sz w:val="16"/>
                <w:szCs w:val="16"/>
                <w:color w:val="auto"/>
              </w:rPr>
              <w:t>1,159</w:t>
            </w:r>
          </w:p>
        </w:tc>
        <w:tc>
          <w:tcPr>
            <w:tcW w:w="100" w:type="dxa"/>
            <w:vAlign w:val="bottom"/>
            <w:tcBorders>
              <w:top w:val="single" w:sz="8" w:color="DEEAEB"/>
              <w:bottom w:val="single" w:sz="8" w:color="auto"/>
            </w:tcBorders>
            <w:shd w:val="clear" w:color="auto" w:fill="DEEAEB"/>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top w:val="single" w:sz="8" w:color="DEEAEB"/>
              <w:bottom w:val="single" w:sz="8" w:color="auto"/>
            </w:tcBorders>
            <w:shd w:val="clear" w:color="auto" w:fill="DEEAEB"/>
          </w:tcPr>
          <w:p>
            <w:pPr>
              <w:spacing w:after="0"/>
              <w:rPr>
                <w:sz w:val="19"/>
                <w:szCs w:val="19"/>
                <w:color w:val="auto"/>
              </w:rPr>
            </w:pPr>
          </w:p>
        </w:tc>
        <w:tc>
          <w:tcPr>
            <w:tcW w:w="120" w:type="dxa"/>
            <w:vAlign w:val="bottom"/>
            <w:tcBorders>
              <w:top w:val="single" w:sz="8" w:color="DEEAEB"/>
              <w:bottom w:val="single" w:sz="8" w:color="auto"/>
            </w:tcBorders>
            <w:shd w:val="clear" w:color="auto" w:fill="DEEAEB"/>
          </w:tcPr>
          <w:p>
            <w:pPr>
              <w:jc w:val="right"/>
              <w:spacing w:after="0" w:line="174" w:lineRule="exact"/>
              <w:rPr>
                <w:sz w:val="20"/>
                <w:szCs w:val="20"/>
                <w:color w:val="auto"/>
              </w:rPr>
            </w:pPr>
            <w:r>
              <w:rPr>
                <w:rFonts w:ascii="Calibri" w:cs="Calibri" w:eastAsia="Calibri" w:hAnsi="Calibri"/>
                <w:sz w:val="16"/>
                <w:szCs w:val="16"/>
                <w:color w:val="auto"/>
                <w:w w:val="97"/>
              </w:rPr>
              <w:t>$</w:t>
            </w:r>
          </w:p>
        </w:tc>
        <w:tc>
          <w:tcPr>
            <w:tcW w:w="1280" w:type="dxa"/>
            <w:vAlign w:val="bottom"/>
            <w:tcBorders>
              <w:top w:val="single" w:sz="8" w:color="DEEAEB"/>
              <w:bottom w:val="single" w:sz="8" w:color="auto"/>
            </w:tcBorders>
            <w:shd w:val="clear" w:color="auto" w:fill="DEEAEB"/>
          </w:tcPr>
          <w:p>
            <w:pPr>
              <w:jc w:val="right"/>
              <w:spacing w:after="0" w:line="174" w:lineRule="exact"/>
              <w:rPr>
                <w:sz w:val="20"/>
                <w:szCs w:val="20"/>
                <w:color w:val="auto"/>
              </w:rPr>
            </w:pPr>
            <w:r>
              <w:rPr>
                <w:rFonts w:ascii="Calibri" w:cs="Calibri" w:eastAsia="Calibri" w:hAnsi="Calibri"/>
                <w:sz w:val="16"/>
                <w:szCs w:val="16"/>
                <w:color w:val="auto"/>
              </w:rPr>
              <w:t>927</w:t>
            </w:r>
          </w:p>
        </w:tc>
        <w:tc>
          <w:tcPr>
            <w:tcW w:w="100" w:type="dxa"/>
            <w:vAlign w:val="bottom"/>
            <w:tcBorders>
              <w:top w:val="single" w:sz="8" w:color="DEEAEB"/>
              <w:bottom w:val="single" w:sz="8" w:color="auto"/>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34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0" w:name="page71"/>
    <w:bookmarkEnd w:id="70"/>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3"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b w:val="1"/>
          <w:bCs w:val="1"/>
          <w:color w:val="007DC6"/>
        </w:rPr>
        <w:t>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ind w:left="20"/>
              <w:spacing w:after="0"/>
              <w:rPr>
                <w:sz w:val="20"/>
                <w:szCs w:val="20"/>
                <w:color w:val="auto"/>
              </w:rPr>
            </w:pPr>
            <w:r>
              <w:rPr>
                <w:rFonts w:ascii="Calibri" w:cs="Calibri" w:eastAsia="Calibri" w:hAnsi="Calibri"/>
                <w:sz w:val="16"/>
                <w:szCs w:val="16"/>
                <w:i w:val="1"/>
                <w:iCs w:val="1"/>
                <w:color w:val="auto"/>
              </w:rPr>
              <w:t>December 31</w:t>
            </w:r>
          </w:p>
        </w:tc>
        <w:tc>
          <w:tcPr>
            <w:tcW w:w="300" w:type="dxa"/>
            <w:vAlign w:val="bottom"/>
            <w:shd w:val="clear" w:color="auto" w:fill="007DC6"/>
          </w:tcPr>
          <w:p>
            <w:pPr>
              <w:spacing w:after="0"/>
              <w:rPr>
                <w:sz w:val="16"/>
                <w:szCs w:val="16"/>
                <w:color w:val="auto"/>
              </w:rPr>
            </w:pPr>
          </w:p>
        </w:tc>
        <w:tc>
          <w:tcPr>
            <w:tcW w:w="1580" w:type="dxa"/>
            <w:vAlign w:val="bottom"/>
            <w:shd w:val="clear" w:color="auto" w:fill="007DC6"/>
          </w:tcPr>
          <w:p>
            <w:pPr>
              <w:spacing w:after="0"/>
              <w:rPr>
                <w:sz w:val="16"/>
                <w:szCs w:val="16"/>
                <w:color w:val="auto"/>
              </w:rPr>
            </w:pPr>
          </w:p>
        </w:tc>
        <w:tc>
          <w:tcPr>
            <w:tcW w:w="120" w:type="dxa"/>
            <w:vAlign w:val="bottom"/>
            <w:shd w:val="clear" w:color="auto" w:fill="007DC6"/>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r>
      <w:tr>
        <w:trPr>
          <w:trHeight w:val="221"/>
        </w:trPr>
        <w:tc>
          <w:tcPr>
            <w:tcW w:w="706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 except share and par value data)</w:t>
            </w:r>
          </w:p>
        </w:tc>
        <w:tc>
          <w:tcPr>
            <w:tcW w:w="300" w:type="dxa"/>
            <w:vAlign w:val="bottom"/>
            <w:tcBorders>
              <w:bottom w:val="single" w:sz="8" w:color="007DC6"/>
            </w:tcBorders>
            <w:shd w:val="clear" w:color="auto" w:fill="007DC6"/>
          </w:tcPr>
          <w:p>
            <w:pPr>
              <w:spacing w:after="0"/>
              <w:rPr>
                <w:sz w:val="19"/>
                <w:szCs w:val="19"/>
                <w:color w:val="auto"/>
              </w:rPr>
            </w:pPr>
          </w:p>
        </w:tc>
        <w:tc>
          <w:tcPr>
            <w:tcW w:w="1580" w:type="dxa"/>
            <w:vAlign w:val="bottom"/>
            <w:tcBorders>
              <w:bottom w:val="single" w:sz="8" w:color="007DC6"/>
            </w:tcBorders>
            <w:shd w:val="clear" w:color="auto" w:fill="007DC6"/>
          </w:tcPr>
          <w:p>
            <w:pPr>
              <w:jc w:val="right"/>
              <w:ind w:right="599"/>
              <w:spacing w:after="0" w:line="193" w:lineRule="exact"/>
              <w:rPr>
                <w:sz w:val="20"/>
                <w:szCs w:val="20"/>
                <w:color w:val="auto"/>
              </w:rPr>
            </w:pPr>
            <w:r>
              <w:rPr>
                <w:rFonts w:ascii="Calibri" w:cs="Calibri" w:eastAsia="Calibri" w:hAnsi="Calibri"/>
                <w:sz w:val="16"/>
                <w:szCs w:val="16"/>
                <w:b w:val="1"/>
                <w:bCs w:val="1"/>
                <w:color w:val="FFFFFF"/>
              </w:rPr>
              <w:t>2024</w:t>
            </w:r>
          </w:p>
        </w:tc>
        <w:tc>
          <w:tcPr>
            <w:tcW w:w="120" w:type="dxa"/>
            <w:vAlign w:val="bottom"/>
            <w:tcBorders>
              <w:bottom w:val="single" w:sz="8" w:color="007DC6"/>
            </w:tcBorders>
            <w:shd w:val="clear" w:color="auto" w:fill="007DC6"/>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DEEAEB"/>
            </w:tcBorders>
            <w:shd w:val="clear" w:color="auto" w:fill="DEEAEB"/>
          </w:tcPr>
          <w:p>
            <w:pPr>
              <w:spacing w:after="0"/>
              <w:rPr>
                <w:sz w:val="19"/>
                <w:szCs w:val="19"/>
                <w:color w:val="auto"/>
              </w:rPr>
            </w:pPr>
          </w:p>
        </w:tc>
        <w:tc>
          <w:tcPr>
            <w:tcW w:w="1600" w:type="dxa"/>
            <w:vAlign w:val="bottom"/>
            <w:tcBorders>
              <w:bottom w:val="single" w:sz="8" w:color="DEEAEB"/>
            </w:tcBorders>
            <w:shd w:val="clear" w:color="auto" w:fill="DEEAEB"/>
          </w:tcPr>
          <w:p>
            <w:pPr>
              <w:jc w:val="right"/>
              <w:ind w:right="619"/>
              <w:spacing w:after="0" w:line="193" w:lineRule="exact"/>
              <w:rPr>
                <w:sz w:val="20"/>
                <w:szCs w:val="20"/>
                <w:color w:val="auto"/>
              </w:rPr>
            </w:pPr>
            <w:r>
              <w:rPr>
                <w:rFonts w:ascii="Calibri" w:cs="Calibri" w:eastAsia="Calibri" w:hAnsi="Calibri"/>
                <w:sz w:val="16"/>
                <w:szCs w:val="16"/>
                <w:color w:val="auto"/>
              </w:rPr>
              <w:t>2023</w:t>
            </w:r>
          </w:p>
        </w:tc>
        <w:tc>
          <w:tcPr>
            <w:tcW w:w="120" w:type="dxa"/>
            <w:vAlign w:val="bottom"/>
            <w:tcBorders>
              <w:bottom w:val="single" w:sz="8" w:color="DEEAEB"/>
            </w:tcBorders>
            <w:shd w:val="clear" w:color="auto" w:fill="DEEAEB"/>
          </w:tcPr>
          <w:p>
            <w:pPr>
              <w:spacing w:after="0"/>
              <w:rPr>
                <w:sz w:val="19"/>
                <w:szCs w:val="19"/>
                <w:color w:val="auto"/>
              </w:rPr>
            </w:pPr>
          </w:p>
        </w:tc>
      </w:tr>
      <w:tr>
        <w:trPr>
          <w:trHeight w:val="192"/>
        </w:trPr>
        <w:tc>
          <w:tcPr>
            <w:tcW w:w="7060" w:type="dxa"/>
            <w:vAlign w:val="bottom"/>
            <w:tcBorders>
              <w:top w:val="single" w:sz="8" w:color="auto"/>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Assets</w:t>
            </w:r>
          </w:p>
        </w:tc>
        <w:tc>
          <w:tcPr>
            <w:tcW w:w="300" w:type="dxa"/>
            <w:vAlign w:val="bottom"/>
            <w:tcBorders>
              <w:top w:val="single" w:sz="8" w:color="auto"/>
              <w:bottom w:val="single" w:sz="8" w:color="auto"/>
            </w:tcBorders>
            <w:shd w:val="clear" w:color="auto" w:fill="B6D2E2"/>
          </w:tcPr>
          <w:p>
            <w:pPr>
              <w:spacing w:after="0"/>
              <w:rPr>
                <w:sz w:val="16"/>
                <w:szCs w:val="16"/>
                <w:color w:val="auto"/>
              </w:rPr>
            </w:pPr>
          </w:p>
        </w:tc>
        <w:tc>
          <w:tcPr>
            <w:tcW w:w="1580" w:type="dxa"/>
            <w:vAlign w:val="bottom"/>
            <w:tcBorders>
              <w:top w:val="single" w:sz="8" w:color="auto"/>
              <w:bottom w:val="single" w:sz="8" w:color="auto"/>
            </w:tcBorders>
            <w:shd w:val="clear" w:color="auto" w:fill="B6D2E2"/>
          </w:tcPr>
          <w:p>
            <w:pPr>
              <w:spacing w:after="0"/>
              <w:rPr>
                <w:sz w:val="16"/>
                <w:szCs w:val="16"/>
                <w:color w:val="auto"/>
              </w:rPr>
            </w:pPr>
          </w:p>
        </w:tc>
        <w:tc>
          <w:tcPr>
            <w:tcW w:w="120" w:type="dxa"/>
            <w:vAlign w:val="bottom"/>
            <w:tcBorders>
              <w:top w:val="single" w:sz="8" w:color="auto"/>
              <w:bottom w:val="single" w:sz="8" w:color="auto"/>
            </w:tcBorders>
            <w:shd w:val="clear" w:color="auto" w:fill="B6D2E2"/>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shd w:val="clear" w:color="auto" w:fill="DEEAEB"/>
          </w:tcPr>
          <w:p>
            <w:pPr>
              <w:spacing w:after="0"/>
              <w:rPr>
                <w:sz w:val="16"/>
                <w:szCs w:val="16"/>
                <w:color w:val="auto"/>
              </w:rPr>
            </w:pPr>
          </w:p>
        </w:tc>
        <w:tc>
          <w:tcPr>
            <w:tcW w:w="1600" w:type="dxa"/>
            <w:vAlign w:val="bottom"/>
            <w:tcBorders>
              <w:top w:val="single" w:sz="8" w:color="auto"/>
              <w:bottom w:val="single" w:sz="8" w:color="auto"/>
            </w:tcBorders>
            <w:shd w:val="clear" w:color="auto" w:fill="DEEAEB"/>
          </w:tcPr>
          <w:p>
            <w:pPr>
              <w:spacing w:after="0"/>
              <w:rPr>
                <w:sz w:val="16"/>
                <w:szCs w:val="16"/>
                <w:color w:val="auto"/>
              </w:rPr>
            </w:pPr>
          </w:p>
        </w:tc>
        <w:tc>
          <w:tcPr>
            <w:tcW w:w="120" w:type="dxa"/>
            <w:vAlign w:val="bottom"/>
            <w:tcBorders>
              <w:top w:val="single" w:sz="8" w:color="auto"/>
              <w:bottom w:val="single" w:sz="8" w:color="auto"/>
            </w:tcBorders>
            <w:shd w:val="clear" w:color="auto" w:fill="DEEAEB"/>
          </w:tcPr>
          <w:p>
            <w:pPr>
              <w:spacing w:after="0"/>
              <w:rPr>
                <w:sz w:val="16"/>
                <w:szCs w:val="16"/>
                <w:color w:val="auto"/>
              </w:rPr>
            </w:pPr>
          </w:p>
        </w:tc>
      </w:tr>
      <w:tr>
        <w:trPr>
          <w:trHeight w:val="191"/>
        </w:trPr>
        <w:tc>
          <w:tcPr>
            <w:tcW w:w="7060" w:type="dxa"/>
            <w:vAlign w:val="bottom"/>
          </w:tcPr>
          <w:p>
            <w:pPr>
              <w:ind w:left="20"/>
              <w:spacing w:after="0" w:line="192" w:lineRule="exact"/>
              <w:rPr>
                <w:sz w:val="20"/>
                <w:szCs w:val="20"/>
                <w:color w:val="auto"/>
              </w:rPr>
            </w:pPr>
            <w:r>
              <w:rPr>
                <w:rFonts w:ascii="Calibri" w:cs="Calibri" w:eastAsia="Calibri" w:hAnsi="Calibri"/>
                <w:sz w:val="16"/>
                <w:szCs w:val="16"/>
                <w:b w:val="1"/>
                <w:bCs w:val="1"/>
                <w:color w:val="auto"/>
              </w:rPr>
              <w:t>Current Assets:</w:t>
            </w:r>
          </w:p>
        </w:tc>
        <w:tc>
          <w:tcPr>
            <w:tcW w:w="300" w:type="dxa"/>
            <w:vAlign w:val="bottom"/>
            <w:shd w:val="clear" w:color="auto" w:fill="B6D2E2"/>
          </w:tcPr>
          <w:p>
            <w:pPr>
              <w:spacing w:after="0"/>
              <w:rPr>
                <w:sz w:val="16"/>
                <w:szCs w:val="16"/>
                <w:color w:val="auto"/>
              </w:rPr>
            </w:pPr>
          </w:p>
        </w:tc>
        <w:tc>
          <w:tcPr>
            <w:tcW w:w="15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r>
      <w:tr>
        <w:trPr>
          <w:trHeight w:val="193"/>
        </w:trPr>
        <w:tc>
          <w:tcPr>
            <w:tcW w:w="7060" w:type="dxa"/>
            <w:vAlign w:val="bottom"/>
          </w:tcPr>
          <w:p>
            <w:pPr>
              <w:ind w:left="20"/>
              <w:spacing w:after="0" w:line="193" w:lineRule="exact"/>
              <w:rPr>
                <w:sz w:val="20"/>
                <w:szCs w:val="20"/>
                <w:color w:val="auto"/>
              </w:rPr>
            </w:pPr>
            <w:r>
              <w:rPr>
                <w:rFonts w:ascii="Calibri" w:cs="Calibri" w:eastAsia="Calibri" w:hAnsi="Calibri"/>
                <w:sz w:val="16"/>
                <w:szCs w:val="16"/>
                <w:color w:val="auto"/>
              </w:rPr>
              <w:t>Cash and cash equivalents</w:t>
            </w:r>
          </w:p>
        </w:tc>
        <w:tc>
          <w:tcPr>
            <w:tcW w:w="30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58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670</w:t>
            </w: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6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1,272</w:t>
            </w:r>
          </w:p>
        </w:tc>
        <w:tc>
          <w:tcPr>
            <w:tcW w:w="120" w:type="dxa"/>
            <w:vAlign w:val="bottom"/>
            <w:shd w:val="clear" w:color="auto" w:fill="DEEAEB"/>
          </w:tcPr>
          <w:p>
            <w:pPr>
              <w:spacing w:after="0"/>
              <w:rPr>
                <w:sz w:val="16"/>
                <w:szCs w:val="16"/>
                <w:color w:val="auto"/>
              </w:rPr>
            </w:pPr>
          </w:p>
        </w:tc>
      </w:tr>
      <w:tr>
        <w:trPr>
          <w:trHeight w:val="193"/>
        </w:trPr>
        <w:tc>
          <w:tcPr>
            <w:tcW w:w="7060" w:type="dxa"/>
            <w:vAlign w:val="bottom"/>
          </w:tcPr>
          <w:p>
            <w:pPr>
              <w:ind w:left="20"/>
              <w:spacing w:after="0" w:line="193" w:lineRule="exact"/>
              <w:rPr>
                <w:sz w:val="20"/>
                <w:szCs w:val="20"/>
                <w:color w:val="auto"/>
              </w:rPr>
            </w:pPr>
            <w:r>
              <w:rPr>
                <w:rFonts w:ascii="Calibri" w:cs="Calibri" w:eastAsia="Calibri" w:hAnsi="Calibri"/>
                <w:sz w:val="16"/>
                <w:szCs w:val="16"/>
                <w:color w:val="auto"/>
              </w:rPr>
              <w:t>Restricted cash</w:t>
            </w:r>
          </w:p>
        </w:tc>
        <w:tc>
          <w:tcPr>
            <w:tcW w:w="300" w:type="dxa"/>
            <w:vAlign w:val="bottom"/>
            <w:shd w:val="clear" w:color="auto" w:fill="B6D2E2"/>
          </w:tcPr>
          <w:p>
            <w:pPr>
              <w:spacing w:after="0"/>
              <w:rPr>
                <w:sz w:val="16"/>
                <w:szCs w:val="16"/>
                <w:color w:val="auto"/>
              </w:rPr>
            </w:pPr>
          </w:p>
        </w:tc>
        <w:tc>
          <w:tcPr>
            <w:tcW w:w="158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10</w:t>
            </w:r>
          </w:p>
        </w:tc>
        <w:tc>
          <w:tcPr>
            <w:tcW w:w="120" w:type="dxa"/>
            <w:vAlign w:val="bottom"/>
            <w:shd w:val="clear" w:color="auto" w:fill="DEEAEB"/>
          </w:tcPr>
          <w:p>
            <w:pPr>
              <w:spacing w:after="0"/>
              <w:rPr>
                <w:sz w:val="16"/>
                <w:szCs w:val="16"/>
                <w:color w:val="auto"/>
              </w:rPr>
            </w:pPr>
          </w:p>
        </w:tc>
      </w:tr>
      <w:tr>
        <w:trPr>
          <w:trHeight w:val="202"/>
        </w:trPr>
        <w:tc>
          <w:tcPr>
            <w:tcW w:w="7060" w:type="dxa"/>
            <w:vAlign w:val="bottom"/>
          </w:tcPr>
          <w:p>
            <w:pPr>
              <w:ind w:left="20"/>
              <w:spacing w:after="0"/>
              <w:rPr>
                <w:sz w:val="20"/>
                <w:szCs w:val="20"/>
                <w:color w:val="auto"/>
              </w:rPr>
            </w:pPr>
            <w:r>
              <w:rPr>
                <w:rFonts w:ascii="Calibri" w:cs="Calibri" w:eastAsia="Calibri" w:hAnsi="Calibri"/>
                <w:sz w:val="16"/>
                <w:szCs w:val="16"/>
                <w:color w:val="auto"/>
              </w:rPr>
              <w:t>Accounts receivable, net</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678</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753</w:t>
            </w:r>
          </w:p>
        </w:tc>
        <w:tc>
          <w:tcPr>
            <w:tcW w:w="120" w:type="dxa"/>
            <w:vAlign w:val="bottom"/>
            <w:shd w:val="clear" w:color="auto" w:fill="DEEAEB"/>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Calibri" w:cs="Calibri" w:eastAsia="Calibri" w:hAnsi="Calibri"/>
                <w:sz w:val="16"/>
                <w:szCs w:val="16"/>
                <w:color w:val="auto"/>
              </w:rPr>
              <w:t>Inventories, net</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1,115</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989</w:t>
            </w:r>
          </w:p>
        </w:tc>
        <w:tc>
          <w:tcPr>
            <w:tcW w:w="120" w:type="dxa"/>
            <w:vAlign w:val="bottom"/>
            <w:shd w:val="clear" w:color="auto" w:fill="DEEAEB"/>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Calibri" w:cs="Calibri" w:eastAsia="Calibri" w:hAnsi="Calibri"/>
                <w:sz w:val="16"/>
                <w:szCs w:val="16"/>
                <w:color w:val="auto"/>
              </w:rPr>
              <w:t>Current assets held for sale</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8</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807</w:t>
            </w:r>
          </w:p>
        </w:tc>
        <w:tc>
          <w:tcPr>
            <w:tcW w:w="120" w:type="dxa"/>
            <w:vAlign w:val="bottom"/>
            <w:shd w:val="clear" w:color="auto" w:fill="DEEAEB"/>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Calibri" w:cs="Calibri" w:eastAsia="Calibri" w:hAnsi="Calibri"/>
                <w:sz w:val="16"/>
                <w:szCs w:val="16"/>
                <w:color w:val="auto"/>
              </w:rPr>
              <w:t>Other current assets</w:t>
            </w:r>
          </w:p>
        </w:tc>
        <w:tc>
          <w:tcPr>
            <w:tcW w:w="300" w:type="dxa"/>
            <w:vAlign w:val="bottom"/>
            <w:tcBorders>
              <w:bottom w:val="single" w:sz="8" w:color="B6D2E2"/>
            </w:tcBorders>
            <w:shd w:val="clear" w:color="auto" w:fill="B6D2E2"/>
          </w:tcPr>
          <w:p>
            <w:pPr>
              <w:spacing w:after="0"/>
              <w:rPr>
                <w:sz w:val="20"/>
                <w:szCs w:val="20"/>
                <w:color w:val="auto"/>
              </w:rPr>
            </w:pPr>
          </w:p>
        </w:tc>
        <w:tc>
          <w:tcPr>
            <w:tcW w:w="15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71</w:t>
            </w:r>
          </w:p>
        </w:tc>
        <w:tc>
          <w:tcPr>
            <w:tcW w:w="120" w:type="dxa"/>
            <w:vAlign w:val="bottom"/>
            <w:tcBorders>
              <w:bottom w:val="single" w:sz="8" w:color="B6D2E2"/>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DEEAEB"/>
            </w:tcBorders>
            <w:shd w:val="clear" w:color="auto" w:fill="DEEAEB"/>
          </w:tcPr>
          <w:p>
            <w:pPr>
              <w:spacing w:after="0"/>
              <w:rPr>
                <w:sz w:val="20"/>
                <w:szCs w:val="20"/>
                <w:color w:val="auto"/>
              </w:rPr>
            </w:pPr>
          </w:p>
        </w:tc>
        <w:tc>
          <w:tcPr>
            <w:tcW w:w="16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88</w:t>
            </w:r>
          </w:p>
        </w:tc>
        <w:tc>
          <w:tcPr>
            <w:tcW w:w="120" w:type="dxa"/>
            <w:vAlign w:val="bottom"/>
            <w:tcBorders>
              <w:bottom w:val="single" w:sz="8" w:color="DEEAEB"/>
            </w:tcBorders>
            <w:shd w:val="clear" w:color="auto" w:fill="DEEAEB"/>
          </w:tcPr>
          <w:p>
            <w:pPr>
              <w:spacing w:after="0"/>
              <w:rPr>
                <w:sz w:val="20"/>
                <w:szCs w:val="20"/>
                <w:color w:val="auto"/>
              </w:rPr>
            </w:pPr>
          </w:p>
        </w:tc>
      </w:tr>
      <w:tr>
        <w:trPr>
          <w:trHeight w:val="187"/>
        </w:trPr>
        <w:tc>
          <w:tcPr>
            <w:tcW w:w="70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Current Assets</w:t>
            </w:r>
          </w:p>
        </w:tc>
        <w:tc>
          <w:tcPr>
            <w:tcW w:w="300" w:type="dxa"/>
            <w:vAlign w:val="bottom"/>
            <w:tcBorders>
              <w:top w:val="single" w:sz="8" w:color="auto"/>
            </w:tcBorders>
            <w:shd w:val="clear" w:color="auto" w:fill="B6D2E2"/>
          </w:tcPr>
          <w:p>
            <w:pPr>
              <w:spacing w:after="0"/>
              <w:rPr>
                <w:sz w:val="16"/>
                <w:szCs w:val="16"/>
                <w:color w:val="auto"/>
              </w:rPr>
            </w:pPr>
          </w:p>
        </w:tc>
        <w:tc>
          <w:tcPr>
            <w:tcW w:w="15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2,542</w:t>
            </w: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shd w:val="clear" w:color="auto" w:fill="DEEAEB"/>
          </w:tcPr>
          <w:p>
            <w:pPr>
              <w:spacing w:after="0"/>
              <w:rPr>
                <w:sz w:val="16"/>
                <w:szCs w:val="16"/>
                <w:color w:val="auto"/>
              </w:rPr>
            </w:pPr>
          </w:p>
        </w:tc>
        <w:tc>
          <w:tcPr>
            <w:tcW w:w="16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3,919</w:t>
            </w:r>
          </w:p>
        </w:tc>
        <w:tc>
          <w:tcPr>
            <w:tcW w:w="120" w:type="dxa"/>
            <w:vAlign w:val="bottom"/>
            <w:tcBorders>
              <w:top w:val="single" w:sz="8" w:color="auto"/>
            </w:tcBorders>
            <w:shd w:val="clear" w:color="auto" w:fill="DEEAEB"/>
          </w:tcPr>
          <w:p>
            <w:pPr>
              <w:spacing w:after="0"/>
              <w:rPr>
                <w:sz w:val="16"/>
                <w:szCs w:val="16"/>
                <w:color w:val="auto"/>
              </w:rPr>
            </w:pPr>
          </w:p>
        </w:tc>
      </w:tr>
      <w:tr>
        <w:trPr>
          <w:trHeight w:val="193"/>
        </w:trPr>
        <w:tc>
          <w:tcPr>
            <w:tcW w:w="706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 net</w:t>
            </w:r>
          </w:p>
        </w:tc>
        <w:tc>
          <w:tcPr>
            <w:tcW w:w="300" w:type="dxa"/>
            <w:vAlign w:val="bottom"/>
            <w:shd w:val="clear" w:color="auto" w:fill="B6D2E2"/>
          </w:tcPr>
          <w:p>
            <w:pPr>
              <w:spacing w:after="0"/>
              <w:rPr>
                <w:sz w:val="16"/>
                <w:szCs w:val="16"/>
                <w:color w:val="auto"/>
              </w:rPr>
            </w:pPr>
          </w:p>
        </w:tc>
        <w:tc>
          <w:tcPr>
            <w:tcW w:w="158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10,109</w:t>
            </w: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6,186</w:t>
            </w:r>
          </w:p>
        </w:tc>
        <w:tc>
          <w:tcPr>
            <w:tcW w:w="120" w:type="dxa"/>
            <w:vAlign w:val="bottom"/>
            <w:shd w:val="clear" w:color="auto" w:fill="DEEAEB"/>
          </w:tcPr>
          <w:p>
            <w:pPr>
              <w:spacing w:after="0"/>
              <w:rPr>
                <w:sz w:val="16"/>
                <w:szCs w:val="16"/>
                <w:color w:val="auto"/>
              </w:rPr>
            </w:pPr>
          </w:p>
        </w:tc>
      </w:tr>
      <w:tr>
        <w:trPr>
          <w:trHeight w:val="193"/>
        </w:trPr>
        <w:tc>
          <w:tcPr>
            <w:tcW w:w="7060" w:type="dxa"/>
            <w:vAlign w:val="bottom"/>
          </w:tcPr>
          <w:p>
            <w:pPr>
              <w:ind w:left="20"/>
              <w:spacing w:after="0" w:line="193" w:lineRule="exact"/>
              <w:rPr>
                <w:sz w:val="20"/>
                <w:szCs w:val="20"/>
                <w:color w:val="auto"/>
              </w:rPr>
            </w:pPr>
            <w:r>
              <w:rPr>
                <w:rFonts w:ascii="Calibri" w:cs="Calibri" w:eastAsia="Calibri" w:hAnsi="Calibri"/>
                <w:sz w:val="16"/>
                <w:szCs w:val="16"/>
                <w:color w:val="auto"/>
              </w:rPr>
              <w:t>Goodwill</w:t>
            </w:r>
          </w:p>
        </w:tc>
        <w:tc>
          <w:tcPr>
            <w:tcW w:w="300" w:type="dxa"/>
            <w:vAlign w:val="bottom"/>
            <w:shd w:val="clear" w:color="auto" w:fill="B6D2E2"/>
          </w:tcPr>
          <w:p>
            <w:pPr>
              <w:spacing w:after="0"/>
              <w:rPr>
                <w:sz w:val="16"/>
                <w:szCs w:val="16"/>
                <w:color w:val="auto"/>
              </w:rPr>
            </w:pPr>
          </w:p>
        </w:tc>
        <w:tc>
          <w:tcPr>
            <w:tcW w:w="158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3,767</w:t>
            </w: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3,389</w:t>
            </w:r>
          </w:p>
        </w:tc>
        <w:tc>
          <w:tcPr>
            <w:tcW w:w="120" w:type="dxa"/>
            <w:vAlign w:val="bottom"/>
            <w:shd w:val="clear" w:color="auto" w:fill="DEEAEB"/>
          </w:tcPr>
          <w:p>
            <w:pPr>
              <w:spacing w:after="0"/>
              <w:rPr>
                <w:sz w:val="16"/>
                <w:szCs w:val="16"/>
                <w:color w:val="auto"/>
              </w:rPr>
            </w:pPr>
          </w:p>
        </w:tc>
      </w:tr>
      <w:tr>
        <w:trPr>
          <w:trHeight w:val="202"/>
        </w:trPr>
        <w:tc>
          <w:tcPr>
            <w:tcW w:w="7060" w:type="dxa"/>
            <w:vAlign w:val="bottom"/>
          </w:tcPr>
          <w:p>
            <w:pPr>
              <w:ind w:left="20"/>
              <w:spacing w:after="0"/>
              <w:rPr>
                <w:sz w:val="20"/>
                <w:szCs w:val="20"/>
                <w:color w:val="auto"/>
              </w:rPr>
            </w:pPr>
            <w:r>
              <w:rPr>
                <w:rFonts w:ascii="Calibri" w:cs="Calibri" w:eastAsia="Calibri" w:hAnsi="Calibri"/>
                <w:sz w:val="16"/>
                <w:szCs w:val="16"/>
                <w:color w:val="auto"/>
              </w:rPr>
              <w:t>Other intangibles, net</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730</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698</w:t>
            </w:r>
          </w:p>
        </w:tc>
        <w:tc>
          <w:tcPr>
            <w:tcW w:w="120" w:type="dxa"/>
            <w:vAlign w:val="bottom"/>
            <w:shd w:val="clear" w:color="auto" w:fill="DEEAEB"/>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Calibri" w:cs="Calibri" w:eastAsia="Calibri" w:hAnsi="Calibri"/>
                <w:sz w:val="16"/>
                <w:szCs w:val="16"/>
                <w:color w:val="auto"/>
              </w:rPr>
              <w:t>Operatng lease right-of-use assets, net</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376</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372</w:t>
            </w:r>
          </w:p>
        </w:tc>
        <w:tc>
          <w:tcPr>
            <w:tcW w:w="120" w:type="dxa"/>
            <w:vAlign w:val="bottom"/>
            <w:shd w:val="clear" w:color="auto" w:fill="DEEAEB"/>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Calibri" w:cs="Calibri" w:eastAsia="Calibri" w:hAnsi="Calibri"/>
                <w:sz w:val="16"/>
                <w:szCs w:val="16"/>
                <w:color w:val="auto"/>
              </w:rPr>
              <w:t>Other noncurrent assets</w:t>
            </w:r>
          </w:p>
        </w:tc>
        <w:tc>
          <w:tcPr>
            <w:tcW w:w="300" w:type="dxa"/>
            <w:vAlign w:val="bottom"/>
            <w:tcBorders>
              <w:bottom w:val="single" w:sz="8" w:color="B6D2E2"/>
            </w:tcBorders>
            <w:shd w:val="clear" w:color="auto" w:fill="B6D2E2"/>
          </w:tcPr>
          <w:p>
            <w:pPr>
              <w:spacing w:after="0"/>
              <w:rPr>
                <w:sz w:val="20"/>
                <w:szCs w:val="20"/>
                <w:color w:val="auto"/>
              </w:rPr>
            </w:pPr>
          </w:p>
        </w:tc>
        <w:tc>
          <w:tcPr>
            <w:tcW w:w="15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646</w:t>
            </w:r>
          </w:p>
        </w:tc>
        <w:tc>
          <w:tcPr>
            <w:tcW w:w="120" w:type="dxa"/>
            <w:vAlign w:val="bottom"/>
            <w:tcBorders>
              <w:bottom w:val="single" w:sz="8" w:color="B6D2E2"/>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DEEAEB"/>
            </w:tcBorders>
            <w:shd w:val="clear" w:color="auto" w:fill="DEEAEB"/>
          </w:tcPr>
          <w:p>
            <w:pPr>
              <w:spacing w:after="0"/>
              <w:rPr>
                <w:sz w:val="20"/>
                <w:szCs w:val="20"/>
                <w:color w:val="auto"/>
              </w:rPr>
            </w:pPr>
          </w:p>
        </w:tc>
        <w:tc>
          <w:tcPr>
            <w:tcW w:w="16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561</w:t>
            </w:r>
          </w:p>
        </w:tc>
        <w:tc>
          <w:tcPr>
            <w:tcW w:w="120" w:type="dxa"/>
            <w:vAlign w:val="bottom"/>
            <w:tcBorders>
              <w:bottom w:val="single" w:sz="8" w:color="DEEAEB"/>
            </w:tcBorders>
            <w:shd w:val="clear" w:color="auto" w:fill="DEEAEB"/>
          </w:tcPr>
          <w:p>
            <w:pPr>
              <w:spacing w:after="0"/>
              <w:rPr>
                <w:sz w:val="20"/>
                <w:szCs w:val="20"/>
                <w:color w:val="auto"/>
              </w:rPr>
            </w:pPr>
          </w:p>
        </w:tc>
      </w:tr>
      <w:tr>
        <w:trPr>
          <w:trHeight w:val="231"/>
        </w:trPr>
        <w:tc>
          <w:tcPr>
            <w:tcW w:w="7060" w:type="dxa"/>
            <w:vAlign w:val="bottom"/>
            <w:tcBorders>
              <w:top w:val="single" w:sz="8" w:color="auto"/>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Total Assets</w:t>
            </w:r>
          </w:p>
        </w:tc>
        <w:tc>
          <w:tcPr>
            <w:tcW w:w="300" w:type="dxa"/>
            <w:vAlign w:val="bottom"/>
            <w:tcBorders>
              <w:top w:val="single" w:sz="8" w:color="auto"/>
              <w:bottom w:val="single" w:sz="8" w:color="auto"/>
            </w:tcBorders>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rPr>
              <w:t>$</w:t>
            </w:r>
          </w:p>
        </w:tc>
        <w:tc>
          <w:tcPr>
            <w:tcW w:w="1580" w:type="dxa"/>
            <w:vAlign w:val="bottom"/>
            <w:tcBorders>
              <w:top w:val="single" w:sz="8" w:color="auto"/>
              <w:bottom w:val="single" w:sz="8" w:color="auto"/>
            </w:tcBorders>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rPr>
              <w:t>18,170</w:t>
            </w:r>
          </w:p>
        </w:tc>
        <w:tc>
          <w:tcPr>
            <w:tcW w:w="120" w:type="dxa"/>
            <w:vAlign w:val="bottom"/>
            <w:tcBorders>
              <w:top w:val="single" w:sz="8" w:color="auto"/>
              <w:bottom w:val="single" w:sz="8" w:color="auto"/>
            </w:tcBorders>
            <w:shd w:val="clear" w:color="auto" w:fill="B6D2E2"/>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w:t>
            </w:r>
          </w:p>
        </w:tc>
        <w:tc>
          <w:tcPr>
            <w:tcW w:w="160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15,125</w:t>
            </w:r>
          </w:p>
        </w:tc>
        <w:tc>
          <w:tcPr>
            <w:tcW w:w="120" w:type="dxa"/>
            <w:vAlign w:val="bottom"/>
            <w:tcBorders>
              <w:top w:val="single" w:sz="8" w:color="auto"/>
              <w:bottom w:val="single" w:sz="8" w:color="auto"/>
            </w:tcBorders>
            <w:shd w:val="clear" w:color="auto" w:fill="DEEAEB"/>
          </w:tcPr>
          <w:p>
            <w:pPr>
              <w:spacing w:after="0"/>
              <w:rPr>
                <w:sz w:val="20"/>
                <w:szCs w:val="20"/>
                <w:color w:val="auto"/>
              </w:rPr>
            </w:pPr>
          </w:p>
        </w:tc>
      </w:tr>
      <w:tr>
        <w:trPr>
          <w:trHeight w:val="390"/>
        </w:trPr>
        <w:tc>
          <w:tcPr>
            <w:tcW w:w="7060" w:type="dxa"/>
            <w:vAlign w:val="bottom"/>
          </w:tcPr>
          <w:p>
            <w:pPr>
              <w:ind w:left="20"/>
              <w:spacing w:after="0"/>
              <w:rPr>
                <w:sz w:val="20"/>
                <w:szCs w:val="20"/>
                <w:color w:val="auto"/>
              </w:rPr>
            </w:pPr>
            <w:r>
              <w:rPr>
                <w:rFonts w:ascii="Calibri" w:cs="Calibri" w:eastAsia="Calibri" w:hAnsi="Calibri"/>
                <w:sz w:val="16"/>
                <w:szCs w:val="16"/>
                <w:b w:val="1"/>
                <w:bCs w:val="1"/>
                <w:color w:val="auto"/>
              </w:rPr>
              <w:t>Liabilites and Equity</w:t>
            </w:r>
          </w:p>
        </w:tc>
        <w:tc>
          <w:tcPr>
            <w:tcW w:w="300" w:type="dxa"/>
            <w:vAlign w:val="bottom"/>
            <w:tcBorders>
              <w:bottom w:val="single" w:sz="8" w:color="B6D2E2"/>
            </w:tcBorders>
            <w:shd w:val="clear" w:color="auto" w:fill="B6D2E2"/>
          </w:tcPr>
          <w:p>
            <w:pPr>
              <w:spacing w:after="0"/>
              <w:rPr>
                <w:sz w:val="24"/>
                <w:szCs w:val="24"/>
                <w:color w:val="auto"/>
              </w:rPr>
            </w:pPr>
          </w:p>
        </w:tc>
        <w:tc>
          <w:tcPr>
            <w:tcW w:w="1580" w:type="dxa"/>
            <w:vAlign w:val="bottom"/>
            <w:tcBorders>
              <w:bottom w:val="single" w:sz="8" w:color="B6D2E2"/>
            </w:tcBorders>
            <w:shd w:val="clear" w:color="auto" w:fill="B6D2E2"/>
          </w:tcPr>
          <w:p>
            <w:pPr>
              <w:spacing w:after="0"/>
              <w:rPr>
                <w:sz w:val="24"/>
                <w:szCs w:val="24"/>
                <w:color w:val="auto"/>
              </w:rPr>
            </w:pPr>
          </w:p>
        </w:tc>
        <w:tc>
          <w:tcPr>
            <w:tcW w:w="120" w:type="dxa"/>
            <w:vAlign w:val="bottom"/>
            <w:tcBorders>
              <w:bottom w:val="single" w:sz="8" w:color="B6D2E2"/>
            </w:tcBorders>
            <w:shd w:val="clear" w:color="auto" w:fill="B6D2E2"/>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DEEAEB"/>
            </w:tcBorders>
            <w:shd w:val="clear" w:color="auto" w:fill="DEEAEB"/>
          </w:tcPr>
          <w:p>
            <w:pPr>
              <w:spacing w:after="0"/>
              <w:rPr>
                <w:sz w:val="24"/>
                <w:szCs w:val="24"/>
                <w:color w:val="auto"/>
              </w:rPr>
            </w:pPr>
          </w:p>
        </w:tc>
        <w:tc>
          <w:tcPr>
            <w:tcW w:w="1600" w:type="dxa"/>
            <w:vAlign w:val="bottom"/>
            <w:tcBorders>
              <w:bottom w:val="single" w:sz="8" w:color="DEEAEB"/>
            </w:tcBorders>
            <w:shd w:val="clear" w:color="auto" w:fill="DEEAEB"/>
          </w:tcPr>
          <w:p>
            <w:pPr>
              <w:spacing w:after="0"/>
              <w:rPr>
                <w:sz w:val="24"/>
                <w:szCs w:val="24"/>
                <w:color w:val="auto"/>
              </w:rPr>
            </w:pPr>
          </w:p>
        </w:tc>
        <w:tc>
          <w:tcPr>
            <w:tcW w:w="120" w:type="dxa"/>
            <w:vAlign w:val="bottom"/>
            <w:tcBorders>
              <w:bottom w:val="single" w:sz="8" w:color="DEEAEB"/>
            </w:tcBorders>
            <w:shd w:val="clear" w:color="auto" w:fill="DEEAEB"/>
          </w:tcPr>
          <w:p>
            <w:pPr>
              <w:spacing w:after="0"/>
              <w:rPr>
                <w:sz w:val="24"/>
                <w:szCs w:val="24"/>
                <w:color w:val="auto"/>
              </w:rPr>
            </w:pPr>
          </w:p>
        </w:tc>
      </w:tr>
      <w:tr>
        <w:trPr>
          <w:trHeight w:val="187"/>
        </w:trPr>
        <w:tc>
          <w:tcPr>
            <w:tcW w:w="70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Current Liabilites:</w:t>
            </w:r>
          </w:p>
        </w:tc>
        <w:tc>
          <w:tcPr>
            <w:tcW w:w="300" w:type="dxa"/>
            <w:vAlign w:val="bottom"/>
            <w:tcBorders>
              <w:top w:val="single" w:sz="8" w:color="auto"/>
            </w:tcBorders>
            <w:shd w:val="clear" w:color="auto" w:fill="B6D2E2"/>
          </w:tcPr>
          <w:p>
            <w:pPr>
              <w:spacing w:after="0"/>
              <w:rPr>
                <w:sz w:val="16"/>
                <w:szCs w:val="16"/>
                <w:color w:val="auto"/>
              </w:rPr>
            </w:pPr>
          </w:p>
        </w:tc>
        <w:tc>
          <w:tcPr>
            <w:tcW w:w="158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shd w:val="clear" w:color="auto" w:fill="DEEAEB"/>
          </w:tcPr>
          <w:p>
            <w:pPr>
              <w:spacing w:after="0"/>
              <w:rPr>
                <w:sz w:val="16"/>
                <w:szCs w:val="16"/>
                <w:color w:val="auto"/>
              </w:rPr>
            </w:pPr>
          </w:p>
        </w:tc>
        <w:tc>
          <w:tcPr>
            <w:tcW w:w="1600" w:type="dxa"/>
            <w:vAlign w:val="bottom"/>
            <w:tcBorders>
              <w:top w:val="single" w:sz="8" w:color="auto"/>
            </w:tcBorders>
            <w:shd w:val="clear" w:color="auto" w:fill="DEEAEB"/>
          </w:tcPr>
          <w:p>
            <w:pPr>
              <w:spacing w:after="0"/>
              <w:rPr>
                <w:sz w:val="16"/>
                <w:szCs w:val="16"/>
                <w:color w:val="auto"/>
              </w:rPr>
            </w:pPr>
          </w:p>
        </w:tc>
        <w:tc>
          <w:tcPr>
            <w:tcW w:w="120" w:type="dxa"/>
            <w:vAlign w:val="bottom"/>
            <w:tcBorders>
              <w:top w:val="single" w:sz="8" w:color="auto"/>
            </w:tcBorders>
            <w:shd w:val="clear" w:color="auto" w:fill="DEEAEB"/>
          </w:tcPr>
          <w:p>
            <w:pPr>
              <w:spacing w:after="0"/>
              <w:rPr>
                <w:sz w:val="16"/>
                <w:szCs w:val="16"/>
                <w:color w:val="auto"/>
              </w:rPr>
            </w:pPr>
          </w:p>
        </w:tc>
      </w:tr>
      <w:tr>
        <w:trPr>
          <w:trHeight w:val="193"/>
        </w:trPr>
        <w:tc>
          <w:tcPr>
            <w:tcW w:w="7060" w:type="dxa"/>
            <w:vAlign w:val="bottom"/>
          </w:tcPr>
          <w:p>
            <w:pPr>
              <w:ind w:left="20"/>
              <w:spacing w:after="0" w:line="193" w:lineRule="exact"/>
              <w:rPr>
                <w:sz w:val="20"/>
                <w:szCs w:val="20"/>
                <w:color w:val="auto"/>
              </w:rPr>
            </w:pPr>
            <w:r>
              <w:rPr>
                <w:rFonts w:ascii="Calibri" w:cs="Calibri" w:eastAsia="Calibri" w:hAnsi="Calibri"/>
                <w:sz w:val="16"/>
                <w:szCs w:val="16"/>
                <w:color w:val="auto"/>
              </w:rPr>
              <w:t>Accounts payable</w:t>
            </w:r>
          </w:p>
        </w:tc>
        <w:tc>
          <w:tcPr>
            <w:tcW w:w="30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58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375</w:t>
            </w: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6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343</w:t>
            </w:r>
          </w:p>
        </w:tc>
        <w:tc>
          <w:tcPr>
            <w:tcW w:w="120" w:type="dxa"/>
            <w:vAlign w:val="bottom"/>
            <w:shd w:val="clear" w:color="auto" w:fill="DEEAEB"/>
          </w:tcPr>
          <w:p>
            <w:pPr>
              <w:spacing w:after="0"/>
              <w:rPr>
                <w:sz w:val="16"/>
                <w:szCs w:val="16"/>
                <w:color w:val="auto"/>
              </w:rPr>
            </w:pPr>
          </w:p>
        </w:tc>
      </w:tr>
      <w:tr>
        <w:trPr>
          <w:trHeight w:val="193"/>
        </w:trPr>
        <w:tc>
          <w:tcPr>
            <w:tcW w:w="7060" w:type="dxa"/>
            <w:vAlign w:val="bottom"/>
          </w:tcPr>
          <w:p>
            <w:pPr>
              <w:ind w:left="20"/>
              <w:spacing w:after="0" w:line="193" w:lineRule="exact"/>
              <w:rPr>
                <w:sz w:val="20"/>
                <w:szCs w:val="20"/>
                <w:color w:val="auto"/>
              </w:rPr>
            </w:pPr>
            <w:r>
              <w:rPr>
                <w:rFonts w:ascii="Calibri" w:cs="Calibri" w:eastAsia="Calibri" w:hAnsi="Calibri"/>
                <w:sz w:val="16"/>
                <w:szCs w:val="16"/>
                <w:color w:val="auto"/>
              </w:rPr>
              <w:t>Accrued salaries, benefts and payroll taxes</w:t>
            </w:r>
          </w:p>
        </w:tc>
        <w:tc>
          <w:tcPr>
            <w:tcW w:w="300" w:type="dxa"/>
            <w:vAlign w:val="bottom"/>
            <w:shd w:val="clear" w:color="auto" w:fill="B6D2E2"/>
          </w:tcPr>
          <w:p>
            <w:pPr>
              <w:spacing w:after="0"/>
              <w:rPr>
                <w:sz w:val="16"/>
                <w:szCs w:val="16"/>
                <w:color w:val="auto"/>
              </w:rPr>
            </w:pPr>
          </w:p>
        </w:tc>
        <w:tc>
          <w:tcPr>
            <w:tcW w:w="158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73</w:t>
            </w: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102</w:t>
            </w:r>
          </w:p>
        </w:tc>
        <w:tc>
          <w:tcPr>
            <w:tcW w:w="120" w:type="dxa"/>
            <w:vAlign w:val="bottom"/>
            <w:shd w:val="clear" w:color="auto" w:fill="DEEAEB"/>
          </w:tcPr>
          <w:p>
            <w:pPr>
              <w:spacing w:after="0"/>
              <w:rPr>
                <w:sz w:val="16"/>
                <w:szCs w:val="16"/>
                <w:color w:val="auto"/>
              </w:rPr>
            </w:pPr>
          </w:p>
        </w:tc>
      </w:tr>
      <w:tr>
        <w:trPr>
          <w:trHeight w:val="202"/>
        </w:trPr>
        <w:tc>
          <w:tcPr>
            <w:tcW w:w="7060" w:type="dxa"/>
            <w:vAlign w:val="bottom"/>
          </w:tcPr>
          <w:p>
            <w:pPr>
              <w:ind w:left="20"/>
              <w:spacing w:after="0"/>
              <w:rPr>
                <w:sz w:val="20"/>
                <w:szCs w:val="20"/>
                <w:color w:val="auto"/>
              </w:rPr>
            </w:pPr>
            <w:r>
              <w:rPr>
                <w:rFonts w:ascii="Calibri" w:cs="Calibri" w:eastAsia="Calibri" w:hAnsi="Calibri"/>
                <w:sz w:val="16"/>
                <w:szCs w:val="16"/>
                <w:color w:val="auto"/>
              </w:rPr>
              <w:t>Accrued income taxes</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102</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w:t>
            </w:r>
          </w:p>
        </w:tc>
        <w:tc>
          <w:tcPr>
            <w:tcW w:w="120" w:type="dxa"/>
            <w:vAlign w:val="bottom"/>
            <w:shd w:val="clear" w:color="auto" w:fill="DEEAEB"/>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Calibri" w:cs="Calibri" w:eastAsia="Calibri" w:hAnsi="Calibri"/>
                <w:sz w:val="16"/>
                <w:szCs w:val="16"/>
                <w:color w:val="auto"/>
              </w:rPr>
              <w:t>Accrued other taxes</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50</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47</w:t>
            </w:r>
          </w:p>
        </w:tc>
        <w:tc>
          <w:tcPr>
            <w:tcW w:w="120" w:type="dxa"/>
            <w:vAlign w:val="bottom"/>
            <w:shd w:val="clear" w:color="auto" w:fill="DEEAEB"/>
          </w:tcPr>
          <w:p>
            <w:pPr>
              <w:spacing w:after="0"/>
              <w:rPr>
                <w:sz w:val="17"/>
                <w:szCs w:val="17"/>
                <w:color w:val="auto"/>
              </w:rPr>
            </w:pPr>
          </w:p>
        </w:tc>
      </w:tr>
      <w:tr>
        <w:trPr>
          <w:trHeight w:val="202"/>
        </w:trPr>
        <w:tc>
          <w:tcPr>
            <w:tcW w:w="7060" w:type="dxa"/>
            <w:vAlign w:val="bottom"/>
          </w:tcPr>
          <w:p>
            <w:pPr>
              <w:ind w:left="20"/>
              <w:spacing w:after="0"/>
              <w:rPr>
                <w:sz w:val="20"/>
                <w:szCs w:val="20"/>
                <w:color w:val="auto"/>
              </w:rPr>
            </w:pPr>
            <w:r>
              <w:rPr>
                <w:rFonts w:ascii="Calibri" w:cs="Calibri" w:eastAsia="Calibri" w:hAnsi="Calibri"/>
                <w:sz w:val="16"/>
                <w:szCs w:val="16"/>
                <w:color w:val="auto"/>
              </w:rPr>
              <w:t>Accrued interest</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45</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41</w:t>
            </w:r>
          </w:p>
        </w:tc>
        <w:tc>
          <w:tcPr>
            <w:tcW w:w="120" w:type="dxa"/>
            <w:vAlign w:val="bottom"/>
            <w:shd w:val="clear" w:color="auto" w:fill="DEEAEB"/>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Calibri" w:cs="Calibri" w:eastAsia="Calibri" w:hAnsi="Calibri"/>
                <w:sz w:val="16"/>
                <w:szCs w:val="16"/>
                <w:color w:val="auto"/>
              </w:rPr>
              <w:t>Current maturites of long-term debt</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125</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400</w:t>
            </w:r>
          </w:p>
        </w:tc>
        <w:tc>
          <w:tcPr>
            <w:tcW w:w="120" w:type="dxa"/>
            <w:vAlign w:val="bottom"/>
            <w:shd w:val="clear" w:color="auto" w:fill="DEEAEB"/>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Calibri" w:cs="Calibri" w:eastAsia="Calibri" w:hAnsi="Calibri"/>
                <w:sz w:val="16"/>
                <w:szCs w:val="16"/>
                <w:color w:val="auto"/>
              </w:rPr>
              <w:t>Current operatng lease liabilites</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56</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53</w:t>
            </w:r>
          </w:p>
        </w:tc>
        <w:tc>
          <w:tcPr>
            <w:tcW w:w="120" w:type="dxa"/>
            <w:vAlign w:val="bottom"/>
            <w:shd w:val="clear" w:color="auto" w:fill="DEEAEB"/>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Calibri" w:cs="Calibri" w:eastAsia="Calibri" w:hAnsi="Calibri"/>
                <w:sz w:val="16"/>
                <w:szCs w:val="16"/>
                <w:color w:val="auto"/>
              </w:rPr>
              <w:t>Other current liabilites</w:t>
            </w:r>
          </w:p>
        </w:tc>
        <w:tc>
          <w:tcPr>
            <w:tcW w:w="300" w:type="dxa"/>
            <w:vAlign w:val="bottom"/>
            <w:tcBorders>
              <w:bottom w:val="single" w:sz="8" w:color="B6D2E2"/>
            </w:tcBorders>
            <w:shd w:val="clear" w:color="auto" w:fill="B6D2E2"/>
          </w:tcPr>
          <w:p>
            <w:pPr>
              <w:spacing w:after="0"/>
              <w:rPr>
                <w:sz w:val="20"/>
                <w:szCs w:val="20"/>
                <w:color w:val="auto"/>
              </w:rPr>
            </w:pPr>
          </w:p>
        </w:tc>
        <w:tc>
          <w:tcPr>
            <w:tcW w:w="15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190</w:t>
            </w:r>
          </w:p>
        </w:tc>
        <w:tc>
          <w:tcPr>
            <w:tcW w:w="120" w:type="dxa"/>
            <w:vAlign w:val="bottom"/>
            <w:tcBorders>
              <w:bottom w:val="single" w:sz="8" w:color="B6D2E2"/>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DEEAEB"/>
            </w:tcBorders>
            <w:shd w:val="clear" w:color="auto" w:fill="DEEAEB"/>
          </w:tcPr>
          <w:p>
            <w:pPr>
              <w:spacing w:after="0"/>
              <w:rPr>
                <w:sz w:val="20"/>
                <w:szCs w:val="20"/>
                <w:color w:val="auto"/>
              </w:rPr>
            </w:pPr>
          </w:p>
        </w:tc>
        <w:tc>
          <w:tcPr>
            <w:tcW w:w="16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178</w:t>
            </w:r>
          </w:p>
        </w:tc>
        <w:tc>
          <w:tcPr>
            <w:tcW w:w="120" w:type="dxa"/>
            <w:vAlign w:val="bottom"/>
            <w:tcBorders>
              <w:bottom w:val="single" w:sz="8" w:color="DEEAEB"/>
            </w:tcBorders>
            <w:shd w:val="clear" w:color="auto" w:fill="DEEAEB"/>
          </w:tcPr>
          <w:p>
            <w:pPr>
              <w:spacing w:after="0"/>
              <w:rPr>
                <w:sz w:val="20"/>
                <w:szCs w:val="20"/>
                <w:color w:val="auto"/>
              </w:rPr>
            </w:pPr>
          </w:p>
        </w:tc>
      </w:tr>
      <w:tr>
        <w:trPr>
          <w:trHeight w:val="187"/>
        </w:trPr>
        <w:tc>
          <w:tcPr>
            <w:tcW w:w="70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Current Liabilites</w:t>
            </w:r>
          </w:p>
        </w:tc>
        <w:tc>
          <w:tcPr>
            <w:tcW w:w="300" w:type="dxa"/>
            <w:vAlign w:val="bottom"/>
            <w:tcBorders>
              <w:top w:val="single" w:sz="8" w:color="auto"/>
            </w:tcBorders>
            <w:shd w:val="clear" w:color="auto" w:fill="B6D2E2"/>
          </w:tcPr>
          <w:p>
            <w:pPr>
              <w:spacing w:after="0"/>
              <w:rPr>
                <w:sz w:val="16"/>
                <w:szCs w:val="16"/>
                <w:color w:val="auto"/>
              </w:rPr>
            </w:pPr>
          </w:p>
        </w:tc>
        <w:tc>
          <w:tcPr>
            <w:tcW w:w="15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1,016</w:t>
            </w: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shd w:val="clear" w:color="auto" w:fill="DEEAEB"/>
          </w:tcPr>
          <w:p>
            <w:pPr>
              <w:spacing w:after="0"/>
              <w:rPr>
                <w:sz w:val="16"/>
                <w:szCs w:val="16"/>
                <w:color w:val="auto"/>
              </w:rPr>
            </w:pPr>
          </w:p>
        </w:tc>
        <w:tc>
          <w:tcPr>
            <w:tcW w:w="16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1,170</w:t>
            </w:r>
          </w:p>
        </w:tc>
        <w:tc>
          <w:tcPr>
            <w:tcW w:w="120" w:type="dxa"/>
            <w:vAlign w:val="bottom"/>
            <w:tcBorders>
              <w:top w:val="single" w:sz="8" w:color="auto"/>
            </w:tcBorders>
            <w:shd w:val="clear" w:color="auto" w:fill="DEEAEB"/>
          </w:tcPr>
          <w:p>
            <w:pPr>
              <w:spacing w:after="0"/>
              <w:rPr>
                <w:sz w:val="16"/>
                <w:szCs w:val="16"/>
                <w:color w:val="auto"/>
              </w:rPr>
            </w:pPr>
          </w:p>
        </w:tc>
      </w:tr>
      <w:tr>
        <w:trPr>
          <w:trHeight w:val="194"/>
        </w:trPr>
        <w:tc>
          <w:tcPr>
            <w:tcW w:w="706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w:t>
            </w:r>
          </w:p>
        </w:tc>
        <w:tc>
          <w:tcPr>
            <w:tcW w:w="300" w:type="dxa"/>
            <w:vAlign w:val="bottom"/>
            <w:shd w:val="clear" w:color="auto" w:fill="B6D2E2"/>
          </w:tcPr>
          <w:p>
            <w:pPr>
              <w:spacing w:after="0"/>
              <w:rPr>
                <w:sz w:val="16"/>
                <w:szCs w:val="16"/>
                <w:color w:val="auto"/>
              </w:rPr>
            </w:pPr>
          </w:p>
        </w:tc>
        <w:tc>
          <w:tcPr>
            <w:tcW w:w="158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5,288</w:t>
            </w: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3,946</w:t>
            </w:r>
          </w:p>
        </w:tc>
        <w:tc>
          <w:tcPr>
            <w:tcW w:w="120" w:type="dxa"/>
            <w:vAlign w:val="bottom"/>
            <w:shd w:val="clear" w:color="auto" w:fill="DEEAEB"/>
          </w:tcPr>
          <w:p>
            <w:pPr>
              <w:spacing w:after="0"/>
              <w:rPr>
                <w:sz w:val="16"/>
                <w:szCs w:val="16"/>
                <w:color w:val="auto"/>
              </w:rPr>
            </w:pPr>
          </w:p>
        </w:tc>
      </w:tr>
      <w:tr>
        <w:trPr>
          <w:trHeight w:val="194"/>
        </w:trPr>
        <w:tc>
          <w:tcPr>
            <w:tcW w:w="706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income taxes, net</w:t>
            </w:r>
          </w:p>
        </w:tc>
        <w:tc>
          <w:tcPr>
            <w:tcW w:w="300" w:type="dxa"/>
            <w:vAlign w:val="bottom"/>
            <w:shd w:val="clear" w:color="auto" w:fill="B6D2E2"/>
          </w:tcPr>
          <w:p>
            <w:pPr>
              <w:spacing w:after="0"/>
              <w:rPr>
                <w:sz w:val="16"/>
                <w:szCs w:val="16"/>
                <w:color w:val="auto"/>
              </w:rPr>
            </w:pPr>
          </w:p>
        </w:tc>
        <w:tc>
          <w:tcPr>
            <w:tcW w:w="158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1,169</w:t>
            </w: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874</w:t>
            </w:r>
          </w:p>
        </w:tc>
        <w:tc>
          <w:tcPr>
            <w:tcW w:w="120" w:type="dxa"/>
            <w:vAlign w:val="bottom"/>
            <w:shd w:val="clear" w:color="auto" w:fill="DEEAEB"/>
          </w:tcPr>
          <w:p>
            <w:pPr>
              <w:spacing w:after="0"/>
              <w:rPr>
                <w:sz w:val="16"/>
                <w:szCs w:val="16"/>
                <w:color w:val="auto"/>
              </w:rPr>
            </w:pPr>
          </w:p>
        </w:tc>
      </w:tr>
      <w:tr>
        <w:trPr>
          <w:trHeight w:val="202"/>
        </w:trPr>
        <w:tc>
          <w:tcPr>
            <w:tcW w:w="7060" w:type="dxa"/>
            <w:vAlign w:val="bottom"/>
          </w:tcPr>
          <w:p>
            <w:pPr>
              <w:ind w:left="20"/>
              <w:spacing w:after="0"/>
              <w:rPr>
                <w:sz w:val="20"/>
                <w:szCs w:val="20"/>
                <w:color w:val="auto"/>
              </w:rPr>
            </w:pPr>
            <w:r>
              <w:rPr>
                <w:rFonts w:ascii="Calibri" w:cs="Calibri" w:eastAsia="Calibri" w:hAnsi="Calibri"/>
                <w:sz w:val="16"/>
                <w:szCs w:val="16"/>
                <w:color w:val="auto"/>
              </w:rPr>
              <w:t>Noncurrent operatng lease liabilites</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335</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327</w:t>
            </w:r>
          </w:p>
        </w:tc>
        <w:tc>
          <w:tcPr>
            <w:tcW w:w="120" w:type="dxa"/>
            <w:vAlign w:val="bottom"/>
            <w:shd w:val="clear" w:color="auto" w:fill="DEEAEB"/>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Calibri" w:cs="Calibri" w:eastAsia="Calibri" w:hAnsi="Calibri"/>
                <w:sz w:val="16"/>
                <w:szCs w:val="16"/>
                <w:color w:val="auto"/>
              </w:rPr>
              <w:t>Noncurrent asset retrement obligatons</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423</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383</w:t>
            </w:r>
          </w:p>
        </w:tc>
        <w:tc>
          <w:tcPr>
            <w:tcW w:w="120" w:type="dxa"/>
            <w:vAlign w:val="bottom"/>
            <w:shd w:val="clear" w:color="auto" w:fill="DEEAEB"/>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Calibri" w:cs="Calibri" w:eastAsia="Calibri" w:hAnsi="Calibri"/>
                <w:sz w:val="16"/>
                <w:szCs w:val="16"/>
                <w:color w:val="auto"/>
              </w:rPr>
              <w:t>Other noncurrent liabilites</w:t>
            </w:r>
          </w:p>
        </w:tc>
        <w:tc>
          <w:tcPr>
            <w:tcW w:w="300" w:type="dxa"/>
            <w:vAlign w:val="bottom"/>
            <w:tcBorders>
              <w:bottom w:val="single" w:sz="8" w:color="B6D2E2"/>
            </w:tcBorders>
            <w:shd w:val="clear" w:color="auto" w:fill="B6D2E2"/>
          </w:tcPr>
          <w:p>
            <w:pPr>
              <w:spacing w:after="0"/>
              <w:rPr>
                <w:sz w:val="20"/>
                <w:szCs w:val="20"/>
                <w:color w:val="auto"/>
              </w:rPr>
            </w:pPr>
          </w:p>
        </w:tc>
        <w:tc>
          <w:tcPr>
            <w:tcW w:w="15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483</w:t>
            </w:r>
          </w:p>
        </w:tc>
        <w:tc>
          <w:tcPr>
            <w:tcW w:w="120" w:type="dxa"/>
            <w:vAlign w:val="bottom"/>
            <w:tcBorders>
              <w:bottom w:val="single" w:sz="8" w:color="B6D2E2"/>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DEEAEB"/>
            </w:tcBorders>
            <w:shd w:val="clear" w:color="auto" w:fill="DEEAEB"/>
          </w:tcPr>
          <w:p>
            <w:pPr>
              <w:spacing w:after="0"/>
              <w:rPr>
                <w:sz w:val="20"/>
                <w:szCs w:val="20"/>
                <w:color w:val="auto"/>
              </w:rPr>
            </w:pPr>
          </w:p>
        </w:tc>
        <w:tc>
          <w:tcPr>
            <w:tcW w:w="16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389</w:t>
            </w:r>
          </w:p>
        </w:tc>
        <w:tc>
          <w:tcPr>
            <w:tcW w:w="120" w:type="dxa"/>
            <w:vAlign w:val="bottom"/>
            <w:tcBorders>
              <w:bottom w:val="single" w:sz="8" w:color="DEEAEB"/>
            </w:tcBorders>
            <w:shd w:val="clear" w:color="auto" w:fill="DEEAEB"/>
          </w:tcPr>
          <w:p>
            <w:pPr>
              <w:spacing w:after="0"/>
              <w:rPr>
                <w:sz w:val="20"/>
                <w:szCs w:val="20"/>
                <w:color w:val="auto"/>
              </w:rPr>
            </w:pPr>
          </w:p>
        </w:tc>
      </w:tr>
      <w:tr>
        <w:trPr>
          <w:trHeight w:val="192"/>
        </w:trPr>
        <w:tc>
          <w:tcPr>
            <w:tcW w:w="7060" w:type="dxa"/>
            <w:vAlign w:val="bottom"/>
            <w:tcBorders>
              <w:top w:val="single" w:sz="8" w:color="auto"/>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Total Liabilites</w:t>
            </w:r>
          </w:p>
        </w:tc>
        <w:tc>
          <w:tcPr>
            <w:tcW w:w="300" w:type="dxa"/>
            <w:vAlign w:val="bottom"/>
            <w:tcBorders>
              <w:top w:val="single" w:sz="8" w:color="auto"/>
              <w:bottom w:val="single" w:sz="8" w:color="auto"/>
            </w:tcBorders>
            <w:shd w:val="clear" w:color="auto" w:fill="B6D2E2"/>
          </w:tcPr>
          <w:p>
            <w:pPr>
              <w:spacing w:after="0"/>
              <w:rPr>
                <w:sz w:val="16"/>
                <w:szCs w:val="16"/>
                <w:color w:val="auto"/>
              </w:rPr>
            </w:pPr>
          </w:p>
        </w:tc>
        <w:tc>
          <w:tcPr>
            <w:tcW w:w="1580" w:type="dxa"/>
            <w:vAlign w:val="bottom"/>
            <w:tcBorders>
              <w:top w:val="single" w:sz="8" w:color="auto"/>
              <w:bottom w:val="single" w:sz="8" w:color="auto"/>
            </w:tcBorders>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rPr>
              <w:t>8,714</w:t>
            </w:r>
          </w:p>
        </w:tc>
        <w:tc>
          <w:tcPr>
            <w:tcW w:w="120" w:type="dxa"/>
            <w:vAlign w:val="bottom"/>
            <w:tcBorders>
              <w:top w:val="single" w:sz="8" w:color="auto"/>
              <w:bottom w:val="single" w:sz="8" w:color="auto"/>
            </w:tcBorders>
            <w:shd w:val="clear" w:color="auto" w:fill="B6D2E2"/>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shd w:val="clear" w:color="auto" w:fill="DEEAEB"/>
          </w:tcPr>
          <w:p>
            <w:pPr>
              <w:spacing w:after="0"/>
              <w:rPr>
                <w:sz w:val="16"/>
                <w:szCs w:val="16"/>
                <w:color w:val="auto"/>
              </w:rPr>
            </w:pPr>
          </w:p>
        </w:tc>
        <w:tc>
          <w:tcPr>
            <w:tcW w:w="160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7,089</w:t>
            </w:r>
          </w:p>
        </w:tc>
        <w:tc>
          <w:tcPr>
            <w:tcW w:w="120" w:type="dxa"/>
            <w:vAlign w:val="bottom"/>
            <w:tcBorders>
              <w:top w:val="single" w:sz="8" w:color="auto"/>
              <w:bottom w:val="single" w:sz="8" w:color="auto"/>
            </w:tcBorders>
            <w:shd w:val="clear" w:color="auto" w:fill="DEEAEB"/>
          </w:tcPr>
          <w:p>
            <w:pPr>
              <w:spacing w:after="0"/>
              <w:rPr>
                <w:sz w:val="16"/>
                <w:szCs w:val="16"/>
                <w:color w:val="auto"/>
              </w:rPr>
            </w:pPr>
          </w:p>
        </w:tc>
      </w:tr>
      <w:tr>
        <w:trPr>
          <w:trHeight w:val="191"/>
        </w:trPr>
        <w:tc>
          <w:tcPr>
            <w:tcW w:w="7060" w:type="dxa"/>
            <w:vAlign w:val="bottom"/>
          </w:tcPr>
          <w:p>
            <w:pPr>
              <w:ind w:left="20"/>
              <w:spacing w:after="0" w:line="192" w:lineRule="exact"/>
              <w:rPr>
                <w:sz w:val="20"/>
                <w:szCs w:val="20"/>
                <w:color w:val="auto"/>
              </w:rPr>
            </w:pPr>
            <w:r>
              <w:rPr>
                <w:rFonts w:ascii="Calibri" w:cs="Calibri" w:eastAsia="Calibri" w:hAnsi="Calibri"/>
                <w:sz w:val="16"/>
                <w:szCs w:val="16"/>
                <w:b w:val="1"/>
                <w:bCs w:val="1"/>
                <w:color w:val="auto"/>
              </w:rPr>
              <w:t>Commitments and Contngent Liabilites - Note N</w:t>
            </w:r>
          </w:p>
        </w:tc>
        <w:tc>
          <w:tcPr>
            <w:tcW w:w="300" w:type="dxa"/>
            <w:vAlign w:val="bottom"/>
            <w:shd w:val="clear" w:color="auto" w:fill="B6D2E2"/>
          </w:tcPr>
          <w:p>
            <w:pPr>
              <w:spacing w:after="0"/>
              <w:rPr>
                <w:sz w:val="16"/>
                <w:szCs w:val="16"/>
                <w:color w:val="auto"/>
              </w:rPr>
            </w:pPr>
          </w:p>
        </w:tc>
        <w:tc>
          <w:tcPr>
            <w:tcW w:w="15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r>
      <w:tr>
        <w:trPr>
          <w:trHeight w:val="193"/>
        </w:trPr>
        <w:tc>
          <w:tcPr>
            <w:tcW w:w="706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Equity:</w:t>
            </w:r>
          </w:p>
        </w:tc>
        <w:tc>
          <w:tcPr>
            <w:tcW w:w="300" w:type="dxa"/>
            <w:vAlign w:val="bottom"/>
            <w:shd w:val="clear" w:color="auto" w:fill="B6D2E2"/>
          </w:tcPr>
          <w:p>
            <w:pPr>
              <w:spacing w:after="0"/>
              <w:rPr>
                <w:sz w:val="16"/>
                <w:szCs w:val="16"/>
                <w:color w:val="auto"/>
              </w:rPr>
            </w:pPr>
          </w:p>
        </w:tc>
        <w:tc>
          <w:tcPr>
            <w:tcW w:w="15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r>
      <w:tr>
        <w:trPr>
          <w:trHeight w:val="193"/>
        </w:trPr>
        <w:tc>
          <w:tcPr>
            <w:tcW w:w="7060" w:type="dxa"/>
            <w:vAlign w:val="bottom"/>
          </w:tcPr>
          <w:p>
            <w:pPr>
              <w:ind w:left="20"/>
              <w:spacing w:after="0" w:line="193" w:lineRule="exact"/>
              <w:rPr>
                <w:sz w:val="20"/>
                <w:szCs w:val="20"/>
                <w:color w:val="auto"/>
              </w:rPr>
            </w:pPr>
            <w:r>
              <w:rPr>
                <w:rFonts w:ascii="Calibri" w:cs="Calibri" w:eastAsia="Calibri" w:hAnsi="Calibri"/>
                <w:sz w:val="16"/>
                <w:szCs w:val="16"/>
                <w:color w:val="auto"/>
              </w:rPr>
              <w:t>Common stock ($0.01 par value; 100,000,000 shares authorized; 61,126,646 shares</w:t>
            </w:r>
          </w:p>
        </w:tc>
        <w:tc>
          <w:tcPr>
            <w:tcW w:w="300" w:type="dxa"/>
            <w:vAlign w:val="bottom"/>
            <w:shd w:val="clear" w:color="auto" w:fill="B6D2E2"/>
          </w:tcPr>
          <w:p>
            <w:pPr>
              <w:spacing w:after="0"/>
              <w:rPr>
                <w:sz w:val="16"/>
                <w:szCs w:val="16"/>
                <w:color w:val="auto"/>
              </w:rPr>
            </w:pPr>
          </w:p>
        </w:tc>
        <w:tc>
          <w:tcPr>
            <w:tcW w:w="1580" w:type="dxa"/>
            <w:vAlign w:val="bottom"/>
            <w:shd w:val="clear" w:color="auto" w:fill="B6D2E2"/>
          </w:tcPr>
          <w:p>
            <w:pPr>
              <w:spacing w:after="0"/>
              <w:rPr>
                <w:sz w:val="16"/>
                <w:szCs w:val="16"/>
                <w:color w:val="auto"/>
              </w:rPr>
            </w:pPr>
          </w:p>
        </w:tc>
        <w:tc>
          <w:tcPr>
            <w:tcW w:w="12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shd w:val="clear" w:color="auto" w:fill="DEEAEB"/>
          </w:tcPr>
          <w:p>
            <w:pPr>
              <w:spacing w:after="0"/>
              <w:rPr>
                <w:sz w:val="16"/>
                <w:szCs w:val="16"/>
                <w:color w:val="auto"/>
              </w:rPr>
            </w:pPr>
          </w:p>
        </w:tc>
        <w:tc>
          <w:tcPr>
            <w:tcW w:w="1600" w:type="dxa"/>
            <w:vAlign w:val="bottom"/>
            <w:shd w:val="clear" w:color="auto" w:fill="DEEAEB"/>
          </w:tcPr>
          <w:p>
            <w:pPr>
              <w:spacing w:after="0"/>
              <w:rPr>
                <w:sz w:val="16"/>
                <w:szCs w:val="16"/>
                <w:color w:val="auto"/>
              </w:rPr>
            </w:pPr>
          </w:p>
        </w:tc>
        <w:tc>
          <w:tcPr>
            <w:tcW w:w="120" w:type="dxa"/>
            <w:vAlign w:val="bottom"/>
            <w:shd w:val="clear" w:color="auto" w:fill="DEEAEB"/>
          </w:tcPr>
          <w:p>
            <w:pPr>
              <w:spacing w:after="0"/>
              <w:rPr>
                <w:sz w:val="16"/>
                <w:szCs w:val="16"/>
                <w:color w:val="auto"/>
              </w:rPr>
            </w:pPr>
          </w:p>
        </w:tc>
      </w:tr>
      <w:tr>
        <w:trPr>
          <w:trHeight w:val="202"/>
        </w:trPr>
        <w:tc>
          <w:tcPr>
            <w:tcW w:w="7060" w:type="dxa"/>
            <w:vAlign w:val="bottom"/>
          </w:tcPr>
          <w:p>
            <w:pPr>
              <w:ind w:left="140"/>
              <w:spacing w:after="0"/>
              <w:rPr>
                <w:sz w:val="20"/>
                <w:szCs w:val="20"/>
                <w:color w:val="auto"/>
              </w:rPr>
            </w:pPr>
            <w:r>
              <w:rPr>
                <w:rFonts w:ascii="Calibri" w:cs="Calibri" w:eastAsia="Calibri" w:hAnsi="Calibri"/>
                <w:sz w:val="16"/>
                <w:szCs w:val="16"/>
                <w:color w:val="auto"/>
              </w:rPr>
              <w:t>and 61,821,421 shares outstanding at December 31, 2024 and 2023, respectvely)</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w:t>
            </w:r>
          </w:p>
        </w:tc>
        <w:tc>
          <w:tcPr>
            <w:tcW w:w="120" w:type="dxa"/>
            <w:vAlign w:val="bottom"/>
            <w:shd w:val="clear" w:color="auto" w:fill="DEEAEB"/>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Calibri" w:cs="Calibri" w:eastAsia="Calibri" w:hAnsi="Calibri"/>
                <w:sz w:val="16"/>
                <w:szCs w:val="16"/>
                <w:color w:val="auto"/>
              </w:rPr>
              <w:t>Preferred stock ($0.01 par value; 10,000,000 shares authorized; no shares outstanding)</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DEEAEB"/>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Calibri" w:cs="Calibri" w:eastAsia="Calibri" w:hAnsi="Calibri"/>
                <w:sz w:val="16"/>
                <w:szCs w:val="16"/>
                <w:color w:val="auto"/>
              </w:rPr>
              <w:t>Additonal paid-in capital</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3,550</w:t>
            </w:r>
          </w:p>
        </w:tc>
        <w:tc>
          <w:tcPr>
            <w:tcW w:w="12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3,519</w:t>
            </w:r>
          </w:p>
        </w:tc>
        <w:tc>
          <w:tcPr>
            <w:tcW w:w="120" w:type="dxa"/>
            <w:vAlign w:val="bottom"/>
            <w:shd w:val="clear" w:color="auto" w:fill="DEEAEB"/>
          </w:tcPr>
          <w:p>
            <w:pPr>
              <w:spacing w:after="0"/>
              <w:rPr>
                <w:sz w:val="17"/>
                <w:szCs w:val="17"/>
                <w:color w:val="auto"/>
              </w:rPr>
            </w:pPr>
          </w:p>
        </w:tc>
      </w:tr>
      <w:tr>
        <w:trPr>
          <w:trHeight w:val="203"/>
        </w:trPr>
        <w:tc>
          <w:tcPr>
            <w:tcW w:w="7060" w:type="dxa"/>
            <w:vAlign w:val="bottom"/>
          </w:tcPr>
          <w:p>
            <w:pPr>
              <w:ind w:left="20"/>
              <w:spacing w:after="0"/>
              <w:rPr>
                <w:sz w:val="20"/>
                <w:szCs w:val="20"/>
                <w:color w:val="auto"/>
              </w:rPr>
            </w:pPr>
            <w:r>
              <w:rPr>
                <w:rFonts w:ascii="Calibri" w:cs="Calibri" w:eastAsia="Calibri" w:hAnsi="Calibri"/>
                <w:sz w:val="16"/>
                <w:szCs w:val="16"/>
                <w:color w:val="auto"/>
              </w:rPr>
              <w:t>Accumulated other comprehensive loss</w:t>
            </w:r>
          </w:p>
        </w:tc>
        <w:tc>
          <w:tcPr>
            <w:tcW w:w="300" w:type="dxa"/>
            <w:vAlign w:val="bottom"/>
            <w:shd w:val="clear" w:color="auto" w:fill="B6D2E2"/>
          </w:tcPr>
          <w:p>
            <w:pPr>
              <w:spacing w:after="0"/>
              <w:rPr>
                <w:sz w:val="17"/>
                <w:szCs w:val="17"/>
                <w:color w:val="auto"/>
              </w:rPr>
            </w:pPr>
          </w:p>
        </w:tc>
        <w:tc>
          <w:tcPr>
            <w:tcW w:w="15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(13</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300" w:type="dxa"/>
            <w:vAlign w:val="bottom"/>
            <w:shd w:val="clear" w:color="auto" w:fill="DEEAEB"/>
          </w:tcPr>
          <w:p>
            <w:pPr>
              <w:spacing w:after="0"/>
              <w:rPr>
                <w:sz w:val="17"/>
                <w:szCs w:val="17"/>
                <w:color w:val="auto"/>
              </w:rPr>
            </w:pPr>
          </w:p>
        </w:tc>
        <w:tc>
          <w:tcPr>
            <w:tcW w:w="16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(49</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7060" w:type="dxa"/>
            <w:vAlign w:val="bottom"/>
          </w:tcPr>
          <w:p>
            <w:pPr>
              <w:ind w:left="20"/>
              <w:spacing w:after="0"/>
              <w:rPr>
                <w:sz w:val="20"/>
                <w:szCs w:val="20"/>
                <w:color w:val="auto"/>
              </w:rPr>
            </w:pPr>
            <w:r>
              <w:rPr>
                <w:rFonts w:ascii="Calibri" w:cs="Calibri" w:eastAsia="Calibri" w:hAnsi="Calibri"/>
                <w:sz w:val="16"/>
                <w:szCs w:val="16"/>
                <w:color w:val="auto"/>
              </w:rPr>
              <w:t>Retained earnings</w:t>
            </w:r>
          </w:p>
        </w:tc>
        <w:tc>
          <w:tcPr>
            <w:tcW w:w="300" w:type="dxa"/>
            <w:vAlign w:val="bottom"/>
            <w:tcBorders>
              <w:bottom w:val="single" w:sz="8" w:color="B6D2E2"/>
            </w:tcBorders>
            <w:shd w:val="clear" w:color="auto" w:fill="B6D2E2"/>
          </w:tcPr>
          <w:p>
            <w:pPr>
              <w:spacing w:after="0"/>
              <w:rPr>
                <w:sz w:val="20"/>
                <w:szCs w:val="20"/>
                <w:color w:val="auto"/>
              </w:rPr>
            </w:pPr>
          </w:p>
        </w:tc>
        <w:tc>
          <w:tcPr>
            <w:tcW w:w="15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5,915</w:t>
            </w:r>
          </w:p>
        </w:tc>
        <w:tc>
          <w:tcPr>
            <w:tcW w:w="120" w:type="dxa"/>
            <w:vAlign w:val="bottom"/>
            <w:tcBorders>
              <w:bottom w:val="single" w:sz="8" w:color="B6D2E2"/>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DEEAEB"/>
            </w:tcBorders>
            <w:shd w:val="clear" w:color="auto" w:fill="DEEAEB"/>
          </w:tcPr>
          <w:p>
            <w:pPr>
              <w:spacing w:after="0"/>
              <w:rPr>
                <w:sz w:val="20"/>
                <w:szCs w:val="20"/>
                <w:color w:val="auto"/>
              </w:rPr>
            </w:pPr>
          </w:p>
        </w:tc>
        <w:tc>
          <w:tcPr>
            <w:tcW w:w="16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4,563</w:t>
            </w:r>
          </w:p>
        </w:tc>
        <w:tc>
          <w:tcPr>
            <w:tcW w:w="120" w:type="dxa"/>
            <w:vAlign w:val="bottom"/>
            <w:tcBorders>
              <w:bottom w:val="single" w:sz="8" w:color="DEEAEB"/>
            </w:tcBorders>
            <w:shd w:val="clear" w:color="auto" w:fill="DEEAEB"/>
          </w:tcPr>
          <w:p>
            <w:pPr>
              <w:spacing w:after="0"/>
              <w:rPr>
                <w:sz w:val="20"/>
                <w:szCs w:val="20"/>
                <w:color w:val="auto"/>
              </w:rPr>
            </w:pPr>
          </w:p>
        </w:tc>
      </w:tr>
      <w:tr>
        <w:trPr>
          <w:trHeight w:val="187"/>
        </w:trPr>
        <w:tc>
          <w:tcPr>
            <w:tcW w:w="706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Shareholders’ Equity</w:t>
            </w:r>
          </w:p>
        </w:tc>
        <w:tc>
          <w:tcPr>
            <w:tcW w:w="300" w:type="dxa"/>
            <w:vAlign w:val="bottom"/>
            <w:tcBorders>
              <w:top w:val="single" w:sz="8" w:color="auto"/>
            </w:tcBorders>
            <w:shd w:val="clear" w:color="auto" w:fill="B6D2E2"/>
          </w:tcPr>
          <w:p>
            <w:pPr>
              <w:spacing w:after="0"/>
              <w:rPr>
                <w:sz w:val="16"/>
                <w:szCs w:val="16"/>
                <w:color w:val="auto"/>
              </w:rPr>
            </w:pPr>
          </w:p>
        </w:tc>
        <w:tc>
          <w:tcPr>
            <w:tcW w:w="15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9,453</w:t>
            </w:r>
          </w:p>
        </w:tc>
        <w:tc>
          <w:tcPr>
            <w:tcW w:w="12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shd w:val="clear" w:color="auto" w:fill="DEEAEB"/>
          </w:tcPr>
          <w:p>
            <w:pPr>
              <w:spacing w:after="0"/>
              <w:rPr>
                <w:sz w:val="16"/>
                <w:szCs w:val="16"/>
                <w:color w:val="auto"/>
              </w:rPr>
            </w:pPr>
          </w:p>
        </w:tc>
        <w:tc>
          <w:tcPr>
            <w:tcW w:w="16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8,034</w:t>
            </w:r>
          </w:p>
        </w:tc>
        <w:tc>
          <w:tcPr>
            <w:tcW w:w="120" w:type="dxa"/>
            <w:vAlign w:val="bottom"/>
            <w:tcBorders>
              <w:top w:val="single" w:sz="8" w:color="auto"/>
            </w:tcBorders>
            <w:shd w:val="clear" w:color="auto" w:fill="DEEAEB"/>
          </w:tcPr>
          <w:p>
            <w:pPr>
              <w:spacing w:after="0"/>
              <w:rPr>
                <w:sz w:val="16"/>
                <w:szCs w:val="16"/>
                <w:color w:val="auto"/>
              </w:rPr>
            </w:pPr>
          </w:p>
        </w:tc>
      </w:tr>
      <w:tr>
        <w:trPr>
          <w:trHeight w:val="205"/>
        </w:trPr>
        <w:tc>
          <w:tcPr>
            <w:tcW w:w="706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color w:val="auto"/>
              </w:rPr>
              <w:t>Noncontrolling interests</w:t>
            </w:r>
          </w:p>
        </w:tc>
        <w:tc>
          <w:tcPr>
            <w:tcW w:w="300" w:type="dxa"/>
            <w:vAlign w:val="bottom"/>
            <w:tcBorders>
              <w:bottom w:val="single" w:sz="8" w:color="auto"/>
            </w:tcBorders>
            <w:shd w:val="clear" w:color="auto" w:fill="B6D2E2"/>
          </w:tcPr>
          <w:p>
            <w:pPr>
              <w:spacing w:after="0"/>
              <w:rPr>
                <w:sz w:val="17"/>
                <w:szCs w:val="17"/>
                <w:color w:val="auto"/>
              </w:rPr>
            </w:pPr>
          </w:p>
        </w:tc>
        <w:tc>
          <w:tcPr>
            <w:tcW w:w="158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3</w:t>
            </w:r>
          </w:p>
        </w:tc>
        <w:tc>
          <w:tcPr>
            <w:tcW w:w="120" w:type="dxa"/>
            <w:vAlign w:val="bottom"/>
            <w:tcBorders>
              <w:bottom w:val="single" w:sz="8" w:color="auto"/>
            </w:tcBorders>
            <w:shd w:val="clear" w:color="auto" w:fill="B6D2E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shd w:val="clear" w:color="auto" w:fill="DEEAEB"/>
          </w:tcPr>
          <w:p>
            <w:pPr>
              <w:spacing w:after="0"/>
              <w:rPr>
                <w:sz w:val="17"/>
                <w:szCs w:val="17"/>
                <w:color w:val="auto"/>
              </w:rPr>
            </w:pPr>
          </w:p>
        </w:tc>
        <w:tc>
          <w:tcPr>
            <w:tcW w:w="160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2</w:t>
            </w:r>
          </w:p>
        </w:tc>
        <w:tc>
          <w:tcPr>
            <w:tcW w:w="120" w:type="dxa"/>
            <w:vAlign w:val="bottom"/>
            <w:tcBorders>
              <w:bottom w:val="single" w:sz="8" w:color="auto"/>
            </w:tcBorders>
            <w:shd w:val="clear" w:color="auto" w:fill="DEEAEB"/>
          </w:tcPr>
          <w:p>
            <w:pPr>
              <w:spacing w:after="0"/>
              <w:rPr>
                <w:sz w:val="17"/>
                <w:szCs w:val="17"/>
                <w:color w:val="auto"/>
              </w:rPr>
            </w:pPr>
          </w:p>
        </w:tc>
      </w:tr>
      <w:tr>
        <w:trPr>
          <w:trHeight w:val="198"/>
        </w:trPr>
        <w:tc>
          <w:tcPr>
            <w:tcW w:w="706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Total Equity</w:t>
            </w:r>
          </w:p>
        </w:tc>
        <w:tc>
          <w:tcPr>
            <w:tcW w:w="300" w:type="dxa"/>
            <w:vAlign w:val="bottom"/>
            <w:tcBorders>
              <w:bottom w:val="single" w:sz="8" w:color="auto"/>
            </w:tcBorders>
            <w:shd w:val="clear" w:color="auto" w:fill="B6D2E2"/>
          </w:tcPr>
          <w:p>
            <w:pPr>
              <w:spacing w:after="0"/>
              <w:rPr>
                <w:sz w:val="17"/>
                <w:szCs w:val="17"/>
                <w:color w:val="auto"/>
              </w:rPr>
            </w:pPr>
          </w:p>
        </w:tc>
        <w:tc>
          <w:tcPr>
            <w:tcW w:w="158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9,456</w:t>
            </w:r>
          </w:p>
        </w:tc>
        <w:tc>
          <w:tcPr>
            <w:tcW w:w="120" w:type="dxa"/>
            <w:vAlign w:val="bottom"/>
            <w:tcBorders>
              <w:bottom w:val="single" w:sz="8" w:color="auto"/>
            </w:tcBorders>
            <w:shd w:val="clear" w:color="auto" w:fill="B6D2E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shd w:val="clear" w:color="auto" w:fill="DEEAEB"/>
          </w:tcPr>
          <w:p>
            <w:pPr>
              <w:spacing w:after="0"/>
              <w:rPr>
                <w:sz w:val="17"/>
                <w:szCs w:val="17"/>
                <w:color w:val="auto"/>
              </w:rPr>
            </w:pPr>
          </w:p>
        </w:tc>
        <w:tc>
          <w:tcPr>
            <w:tcW w:w="160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8,036</w:t>
            </w:r>
          </w:p>
        </w:tc>
        <w:tc>
          <w:tcPr>
            <w:tcW w:w="120" w:type="dxa"/>
            <w:vAlign w:val="bottom"/>
            <w:tcBorders>
              <w:bottom w:val="single" w:sz="8" w:color="auto"/>
            </w:tcBorders>
            <w:shd w:val="clear" w:color="auto" w:fill="DEEAEB"/>
          </w:tcPr>
          <w:p>
            <w:pPr>
              <w:spacing w:after="0"/>
              <w:rPr>
                <w:sz w:val="17"/>
                <w:szCs w:val="17"/>
                <w:color w:val="auto"/>
              </w:rPr>
            </w:pPr>
          </w:p>
        </w:tc>
      </w:tr>
      <w:tr>
        <w:trPr>
          <w:trHeight w:val="236"/>
        </w:trPr>
        <w:tc>
          <w:tcPr>
            <w:tcW w:w="706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Total Liabilites and Equity</w:t>
            </w:r>
          </w:p>
        </w:tc>
        <w:tc>
          <w:tcPr>
            <w:tcW w:w="30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58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18,170</w:t>
            </w:r>
          </w:p>
        </w:tc>
        <w:tc>
          <w:tcPr>
            <w:tcW w:w="120" w:type="dxa"/>
            <w:vAlign w:val="bottom"/>
            <w:tcBorders>
              <w:bottom w:val="single" w:sz="8" w:color="auto"/>
            </w:tcBorders>
            <w:shd w:val="clear" w:color="auto" w:fill="B6D2E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60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15,125</w:t>
            </w:r>
          </w:p>
        </w:tc>
        <w:tc>
          <w:tcPr>
            <w:tcW w:w="120" w:type="dxa"/>
            <w:vAlign w:val="bottom"/>
            <w:tcBorders>
              <w:bottom w:val="single" w:sz="8" w:color="auto"/>
            </w:tcBorders>
            <w:shd w:val="clear" w:color="auto" w:fill="DEEAEB"/>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34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1" w:name="page72"/>
    <w:bookmarkEnd w:id="71"/>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386"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b w:val="1"/>
          <w:bCs w:val="1"/>
          <w:color w:val="007DC6"/>
        </w:rPr>
        <w:t>Consolidated Statements of Cash Flows</w:t>
      </w: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900" w:type="dxa"/>
            <w:vAlign w:val="bottom"/>
          </w:tcPr>
          <w:p>
            <w:pPr>
              <w:spacing w:after="0"/>
              <w:rPr>
                <w:sz w:val="20"/>
                <w:szCs w:val="20"/>
                <w:color w:val="auto"/>
              </w:rPr>
            </w:pPr>
            <w:r>
              <w:rPr>
                <w:rFonts w:ascii="Calibri" w:cs="Calibri" w:eastAsia="Calibri" w:hAnsi="Calibri"/>
                <w:sz w:val="16"/>
                <w:szCs w:val="16"/>
                <w:i w:val="1"/>
                <w:iCs w:val="1"/>
                <w:color w:val="auto"/>
              </w:rPr>
              <w:t>years ended December 31</w:t>
            </w:r>
          </w:p>
        </w:tc>
        <w:tc>
          <w:tcPr>
            <w:tcW w:w="280" w:type="dxa"/>
            <w:vAlign w:val="bottom"/>
            <w:shd w:val="clear" w:color="auto" w:fill="007DC6"/>
          </w:tcPr>
          <w:p>
            <w:pPr>
              <w:spacing w:after="0"/>
              <w:rPr>
                <w:sz w:val="16"/>
                <w:szCs w:val="16"/>
                <w:color w:val="auto"/>
              </w:rPr>
            </w:pPr>
          </w:p>
        </w:tc>
        <w:tc>
          <w:tcPr>
            <w:tcW w:w="1260" w:type="dxa"/>
            <w:vAlign w:val="bottom"/>
            <w:shd w:val="clear" w:color="auto" w:fill="007DC6"/>
          </w:tcPr>
          <w:p>
            <w:pPr>
              <w:spacing w:after="0"/>
              <w:rPr>
                <w:sz w:val="16"/>
                <w:szCs w:val="16"/>
                <w:color w:val="auto"/>
              </w:rPr>
            </w:pPr>
          </w:p>
        </w:tc>
        <w:tc>
          <w:tcPr>
            <w:tcW w:w="100" w:type="dxa"/>
            <w:vAlign w:val="bottom"/>
            <w:shd w:val="clear" w:color="auto" w:fill="007DC6"/>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r>
      <w:tr>
        <w:trPr>
          <w:trHeight w:val="221"/>
        </w:trPr>
        <w:tc>
          <w:tcPr>
            <w:tcW w:w="5900" w:type="dxa"/>
            <w:vAlign w:val="bottom"/>
          </w:tcPr>
          <w:p>
            <w:pPr>
              <w:spacing w:after="0" w:line="193" w:lineRule="exact"/>
              <w:rPr>
                <w:sz w:val="20"/>
                <w:szCs w:val="20"/>
                <w:color w:val="auto"/>
              </w:rPr>
            </w:pPr>
            <w:r>
              <w:rPr>
                <w:rFonts w:ascii="Calibri" w:cs="Calibri" w:eastAsia="Calibri" w:hAnsi="Calibri"/>
                <w:sz w:val="16"/>
                <w:szCs w:val="16"/>
                <w:color w:val="auto"/>
              </w:rPr>
              <w:t>(in millions)</w:t>
            </w:r>
          </w:p>
        </w:tc>
        <w:tc>
          <w:tcPr>
            <w:tcW w:w="280" w:type="dxa"/>
            <w:vAlign w:val="bottom"/>
            <w:tcBorders>
              <w:bottom w:val="single" w:sz="8" w:color="007DC6"/>
            </w:tcBorders>
            <w:shd w:val="clear" w:color="auto" w:fill="007DC6"/>
          </w:tcPr>
          <w:p>
            <w:pPr>
              <w:spacing w:after="0"/>
              <w:rPr>
                <w:sz w:val="19"/>
                <w:szCs w:val="19"/>
                <w:color w:val="auto"/>
              </w:rPr>
            </w:pPr>
          </w:p>
        </w:tc>
        <w:tc>
          <w:tcPr>
            <w:tcW w:w="1260" w:type="dxa"/>
            <w:vAlign w:val="bottom"/>
            <w:tcBorders>
              <w:bottom w:val="single" w:sz="8" w:color="007DC6"/>
            </w:tcBorders>
            <w:shd w:val="clear" w:color="auto" w:fill="007DC6"/>
          </w:tcPr>
          <w:p>
            <w:pPr>
              <w:jc w:val="right"/>
              <w:ind w:right="459"/>
              <w:spacing w:after="0" w:line="193" w:lineRule="exact"/>
              <w:rPr>
                <w:sz w:val="20"/>
                <w:szCs w:val="20"/>
                <w:color w:val="auto"/>
              </w:rPr>
            </w:pPr>
            <w:r>
              <w:rPr>
                <w:rFonts w:ascii="Calibri" w:cs="Calibri" w:eastAsia="Calibri" w:hAnsi="Calibri"/>
                <w:sz w:val="16"/>
                <w:szCs w:val="16"/>
                <w:b w:val="1"/>
                <w:bCs w:val="1"/>
                <w:color w:val="FFFFFF"/>
              </w:rPr>
              <w:t>2024</w:t>
            </w:r>
          </w:p>
        </w:tc>
        <w:tc>
          <w:tcPr>
            <w:tcW w:w="100" w:type="dxa"/>
            <w:vAlign w:val="bottom"/>
            <w:tcBorders>
              <w:bottom w:val="single" w:sz="8" w:color="007DC6"/>
            </w:tcBorders>
            <w:shd w:val="clear" w:color="auto" w:fill="007DC6"/>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DEEAEB"/>
            </w:tcBorders>
            <w:shd w:val="clear" w:color="auto" w:fill="DEEAEB"/>
          </w:tcPr>
          <w:p>
            <w:pPr>
              <w:spacing w:after="0"/>
              <w:rPr>
                <w:sz w:val="19"/>
                <w:szCs w:val="19"/>
                <w:color w:val="auto"/>
              </w:rPr>
            </w:pPr>
          </w:p>
        </w:tc>
        <w:tc>
          <w:tcPr>
            <w:tcW w:w="126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2023</w:t>
            </w:r>
          </w:p>
        </w:tc>
        <w:tc>
          <w:tcPr>
            <w:tcW w:w="100" w:type="dxa"/>
            <w:vAlign w:val="bottom"/>
            <w:tcBorders>
              <w:bottom w:val="single" w:sz="8" w:color="DEEAEB"/>
            </w:tcBorders>
            <w:shd w:val="clear" w:color="auto" w:fill="DEEAEB"/>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DEEAEB"/>
            </w:tcBorders>
            <w:shd w:val="clear" w:color="auto" w:fill="DEEAEB"/>
          </w:tcPr>
          <w:p>
            <w:pPr>
              <w:spacing w:after="0"/>
              <w:rPr>
                <w:sz w:val="19"/>
                <w:szCs w:val="19"/>
                <w:color w:val="auto"/>
              </w:rPr>
            </w:pPr>
          </w:p>
        </w:tc>
        <w:tc>
          <w:tcPr>
            <w:tcW w:w="126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2022</w:t>
            </w:r>
          </w:p>
        </w:tc>
        <w:tc>
          <w:tcPr>
            <w:tcW w:w="100" w:type="dxa"/>
            <w:vAlign w:val="bottom"/>
            <w:tcBorders>
              <w:bottom w:val="single" w:sz="8" w:color="DEEAEB"/>
            </w:tcBorders>
            <w:shd w:val="clear" w:color="auto" w:fill="DEEAEB"/>
          </w:tcPr>
          <w:p>
            <w:pPr>
              <w:spacing w:after="0"/>
              <w:rPr>
                <w:sz w:val="19"/>
                <w:szCs w:val="19"/>
                <w:color w:val="auto"/>
              </w:rPr>
            </w:pPr>
          </w:p>
        </w:tc>
      </w:tr>
      <w:tr>
        <w:trPr>
          <w:trHeight w:val="187"/>
        </w:trPr>
        <w:tc>
          <w:tcPr>
            <w:tcW w:w="5900" w:type="dxa"/>
            <w:vAlign w:val="bottom"/>
            <w:tcBorders>
              <w:top w:val="single" w:sz="8" w:color="auto"/>
            </w:tcBorders>
          </w:tcPr>
          <w:p>
            <w:pPr>
              <w:spacing w:after="0" w:line="187" w:lineRule="exact"/>
              <w:rPr>
                <w:sz w:val="20"/>
                <w:szCs w:val="20"/>
                <w:color w:val="auto"/>
              </w:rPr>
            </w:pPr>
            <w:r>
              <w:rPr>
                <w:rFonts w:ascii="Calibri" w:cs="Calibri" w:eastAsia="Calibri" w:hAnsi="Calibri"/>
                <w:sz w:val="16"/>
                <w:szCs w:val="16"/>
                <w:b w:val="1"/>
                <w:bCs w:val="1"/>
                <w:color w:val="auto"/>
              </w:rPr>
              <w:t>Cash Flows from Operatng Actvites:</w:t>
            </w:r>
          </w:p>
        </w:tc>
        <w:tc>
          <w:tcPr>
            <w:tcW w:w="280" w:type="dxa"/>
            <w:vAlign w:val="bottom"/>
            <w:tcBorders>
              <w:top w:val="single" w:sz="8" w:color="auto"/>
            </w:tcBorders>
            <w:shd w:val="clear" w:color="auto" w:fill="B6D2E2"/>
          </w:tcPr>
          <w:p>
            <w:pPr>
              <w:spacing w:after="0"/>
              <w:rPr>
                <w:sz w:val="16"/>
                <w:szCs w:val="16"/>
                <w:color w:val="auto"/>
              </w:rPr>
            </w:pPr>
          </w:p>
        </w:tc>
        <w:tc>
          <w:tcPr>
            <w:tcW w:w="1260" w:type="dxa"/>
            <w:vAlign w:val="bottom"/>
            <w:tcBorders>
              <w:top w:val="single" w:sz="8" w:color="auto"/>
            </w:tcBorders>
            <w:shd w:val="clear" w:color="auto" w:fill="B6D2E2"/>
          </w:tcPr>
          <w:p>
            <w:pPr>
              <w:spacing w:after="0"/>
              <w:rPr>
                <w:sz w:val="16"/>
                <w:szCs w:val="16"/>
                <w:color w:val="auto"/>
              </w:rPr>
            </w:pPr>
          </w:p>
        </w:tc>
        <w:tc>
          <w:tcPr>
            <w:tcW w:w="100" w:type="dxa"/>
            <w:vAlign w:val="bottom"/>
            <w:tcBorders>
              <w:top w:val="single" w:sz="8" w:color="auto"/>
            </w:tcBorders>
            <w:shd w:val="clear" w:color="auto" w:fill="B6D2E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193"/>
        </w:trPr>
        <w:tc>
          <w:tcPr>
            <w:tcW w:w="5900" w:type="dxa"/>
            <w:vAlign w:val="bottom"/>
          </w:tcPr>
          <w:p>
            <w:pPr>
              <w:spacing w:after="0" w:line="193" w:lineRule="exact"/>
              <w:rPr>
                <w:sz w:val="20"/>
                <w:szCs w:val="20"/>
                <w:color w:val="auto"/>
              </w:rPr>
            </w:pPr>
            <w:r>
              <w:rPr>
                <w:rFonts w:ascii="Calibri" w:cs="Calibri" w:eastAsia="Calibri" w:hAnsi="Calibri"/>
                <w:sz w:val="16"/>
                <w:szCs w:val="16"/>
                <w:color w:val="auto"/>
              </w:rPr>
              <w:t>Consolidated net earnings</w:t>
            </w:r>
          </w:p>
        </w:tc>
        <w:tc>
          <w:tcPr>
            <w:tcW w:w="28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26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1,996</w:t>
            </w: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26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1,170</w:t>
            </w: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26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867</w:t>
            </w:r>
          </w:p>
        </w:tc>
        <w:tc>
          <w:tcPr>
            <w:tcW w:w="100" w:type="dxa"/>
            <w:vAlign w:val="bottom"/>
            <w:shd w:val="clear" w:color="auto" w:fill="DEEAEB"/>
          </w:tcPr>
          <w:p>
            <w:pPr>
              <w:spacing w:after="0"/>
              <w:rPr>
                <w:sz w:val="16"/>
                <w:szCs w:val="16"/>
                <w:color w:val="auto"/>
              </w:rPr>
            </w:pPr>
          </w:p>
        </w:tc>
      </w:tr>
      <w:tr>
        <w:trPr>
          <w:trHeight w:val="193"/>
        </w:trPr>
        <w:tc>
          <w:tcPr>
            <w:tcW w:w="5900" w:type="dxa"/>
            <w:vAlign w:val="bottom"/>
          </w:tcPr>
          <w:p>
            <w:pPr>
              <w:spacing w:after="0" w:line="193" w:lineRule="exact"/>
              <w:rPr>
                <w:sz w:val="20"/>
                <w:szCs w:val="20"/>
                <w:color w:val="auto"/>
              </w:rPr>
            </w:pPr>
            <w:r>
              <w:rPr>
                <w:rFonts w:ascii="Calibri" w:cs="Calibri" w:eastAsia="Calibri" w:hAnsi="Calibri"/>
                <w:sz w:val="16"/>
                <w:szCs w:val="16"/>
                <w:color w:val="auto"/>
              </w:rPr>
              <w:t>Adjustments to reconcile consolidated net earnings to net cash</w:t>
            </w:r>
          </w:p>
        </w:tc>
        <w:tc>
          <w:tcPr>
            <w:tcW w:w="280" w:type="dxa"/>
            <w:vAlign w:val="bottom"/>
            <w:shd w:val="clear" w:color="auto" w:fill="B6D2E2"/>
          </w:tcPr>
          <w:p>
            <w:pPr>
              <w:spacing w:after="0"/>
              <w:rPr>
                <w:sz w:val="16"/>
                <w:szCs w:val="16"/>
                <w:color w:val="auto"/>
              </w:rPr>
            </w:pPr>
          </w:p>
        </w:tc>
        <w:tc>
          <w:tcPr>
            <w:tcW w:w="1260" w:type="dxa"/>
            <w:vAlign w:val="bottom"/>
            <w:shd w:val="clear" w:color="auto" w:fill="B6D2E2"/>
          </w:tcPr>
          <w:p>
            <w:pPr>
              <w:spacing w:after="0"/>
              <w:rPr>
                <w:sz w:val="16"/>
                <w:szCs w:val="16"/>
                <w:color w:val="auto"/>
              </w:rPr>
            </w:pP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r>
      <w:tr>
        <w:trPr>
          <w:trHeight w:val="202"/>
        </w:trPr>
        <w:tc>
          <w:tcPr>
            <w:tcW w:w="5900" w:type="dxa"/>
            <w:vAlign w:val="bottom"/>
          </w:tcPr>
          <w:p>
            <w:pPr>
              <w:ind w:left="120"/>
              <w:spacing w:after="0"/>
              <w:rPr>
                <w:sz w:val="20"/>
                <w:szCs w:val="20"/>
                <w:color w:val="auto"/>
              </w:rPr>
            </w:pPr>
            <w:r>
              <w:rPr>
                <w:rFonts w:ascii="Calibri" w:cs="Calibri" w:eastAsia="Calibri" w:hAnsi="Calibri"/>
                <w:sz w:val="16"/>
                <w:szCs w:val="16"/>
                <w:color w:val="auto"/>
              </w:rPr>
              <w:t>provided by operatng actvites:</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Depreciaton, depleton and amortzaton</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573</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513</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506</w:t>
            </w:r>
          </w:p>
        </w:tc>
        <w:tc>
          <w:tcPr>
            <w:tcW w:w="100" w:type="dxa"/>
            <w:vAlign w:val="bottom"/>
            <w:shd w:val="clear" w:color="auto" w:fill="DEEAEB"/>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Stock-based compensaton expense</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58</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50</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43</w:t>
            </w:r>
          </w:p>
        </w:tc>
        <w:tc>
          <w:tcPr>
            <w:tcW w:w="100" w:type="dxa"/>
            <w:vAlign w:val="bottom"/>
            <w:shd w:val="clear" w:color="auto" w:fill="DEEAEB"/>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Net gains on divesttures, sales of assets and extnguishment of debt</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(1,369</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(196</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Deferred income taxes, net</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(45</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(36</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Noncash porton of asset and portolio ratonalizaton charge</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50</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Other items, net</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(15</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(16</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(12</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Changes in operatng assets and liabilites, net of efects of acquisitons</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03"/>
        </w:trPr>
        <w:tc>
          <w:tcPr>
            <w:tcW w:w="5900" w:type="dxa"/>
            <w:vAlign w:val="bottom"/>
          </w:tcPr>
          <w:p>
            <w:pPr>
              <w:ind w:left="120"/>
              <w:spacing w:after="0"/>
              <w:rPr>
                <w:sz w:val="20"/>
                <w:szCs w:val="20"/>
                <w:color w:val="auto"/>
              </w:rPr>
            </w:pPr>
            <w:r>
              <w:rPr>
                <w:rFonts w:ascii="Calibri" w:cs="Calibri" w:eastAsia="Calibri" w:hAnsi="Calibri"/>
                <w:sz w:val="16"/>
                <w:szCs w:val="16"/>
                <w:color w:val="auto"/>
              </w:rPr>
              <w:t>and divesttures:</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03"/>
        </w:trPr>
        <w:tc>
          <w:tcPr>
            <w:tcW w:w="5900" w:type="dxa"/>
            <w:vAlign w:val="bottom"/>
          </w:tcPr>
          <w:p>
            <w:pPr>
              <w:ind w:left="280"/>
              <w:spacing w:after="0"/>
              <w:rPr>
                <w:sz w:val="20"/>
                <w:szCs w:val="20"/>
                <w:color w:val="auto"/>
              </w:rPr>
            </w:pPr>
            <w:r>
              <w:rPr>
                <w:rFonts w:ascii="Calibri" w:cs="Calibri" w:eastAsia="Calibri" w:hAnsi="Calibri"/>
                <w:sz w:val="16"/>
                <w:szCs w:val="16"/>
                <w:color w:val="auto"/>
              </w:rPr>
              <w:t>Accounts receivable, net</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81</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31</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(12</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03"/>
        </w:trPr>
        <w:tc>
          <w:tcPr>
            <w:tcW w:w="5900" w:type="dxa"/>
            <w:vAlign w:val="bottom"/>
          </w:tcPr>
          <w:p>
            <w:pPr>
              <w:ind w:left="280"/>
              <w:spacing w:after="0"/>
              <w:rPr>
                <w:sz w:val="20"/>
                <w:szCs w:val="20"/>
                <w:color w:val="auto"/>
              </w:rPr>
            </w:pPr>
            <w:r>
              <w:rPr>
                <w:rFonts w:ascii="Calibri" w:cs="Calibri" w:eastAsia="Calibri" w:hAnsi="Calibri"/>
                <w:sz w:val="16"/>
                <w:szCs w:val="16"/>
                <w:color w:val="auto"/>
              </w:rPr>
              <w:t>Inventories, net</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(52</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(189</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(132</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03"/>
        </w:trPr>
        <w:tc>
          <w:tcPr>
            <w:tcW w:w="5900" w:type="dxa"/>
            <w:vAlign w:val="bottom"/>
          </w:tcPr>
          <w:p>
            <w:pPr>
              <w:ind w:left="280"/>
              <w:spacing w:after="0"/>
              <w:rPr>
                <w:sz w:val="20"/>
                <w:szCs w:val="20"/>
                <w:color w:val="auto"/>
              </w:rPr>
            </w:pPr>
            <w:r>
              <w:rPr>
                <w:rFonts w:ascii="Calibri" w:cs="Calibri" w:eastAsia="Calibri" w:hAnsi="Calibri"/>
                <w:sz w:val="16"/>
                <w:szCs w:val="16"/>
                <w:color w:val="auto"/>
              </w:rPr>
              <w:t>Accounts payable</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17</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(17</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(31</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00" w:type="dxa"/>
            <w:vAlign w:val="bottom"/>
          </w:tcPr>
          <w:p>
            <w:pPr>
              <w:ind w:left="280"/>
              <w:spacing w:after="0"/>
              <w:rPr>
                <w:sz w:val="20"/>
                <w:szCs w:val="20"/>
                <w:color w:val="auto"/>
              </w:rPr>
            </w:pPr>
            <w:r>
              <w:rPr>
                <w:rFonts w:ascii="Calibri" w:cs="Calibri" w:eastAsia="Calibri" w:hAnsi="Calibri"/>
                <w:sz w:val="16"/>
                <w:szCs w:val="16"/>
                <w:color w:val="auto"/>
              </w:rPr>
              <w:t>Other assets and liabilites, net</w:t>
            </w:r>
          </w:p>
        </w:tc>
        <w:tc>
          <w:tcPr>
            <w:tcW w:w="280" w:type="dxa"/>
            <w:vAlign w:val="bottom"/>
            <w:tcBorders>
              <w:bottom w:val="single" w:sz="8" w:color="B6D2E2"/>
            </w:tcBorders>
            <w:shd w:val="clear" w:color="auto" w:fill="B6D2E2"/>
          </w:tcPr>
          <w:p>
            <w:pPr>
              <w:spacing w:after="0"/>
              <w:rPr>
                <w:sz w:val="20"/>
                <w:szCs w:val="20"/>
                <w:color w:val="auto"/>
              </w:rPr>
            </w:pPr>
          </w:p>
        </w:tc>
        <w:tc>
          <w:tcPr>
            <w:tcW w:w="12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165</w:t>
            </w:r>
          </w:p>
        </w:tc>
        <w:tc>
          <w:tcPr>
            <w:tcW w:w="100" w:type="dxa"/>
            <w:vAlign w:val="bottom"/>
            <w:tcBorders>
              <w:bottom w:val="single" w:sz="8" w:color="B6D2E2"/>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24</w:t>
            </w:r>
          </w:p>
        </w:tc>
        <w:tc>
          <w:tcPr>
            <w:tcW w:w="100" w:type="dxa"/>
            <w:vAlign w:val="bottom"/>
            <w:tcBorders>
              <w:bottom w:val="single" w:sz="8" w:color="DEEAEB"/>
            </w:tcBorders>
            <w:shd w:val="clear" w:color="auto" w:fill="DEEAEB"/>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(41</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192"/>
        </w:trPr>
        <w:tc>
          <w:tcPr>
            <w:tcW w:w="5900" w:type="dxa"/>
            <w:vAlign w:val="bottom"/>
            <w:tcBorders>
              <w:top w:val="single" w:sz="8" w:color="auto"/>
              <w:bottom w:val="single" w:sz="8" w:color="auto"/>
            </w:tcBorders>
          </w:tcPr>
          <w:p>
            <w:pPr>
              <w:spacing w:after="0" w:line="192" w:lineRule="exact"/>
              <w:rPr>
                <w:sz w:val="20"/>
                <w:szCs w:val="20"/>
                <w:color w:val="auto"/>
              </w:rPr>
            </w:pPr>
            <w:r>
              <w:rPr>
                <w:rFonts w:ascii="Calibri" w:cs="Calibri" w:eastAsia="Calibri" w:hAnsi="Calibri"/>
                <w:sz w:val="16"/>
                <w:szCs w:val="16"/>
                <w:b w:val="1"/>
                <w:bCs w:val="1"/>
                <w:color w:val="auto"/>
              </w:rPr>
              <w:t>Net Cash Provided by Operatng Actvites</w:t>
            </w:r>
          </w:p>
        </w:tc>
        <w:tc>
          <w:tcPr>
            <w:tcW w:w="280" w:type="dxa"/>
            <w:vAlign w:val="bottom"/>
            <w:tcBorders>
              <w:top w:val="single" w:sz="8" w:color="auto"/>
              <w:bottom w:val="single" w:sz="8" w:color="auto"/>
            </w:tcBorders>
            <w:shd w:val="clear" w:color="auto" w:fill="B6D2E2"/>
          </w:tcPr>
          <w:p>
            <w:pPr>
              <w:spacing w:after="0"/>
              <w:rPr>
                <w:sz w:val="16"/>
                <w:szCs w:val="16"/>
                <w:color w:val="auto"/>
              </w:rPr>
            </w:pPr>
          </w:p>
        </w:tc>
        <w:tc>
          <w:tcPr>
            <w:tcW w:w="1260" w:type="dxa"/>
            <w:vAlign w:val="bottom"/>
            <w:tcBorders>
              <w:top w:val="single" w:sz="8" w:color="auto"/>
              <w:bottom w:val="single" w:sz="8" w:color="auto"/>
            </w:tcBorders>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rPr>
              <w:t>1,459</w:t>
            </w:r>
          </w:p>
        </w:tc>
        <w:tc>
          <w:tcPr>
            <w:tcW w:w="100" w:type="dxa"/>
            <w:vAlign w:val="bottom"/>
            <w:tcBorders>
              <w:top w:val="single" w:sz="8" w:color="auto"/>
              <w:bottom w:val="single" w:sz="8" w:color="auto"/>
            </w:tcBorders>
            <w:shd w:val="clear" w:color="auto" w:fill="B6D2E2"/>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shd w:val="clear" w:color="auto" w:fill="DEEAEB"/>
          </w:tcPr>
          <w:p>
            <w:pPr>
              <w:spacing w:after="0"/>
              <w:rPr>
                <w:sz w:val="16"/>
                <w:szCs w:val="16"/>
                <w:color w:val="auto"/>
              </w:rPr>
            </w:pPr>
          </w:p>
        </w:tc>
        <w:tc>
          <w:tcPr>
            <w:tcW w:w="126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1,528</w:t>
            </w:r>
          </w:p>
        </w:tc>
        <w:tc>
          <w:tcPr>
            <w:tcW w:w="100" w:type="dxa"/>
            <w:vAlign w:val="bottom"/>
            <w:tcBorders>
              <w:top w:val="single" w:sz="8" w:color="auto"/>
              <w:bottom w:val="single" w:sz="8" w:color="auto"/>
            </w:tcBorders>
            <w:shd w:val="clear" w:color="auto" w:fill="DEEAEB"/>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shd w:val="clear" w:color="auto" w:fill="DEEAEB"/>
          </w:tcPr>
          <w:p>
            <w:pPr>
              <w:spacing w:after="0"/>
              <w:rPr>
                <w:sz w:val="16"/>
                <w:szCs w:val="16"/>
                <w:color w:val="auto"/>
              </w:rPr>
            </w:pPr>
          </w:p>
        </w:tc>
        <w:tc>
          <w:tcPr>
            <w:tcW w:w="126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991</w:t>
            </w:r>
          </w:p>
        </w:tc>
        <w:tc>
          <w:tcPr>
            <w:tcW w:w="100" w:type="dxa"/>
            <w:vAlign w:val="bottom"/>
            <w:tcBorders>
              <w:top w:val="single" w:sz="8" w:color="auto"/>
              <w:bottom w:val="single" w:sz="8" w:color="auto"/>
            </w:tcBorders>
            <w:shd w:val="clear" w:color="auto" w:fill="DEEAEB"/>
          </w:tcPr>
          <w:p>
            <w:pPr>
              <w:spacing w:after="0"/>
              <w:rPr>
                <w:sz w:val="16"/>
                <w:szCs w:val="16"/>
                <w:color w:val="auto"/>
              </w:rPr>
            </w:pPr>
          </w:p>
        </w:tc>
      </w:tr>
      <w:tr>
        <w:trPr>
          <w:trHeight w:val="191"/>
        </w:trPr>
        <w:tc>
          <w:tcPr>
            <w:tcW w:w="5900" w:type="dxa"/>
            <w:vAlign w:val="bottom"/>
          </w:tcPr>
          <w:p>
            <w:pPr>
              <w:spacing w:after="0" w:line="192" w:lineRule="exact"/>
              <w:rPr>
                <w:sz w:val="20"/>
                <w:szCs w:val="20"/>
                <w:color w:val="auto"/>
              </w:rPr>
            </w:pPr>
            <w:r>
              <w:rPr>
                <w:rFonts w:ascii="Calibri" w:cs="Calibri" w:eastAsia="Calibri" w:hAnsi="Calibri"/>
                <w:sz w:val="16"/>
                <w:szCs w:val="16"/>
                <w:b w:val="1"/>
                <w:bCs w:val="1"/>
                <w:color w:val="auto"/>
              </w:rPr>
              <w:t>Cash Flows from Investng Actvites:</w:t>
            </w:r>
          </w:p>
        </w:tc>
        <w:tc>
          <w:tcPr>
            <w:tcW w:w="280" w:type="dxa"/>
            <w:vAlign w:val="bottom"/>
            <w:shd w:val="clear" w:color="auto" w:fill="B6D2E2"/>
          </w:tcPr>
          <w:p>
            <w:pPr>
              <w:spacing w:after="0"/>
              <w:rPr>
                <w:sz w:val="16"/>
                <w:szCs w:val="16"/>
                <w:color w:val="auto"/>
              </w:rPr>
            </w:pPr>
          </w:p>
        </w:tc>
        <w:tc>
          <w:tcPr>
            <w:tcW w:w="1260" w:type="dxa"/>
            <w:vAlign w:val="bottom"/>
            <w:shd w:val="clear" w:color="auto" w:fill="B6D2E2"/>
          </w:tcPr>
          <w:p>
            <w:pPr>
              <w:spacing w:after="0"/>
              <w:rPr>
                <w:sz w:val="16"/>
                <w:szCs w:val="16"/>
                <w:color w:val="auto"/>
              </w:rPr>
            </w:pP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r>
      <w:tr>
        <w:trPr>
          <w:trHeight w:val="193"/>
        </w:trPr>
        <w:tc>
          <w:tcPr>
            <w:tcW w:w="5900" w:type="dxa"/>
            <w:vAlign w:val="bottom"/>
          </w:tcPr>
          <w:p>
            <w:pPr>
              <w:spacing w:after="0" w:line="193" w:lineRule="exact"/>
              <w:rPr>
                <w:sz w:val="20"/>
                <w:szCs w:val="20"/>
                <w:color w:val="auto"/>
              </w:rPr>
            </w:pPr>
            <w:r>
              <w:rPr>
                <w:rFonts w:ascii="Calibri" w:cs="Calibri" w:eastAsia="Calibri" w:hAnsi="Calibri"/>
                <w:sz w:val="16"/>
                <w:szCs w:val="16"/>
                <w:color w:val="auto"/>
              </w:rPr>
              <w:t>Additons to property, plant and equipment</w:t>
            </w:r>
          </w:p>
        </w:tc>
        <w:tc>
          <w:tcPr>
            <w:tcW w:w="280" w:type="dxa"/>
            <w:vAlign w:val="bottom"/>
            <w:shd w:val="clear" w:color="auto" w:fill="B6D2E2"/>
          </w:tcPr>
          <w:p>
            <w:pPr>
              <w:spacing w:after="0"/>
              <w:rPr>
                <w:sz w:val="16"/>
                <w:szCs w:val="16"/>
                <w:color w:val="auto"/>
              </w:rPr>
            </w:pPr>
          </w:p>
        </w:tc>
        <w:tc>
          <w:tcPr>
            <w:tcW w:w="1360" w:type="dxa"/>
            <w:vAlign w:val="bottom"/>
            <w:gridSpan w:val="2"/>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(855 )</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60" w:type="dxa"/>
            <w:vAlign w:val="bottom"/>
            <w:gridSpan w:val="2"/>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(650 )</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60" w:type="dxa"/>
            <w:vAlign w:val="bottom"/>
            <w:gridSpan w:val="2"/>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(482 )</w:t>
            </w:r>
          </w:p>
        </w:tc>
      </w:tr>
      <w:tr>
        <w:trPr>
          <w:trHeight w:val="193"/>
        </w:trPr>
        <w:tc>
          <w:tcPr>
            <w:tcW w:w="5900" w:type="dxa"/>
            <w:vAlign w:val="bottom"/>
          </w:tcPr>
          <w:p>
            <w:pPr>
              <w:spacing w:after="0" w:line="193" w:lineRule="exact"/>
              <w:rPr>
                <w:sz w:val="20"/>
                <w:szCs w:val="20"/>
                <w:color w:val="auto"/>
              </w:rPr>
            </w:pPr>
            <w:r>
              <w:rPr>
                <w:rFonts w:ascii="Calibri" w:cs="Calibri" w:eastAsia="Calibri" w:hAnsi="Calibri"/>
                <w:sz w:val="16"/>
                <w:szCs w:val="16"/>
                <w:color w:val="auto"/>
              </w:rPr>
              <w:t>Acquisitons, net of cash acquired</w:t>
            </w:r>
          </w:p>
        </w:tc>
        <w:tc>
          <w:tcPr>
            <w:tcW w:w="280" w:type="dxa"/>
            <w:vAlign w:val="bottom"/>
            <w:shd w:val="clear" w:color="auto" w:fill="B6D2E2"/>
          </w:tcPr>
          <w:p>
            <w:pPr>
              <w:spacing w:after="0"/>
              <w:rPr>
                <w:sz w:val="16"/>
                <w:szCs w:val="16"/>
                <w:color w:val="auto"/>
              </w:rPr>
            </w:pPr>
          </w:p>
        </w:tc>
        <w:tc>
          <w:tcPr>
            <w:tcW w:w="126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(3,642</w:t>
            </w:r>
          </w:p>
        </w:tc>
        <w:tc>
          <w:tcPr>
            <w:tcW w:w="10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11</w:t>
            </w:r>
          </w:p>
        </w:tc>
        <w:tc>
          <w:tcPr>
            <w:tcW w:w="100" w:type="dxa"/>
            <w:vAlign w:val="bottom"/>
            <w:shd w:val="clear" w:color="auto" w:fill="DEEAEB"/>
          </w:tcPr>
          <w:p>
            <w:pPr>
              <w:spacing w:after="0"/>
              <w:rPr>
                <w:sz w:val="16"/>
                <w:szCs w:val="16"/>
                <w:color w:val="auto"/>
              </w:rPr>
            </w:pPr>
          </w:p>
        </w:tc>
      </w:tr>
      <w:tr>
        <w:trPr>
          <w:trHeight w:val="202"/>
        </w:trPr>
        <w:tc>
          <w:tcPr>
            <w:tcW w:w="5900" w:type="dxa"/>
            <w:vAlign w:val="bottom"/>
          </w:tcPr>
          <w:p>
            <w:pPr>
              <w:spacing w:after="0"/>
              <w:rPr>
                <w:sz w:val="20"/>
                <w:szCs w:val="20"/>
                <w:color w:val="auto"/>
              </w:rPr>
            </w:pPr>
            <w:r>
              <w:rPr>
                <w:rFonts w:ascii="Calibri" w:cs="Calibri" w:eastAsia="Calibri" w:hAnsi="Calibri"/>
                <w:sz w:val="16"/>
                <w:szCs w:val="16"/>
                <w:color w:val="auto"/>
              </w:rPr>
              <w:t>Proceeds from divesttures and sales of assets</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2,160</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427</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687</w:t>
            </w:r>
          </w:p>
        </w:tc>
        <w:tc>
          <w:tcPr>
            <w:tcW w:w="100" w:type="dxa"/>
            <w:vAlign w:val="bottom"/>
            <w:shd w:val="clear" w:color="auto" w:fill="DEEAEB"/>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Proceeds from sale of restricted investments to discharge</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03"/>
        </w:trPr>
        <w:tc>
          <w:tcPr>
            <w:tcW w:w="5900" w:type="dxa"/>
            <w:vAlign w:val="bottom"/>
          </w:tcPr>
          <w:p>
            <w:pPr>
              <w:ind w:left="120"/>
              <w:spacing w:after="0"/>
              <w:rPr>
                <w:sz w:val="20"/>
                <w:szCs w:val="20"/>
                <w:color w:val="auto"/>
              </w:rPr>
            </w:pPr>
            <w:r>
              <w:rPr>
                <w:rFonts w:ascii="Calibri" w:cs="Calibri" w:eastAsia="Calibri" w:hAnsi="Calibri"/>
                <w:sz w:val="16"/>
                <w:szCs w:val="16"/>
                <w:color w:val="auto"/>
              </w:rPr>
              <w:t>long-term debt</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700</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r>
      <w:tr>
        <w:trPr>
          <w:trHeight w:val="202"/>
        </w:trPr>
        <w:tc>
          <w:tcPr>
            <w:tcW w:w="5900" w:type="dxa"/>
            <w:vAlign w:val="bottom"/>
          </w:tcPr>
          <w:p>
            <w:pPr>
              <w:spacing w:after="0"/>
              <w:rPr>
                <w:sz w:val="20"/>
                <w:szCs w:val="20"/>
                <w:color w:val="auto"/>
              </w:rPr>
            </w:pPr>
            <w:r>
              <w:rPr>
                <w:rFonts w:ascii="Calibri" w:cs="Calibri" w:eastAsia="Calibri" w:hAnsi="Calibri"/>
                <w:sz w:val="16"/>
                <w:szCs w:val="16"/>
                <w:color w:val="auto"/>
              </w:rPr>
              <w:t>Purchase of restricted investments to discharge long-term debt</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00" w:type="dxa"/>
            <w:vAlign w:val="bottom"/>
            <w:shd w:val="clear" w:color="auto" w:fill="B6D2E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(704</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Investments in limited liability company</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(117</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(27</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r>
      <w:tr>
        <w:trPr>
          <w:trHeight w:val="230"/>
        </w:trPr>
        <w:tc>
          <w:tcPr>
            <w:tcW w:w="5900" w:type="dxa"/>
            <w:vAlign w:val="bottom"/>
          </w:tcPr>
          <w:p>
            <w:pPr>
              <w:spacing w:after="0"/>
              <w:rPr>
                <w:sz w:val="20"/>
                <w:szCs w:val="20"/>
                <w:color w:val="auto"/>
              </w:rPr>
            </w:pPr>
            <w:r>
              <w:rPr>
                <w:rFonts w:ascii="Calibri" w:cs="Calibri" w:eastAsia="Calibri" w:hAnsi="Calibri"/>
                <w:sz w:val="16"/>
                <w:szCs w:val="16"/>
                <w:color w:val="auto"/>
              </w:rPr>
              <w:t>Other investng actvites, net</w:t>
            </w:r>
          </w:p>
        </w:tc>
        <w:tc>
          <w:tcPr>
            <w:tcW w:w="280" w:type="dxa"/>
            <w:vAlign w:val="bottom"/>
            <w:tcBorders>
              <w:bottom w:val="single" w:sz="8" w:color="B6D2E2"/>
            </w:tcBorders>
            <w:shd w:val="clear" w:color="auto" w:fill="B6D2E2"/>
          </w:tcPr>
          <w:p>
            <w:pPr>
              <w:spacing w:after="0"/>
              <w:rPr>
                <w:sz w:val="20"/>
                <w:szCs w:val="20"/>
                <w:color w:val="auto"/>
              </w:rPr>
            </w:pPr>
          </w:p>
        </w:tc>
        <w:tc>
          <w:tcPr>
            <w:tcW w:w="12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10</w:t>
            </w:r>
          </w:p>
        </w:tc>
        <w:tc>
          <w:tcPr>
            <w:tcW w:w="100" w:type="dxa"/>
            <w:vAlign w:val="bottom"/>
            <w:tcBorders>
              <w:bottom w:val="single" w:sz="8" w:color="B6D2E2"/>
            </w:tcBorders>
            <w:shd w:val="clear" w:color="auto" w:fill="B6D2E2"/>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9</w:t>
            </w:r>
          </w:p>
        </w:tc>
        <w:tc>
          <w:tcPr>
            <w:tcW w:w="100" w:type="dxa"/>
            <w:vAlign w:val="bottom"/>
            <w:tcBorders>
              <w:bottom w:val="single" w:sz="8" w:color="DEEAEB"/>
            </w:tcBorders>
            <w:shd w:val="clear" w:color="auto" w:fill="DEEAEB"/>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4</w:t>
            </w:r>
          </w:p>
        </w:tc>
        <w:tc>
          <w:tcPr>
            <w:tcW w:w="100" w:type="dxa"/>
            <w:vAlign w:val="bottom"/>
            <w:tcBorders>
              <w:bottom w:val="single" w:sz="8" w:color="DEEAEB"/>
            </w:tcBorders>
            <w:shd w:val="clear" w:color="auto" w:fill="DEEAEB"/>
          </w:tcPr>
          <w:p>
            <w:pPr>
              <w:spacing w:after="0"/>
              <w:rPr>
                <w:sz w:val="20"/>
                <w:szCs w:val="20"/>
                <w:color w:val="auto"/>
              </w:rPr>
            </w:pPr>
          </w:p>
        </w:tc>
      </w:tr>
      <w:tr>
        <w:trPr>
          <w:trHeight w:val="192"/>
        </w:trPr>
        <w:tc>
          <w:tcPr>
            <w:tcW w:w="5900" w:type="dxa"/>
            <w:vAlign w:val="bottom"/>
            <w:tcBorders>
              <w:top w:val="single" w:sz="8" w:color="auto"/>
              <w:bottom w:val="single" w:sz="8" w:color="auto"/>
            </w:tcBorders>
          </w:tcPr>
          <w:p>
            <w:pPr>
              <w:spacing w:after="0" w:line="192" w:lineRule="exact"/>
              <w:rPr>
                <w:sz w:val="20"/>
                <w:szCs w:val="20"/>
                <w:color w:val="auto"/>
              </w:rPr>
            </w:pPr>
            <w:r>
              <w:rPr>
                <w:rFonts w:ascii="Calibri" w:cs="Calibri" w:eastAsia="Calibri" w:hAnsi="Calibri"/>
                <w:sz w:val="16"/>
                <w:szCs w:val="16"/>
                <w:b w:val="1"/>
                <w:bCs w:val="1"/>
                <w:color w:val="auto"/>
              </w:rPr>
              <w:t>Net Cash (Used for) Provided by Investng Actvites</w:t>
            </w:r>
          </w:p>
        </w:tc>
        <w:tc>
          <w:tcPr>
            <w:tcW w:w="280" w:type="dxa"/>
            <w:vAlign w:val="bottom"/>
            <w:tcBorders>
              <w:top w:val="single" w:sz="8" w:color="auto"/>
              <w:bottom w:val="single" w:sz="8" w:color="auto"/>
            </w:tcBorders>
            <w:shd w:val="clear" w:color="auto" w:fill="B6D2E2"/>
          </w:tcPr>
          <w:p>
            <w:pPr>
              <w:spacing w:after="0"/>
              <w:rPr>
                <w:sz w:val="16"/>
                <w:szCs w:val="16"/>
                <w:color w:val="auto"/>
              </w:rPr>
            </w:pPr>
          </w:p>
        </w:tc>
        <w:tc>
          <w:tcPr>
            <w:tcW w:w="1260" w:type="dxa"/>
            <w:vAlign w:val="bottom"/>
            <w:tcBorders>
              <w:top w:val="single" w:sz="8" w:color="auto"/>
              <w:bottom w:val="single" w:sz="8" w:color="auto"/>
            </w:tcBorders>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rPr>
              <w:t>(2,444</w:t>
            </w:r>
          </w:p>
        </w:tc>
        <w:tc>
          <w:tcPr>
            <w:tcW w:w="100" w:type="dxa"/>
            <w:vAlign w:val="bottom"/>
            <w:tcBorders>
              <w:top w:val="single" w:sz="8" w:color="auto"/>
              <w:bottom w:val="single" w:sz="8" w:color="auto"/>
            </w:tcBorders>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w w:val="79"/>
              </w:rPr>
              <w:t>)</w:t>
            </w: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shd w:val="clear" w:color="auto" w:fill="DEEAEB"/>
          </w:tcPr>
          <w:p>
            <w:pPr>
              <w:spacing w:after="0"/>
              <w:rPr>
                <w:sz w:val="16"/>
                <w:szCs w:val="16"/>
                <w:color w:val="auto"/>
              </w:rPr>
            </w:pPr>
          </w:p>
        </w:tc>
        <w:tc>
          <w:tcPr>
            <w:tcW w:w="126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459</w:t>
            </w:r>
          </w:p>
        </w:tc>
        <w:tc>
          <w:tcPr>
            <w:tcW w:w="100" w:type="dxa"/>
            <w:vAlign w:val="bottom"/>
            <w:tcBorders>
              <w:top w:val="single" w:sz="8" w:color="auto"/>
              <w:bottom w:val="single" w:sz="8" w:color="auto"/>
            </w:tcBorders>
            <w:shd w:val="clear" w:color="auto" w:fill="DEEAEB"/>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shd w:val="clear" w:color="auto" w:fill="DEEAEB"/>
          </w:tcPr>
          <w:p>
            <w:pPr>
              <w:spacing w:after="0"/>
              <w:rPr>
                <w:sz w:val="16"/>
                <w:szCs w:val="16"/>
                <w:color w:val="auto"/>
              </w:rPr>
            </w:pPr>
          </w:p>
        </w:tc>
        <w:tc>
          <w:tcPr>
            <w:tcW w:w="126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(484</w:t>
            </w:r>
          </w:p>
        </w:tc>
        <w:tc>
          <w:tcPr>
            <w:tcW w:w="10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w w:val="81"/>
              </w:rPr>
              <w:t>)</w:t>
            </w:r>
          </w:p>
        </w:tc>
      </w:tr>
      <w:tr>
        <w:trPr>
          <w:trHeight w:val="191"/>
        </w:trPr>
        <w:tc>
          <w:tcPr>
            <w:tcW w:w="5900" w:type="dxa"/>
            <w:vAlign w:val="bottom"/>
          </w:tcPr>
          <w:p>
            <w:pPr>
              <w:spacing w:after="0" w:line="192" w:lineRule="exact"/>
              <w:rPr>
                <w:sz w:val="20"/>
                <w:szCs w:val="20"/>
                <w:color w:val="auto"/>
              </w:rPr>
            </w:pPr>
            <w:r>
              <w:rPr>
                <w:rFonts w:ascii="Calibri" w:cs="Calibri" w:eastAsia="Calibri" w:hAnsi="Calibri"/>
                <w:sz w:val="16"/>
                <w:szCs w:val="16"/>
                <w:b w:val="1"/>
                <w:bCs w:val="1"/>
                <w:color w:val="auto"/>
              </w:rPr>
              <w:t>Cash Flows from Financing Actvites:</w:t>
            </w:r>
          </w:p>
        </w:tc>
        <w:tc>
          <w:tcPr>
            <w:tcW w:w="280" w:type="dxa"/>
            <w:vAlign w:val="bottom"/>
            <w:shd w:val="clear" w:color="auto" w:fill="B6D2E2"/>
          </w:tcPr>
          <w:p>
            <w:pPr>
              <w:spacing w:after="0"/>
              <w:rPr>
                <w:sz w:val="16"/>
                <w:szCs w:val="16"/>
                <w:color w:val="auto"/>
              </w:rPr>
            </w:pPr>
          </w:p>
        </w:tc>
        <w:tc>
          <w:tcPr>
            <w:tcW w:w="1260" w:type="dxa"/>
            <w:vAlign w:val="bottom"/>
            <w:shd w:val="clear" w:color="auto" w:fill="B6D2E2"/>
          </w:tcPr>
          <w:p>
            <w:pPr>
              <w:spacing w:after="0"/>
              <w:rPr>
                <w:sz w:val="16"/>
                <w:szCs w:val="16"/>
                <w:color w:val="auto"/>
              </w:rPr>
            </w:pP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spacing w:after="0"/>
              <w:rPr>
                <w:sz w:val="16"/>
                <w:szCs w:val="16"/>
                <w:color w:val="auto"/>
              </w:rPr>
            </w:pPr>
          </w:p>
        </w:tc>
        <w:tc>
          <w:tcPr>
            <w:tcW w:w="100" w:type="dxa"/>
            <w:vAlign w:val="bottom"/>
            <w:shd w:val="clear" w:color="auto" w:fill="DEEAEB"/>
          </w:tcPr>
          <w:p>
            <w:pPr>
              <w:spacing w:after="0"/>
              <w:rPr>
                <w:sz w:val="16"/>
                <w:szCs w:val="16"/>
                <w:color w:val="auto"/>
              </w:rPr>
            </w:pPr>
          </w:p>
        </w:tc>
      </w:tr>
      <w:tr>
        <w:trPr>
          <w:trHeight w:val="193"/>
        </w:trPr>
        <w:tc>
          <w:tcPr>
            <w:tcW w:w="5900" w:type="dxa"/>
            <w:vAlign w:val="bottom"/>
          </w:tcPr>
          <w:p>
            <w:pPr>
              <w:spacing w:after="0" w:line="193" w:lineRule="exact"/>
              <w:rPr>
                <w:sz w:val="20"/>
                <w:szCs w:val="20"/>
                <w:color w:val="auto"/>
              </w:rPr>
            </w:pPr>
            <w:r>
              <w:rPr>
                <w:rFonts w:ascii="Calibri" w:cs="Calibri" w:eastAsia="Calibri" w:hAnsi="Calibri"/>
                <w:sz w:val="16"/>
                <w:szCs w:val="16"/>
                <w:color w:val="auto"/>
              </w:rPr>
              <w:t>Borrowings of long-term debt</w:t>
            </w:r>
          </w:p>
        </w:tc>
        <w:tc>
          <w:tcPr>
            <w:tcW w:w="280" w:type="dxa"/>
            <w:vAlign w:val="bottom"/>
            <w:shd w:val="clear" w:color="auto" w:fill="B6D2E2"/>
          </w:tcPr>
          <w:p>
            <w:pPr>
              <w:spacing w:after="0"/>
              <w:rPr>
                <w:sz w:val="16"/>
                <w:szCs w:val="16"/>
                <w:color w:val="auto"/>
              </w:rPr>
            </w:pPr>
          </w:p>
        </w:tc>
        <w:tc>
          <w:tcPr>
            <w:tcW w:w="126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2,758</w:t>
            </w:r>
          </w:p>
        </w:tc>
        <w:tc>
          <w:tcPr>
            <w:tcW w:w="100" w:type="dxa"/>
            <w:vAlign w:val="bottom"/>
            <w:shd w:val="clear" w:color="auto" w:fill="B6D2E2"/>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60" w:type="dxa"/>
            <w:vAlign w:val="bottom"/>
            <w:gridSpan w:val="2"/>
            <w:shd w:val="clear" w:color="auto" w:fill="DEEAEB"/>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360" w:type="dxa"/>
            <w:vAlign w:val="bottom"/>
            <w:gridSpan w:val="2"/>
            <w:shd w:val="clear" w:color="auto" w:fill="DEEAEB"/>
          </w:tcPr>
          <w:p>
            <w:pPr>
              <w:jc w:val="right"/>
              <w:ind w:right="59"/>
              <w:spacing w:after="0" w:line="193" w:lineRule="exact"/>
              <w:rPr>
                <w:sz w:val="20"/>
                <w:szCs w:val="20"/>
                <w:color w:val="auto"/>
              </w:rPr>
            </w:pPr>
            <w:r>
              <w:rPr>
                <w:rFonts w:ascii="Calibri" w:cs="Calibri" w:eastAsia="Calibri" w:hAnsi="Calibri"/>
                <w:sz w:val="16"/>
                <w:szCs w:val="16"/>
                <w:color w:val="auto"/>
              </w:rPr>
              <w:t>—</w:t>
            </w:r>
          </w:p>
        </w:tc>
      </w:tr>
      <w:tr>
        <w:trPr>
          <w:trHeight w:val="194"/>
        </w:trPr>
        <w:tc>
          <w:tcPr>
            <w:tcW w:w="5900" w:type="dxa"/>
            <w:vAlign w:val="bottom"/>
          </w:tcPr>
          <w:p>
            <w:pPr>
              <w:spacing w:after="0" w:line="193" w:lineRule="exact"/>
              <w:rPr>
                <w:sz w:val="20"/>
                <w:szCs w:val="20"/>
                <w:color w:val="auto"/>
              </w:rPr>
            </w:pPr>
            <w:r>
              <w:rPr>
                <w:rFonts w:ascii="Calibri" w:cs="Calibri" w:eastAsia="Calibri" w:hAnsi="Calibri"/>
                <w:sz w:val="16"/>
                <w:szCs w:val="16"/>
                <w:color w:val="auto"/>
              </w:rPr>
              <w:t>Repayments of long-term debt</w:t>
            </w:r>
          </w:p>
        </w:tc>
        <w:tc>
          <w:tcPr>
            <w:tcW w:w="280" w:type="dxa"/>
            <w:vAlign w:val="bottom"/>
            <w:shd w:val="clear" w:color="auto" w:fill="B6D2E2"/>
          </w:tcPr>
          <w:p>
            <w:pPr>
              <w:spacing w:after="0"/>
              <w:rPr>
                <w:sz w:val="16"/>
                <w:szCs w:val="16"/>
                <w:color w:val="auto"/>
              </w:rPr>
            </w:pPr>
          </w:p>
        </w:tc>
        <w:tc>
          <w:tcPr>
            <w:tcW w:w="126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(1,690</w:t>
            </w:r>
          </w:p>
        </w:tc>
        <w:tc>
          <w:tcPr>
            <w:tcW w:w="100" w:type="dxa"/>
            <w:vAlign w:val="bottom"/>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(700</w:t>
            </w:r>
          </w:p>
        </w:tc>
        <w:tc>
          <w:tcPr>
            <w:tcW w:w="1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(54</w:t>
            </w:r>
          </w:p>
        </w:tc>
        <w:tc>
          <w:tcPr>
            <w:tcW w:w="100" w:type="dxa"/>
            <w:vAlign w:val="bottom"/>
            <w:shd w:val="clear" w:color="auto" w:fill="DEEAEB"/>
          </w:tcPr>
          <w:p>
            <w:pPr>
              <w:jc w:val="right"/>
              <w:spacing w:after="0" w:line="193" w:lineRule="exact"/>
              <w:rPr>
                <w:sz w:val="20"/>
                <w:szCs w:val="20"/>
                <w:color w:val="auto"/>
              </w:rPr>
            </w:pPr>
            <w:r>
              <w:rPr>
                <w:rFonts w:ascii="Calibri" w:cs="Calibri" w:eastAsia="Calibri" w:hAnsi="Calibri"/>
                <w:sz w:val="16"/>
                <w:szCs w:val="16"/>
                <w:color w:val="auto"/>
                <w:w w:val="81"/>
              </w:rPr>
              <w:t>)</w:t>
            </w:r>
          </w:p>
        </w:tc>
      </w:tr>
      <w:tr>
        <w:trPr>
          <w:trHeight w:val="202"/>
        </w:trPr>
        <w:tc>
          <w:tcPr>
            <w:tcW w:w="5900" w:type="dxa"/>
            <w:vAlign w:val="bottom"/>
          </w:tcPr>
          <w:p>
            <w:pPr>
              <w:spacing w:after="0"/>
              <w:rPr>
                <w:sz w:val="20"/>
                <w:szCs w:val="20"/>
                <w:color w:val="auto"/>
              </w:rPr>
            </w:pPr>
            <w:r>
              <w:rPr>
                <w:rFonts w:ascii="Calibri" w:cs="Calibri" w:eastAsia="Calibri" w:hAnsi="Calibri"/>
                <w:sz w:val="16"/>
                <w:szCs w:val="16"/>
                <w:color w:val="auto"/>
              </w:rPr>
              <w:t>Payments on fnance lease obligatons</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(20</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(17</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(15</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Dividends paid</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(189</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(174</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(160</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Repurchases of common stock</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(450</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(150</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(150</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03"/>
        </w:trPr>
        <w:tc>
          <w:tcPr>
            <w:tcW w:w="5900" w:type="dxa"/>
            <w:vAlign w:val="bottom"/>
          </w:tcPr>
          <w:p>
            <w:pPr>
              <w:spacing w:after="0"/>
              <w:rPr>
                <w:sz w:val="20"/>
                <w:szCs w:val="20"/>
                <w:color w:val="auto"/>
              </w:rPr>
            </w:pPr>
            <w:r>
              <w:rPr>
                <w:rFonts w:ascii="Calibri" w:cs="Calibri" w:eastAsia="Calibri" w:hAnsi="Calibri"/>
                <w:sz w:val="16"/>
                <w:szCs w:val="16"/>
                <w:color w:val="auto"/>
              </w:rPr>
              <w:t>Shares withheld for employees’ income tax obligatons</w:t>
            </w:r>
          </w:p>
        </w:tc>
        <w:tc>
          <w:tcPr>
            <w:tcW w:w="280" w:type="dxa"/>
            <w:vAlign w:val="bottom"/>
            <w:shd w:val="clear" w:color="auto" w:fill="B6D2E2"/>
          </w:tcPr>
          <w:p>
            <w:pPr>
              <w:spacing w:after="0"/>
              <w:rPr>
                <w:sz w:val="17"/>
                <w:szCs w:val="17"/>
                <w:color w:val="auto"/>
              </w:rPr>
            </w:pPr>
          </w:p>
        </w:tc>
        <w:tc>
          <w:tcPr>
            <w:tcW w:w="12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(32</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(22</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(29</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00" w:type="dxa"/>
            <w:vAlign w:val="bottom"/>
          </w:tcPr>
          <w:p>
            <w:pPr>
              <w:spacing w:after="0"/>
              <w:rPr>
                <w:sz w:val="20"/>
                <w:szCs w:val="20"/>
                <w:color w:val="auto"/>
              </w:rPr>
            </w:pPr>
            <w:r>
              <w:rPr>
                <w:rFonts w:ascii="Calibri" w:cs="Calibri" w:eastAsia="Calibri" w:hAnsi="Calibri"/>
                <w:sz w:val="16"/>
                <w:szCs w:val="16"/>
                <w:color w:val="auto"/>
              </w:rPr>
              <w:t>Other fnancing actvites, net</w:t>
            </w:r>
          </w:p>
        </w:tc>
        <w:tc>
          <w:tcPr>
            <w:tcW w:w="280" w:type="dxa"/>
            <w:vAlign w:val="bottom"/>
            <w:tcBorders>
              <w:bottom w:val="single" w:sz="8" w:color="B6D2E2"/>
            </w:tcBorders>
            <w:shd w:val="clear" w:color="auto" w:fill="B6D2E2"/>
          </w:tcPr>
          <w:p>
            <w:pPr>
              <w:spacing w:after="0"/>
              <w:rPr>
                <w:sz w:val="20"/>
                <w:szCs w:val="20"/>
                <w:color w:val="auto"/>
              </w:rPr>
            </w:pPr>
          </w:p>
        </w:tc>
        <w:tc>
          <w:tcPr>
            <w:tcW w:w="12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(4</w:t>
            </w:r>
          </w:p>
        </w:tc>
        <w:tc>
          <w:tcPr>
            <w:tcW w:w="1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16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w:t>
            </w:r>
          </w:p>
        </w:tc>
        <w:tc>
          <w:tcPr>
            <w:tcW w:w="100" w:type="dxa"/>
            <w:vAlign w:val="bottom"/>
            <w:tcBorders>
              <w:bottom w:val="single" w:sz="8" w:color="DEEAEB"/>
            </w:tcBorders>
            <w:shd w:val="clear" w:color="auto" w:fill="DEEAEB"/>
          </w:tcPr>
          <w:p>
            <w:pPr>
              <w:spacing w:after="0"/>
              <w:rPr>
                <w:sz w:val="20"/>
                <w:szCs w:val="20"/>
                <w:color w:val="auto"/>
              </w:rPr>
            </w:pPr>
          </w:p>
        </w:tc>
      </w:tr>
      <w:tr>
        <w:trPr>
          <w:trHeight w:val="191"/>
        </w:trPr>
        <w:tc>
          <w:tcPr>
            <w:tcW w:w="5900" w:type="dxa"/>
            <w:vAlign w:val="bottom"/>
            <w:tcBorders>
              <w:top w:val="single" w:sz="8" w:color="auto"/>
              <w:bottom w:val="single" w:sz="8" w:color="auto"/>
            </w:tcBorders>
          </w:tcPr>
          <w:p>
            <w:pPr>
              <w:spacing w:after="0" w:line="192" w:lineRule="exact"/>
              <w:rPr>
                <w:sz w:val="20"/>
                <w:szCs w:val="20"/>
                <w:color w:val="auto"/>
              </w:rPr>
            </w:pPr>
            <w:r>
              <w:rPr>
                <w:rFonts w:ascii="Calibri" w:cs="Calibri" w:eastAsia="Calibri" w:hAnsi="Calibri"/>
                <w:sz w:val="16"/>
                <w:szCs w:val="16"/>
                <w:b w:val="1"/>
                <w:bCs w:val="1"/>
                <w:color w:val="auto"/>
              </w:rPr>
              <w:t>Net Cash Provided by (Used for) Financing Actvites</w:t>
            </w:r>
          </w:p>
        </w:tc>
        <w:tc>
          <w:tcPr>
            <w:tcW w:w="280" w:type="dxa"/>
            <w:vAlign w:val="bottom"/>
            <w:tcBorders>
              <w:top w:val="single" w:sz="8" w:color="auto"/>
              <w:bottom w:val="single" w:sz="8" w:color="auto"/>
            </w:tcBorders>
            <w:shd w:val="clear" w:color="auto" w:fill="B6D2E2"/>
          </w:tcPr>
          <w:p>
            <w:pPr>
              <w:spacing w:after="0"/>
              <w:rPr>
                <w:sz w:val="16"/>
                <w:szCs w:val="16"/>
                <w:color w:val="auto"/>
              </w:rPr>
            </w:pPr>
          </w:p>
        </w:tc>
        <w:tc>
          <w:tcPr>
            <w:tcW w:w="1260" w:type="dxa"/>
            <w:vAlign w:val="bottom"/>
            <w:tcBorders>
              <w:top w:val="single" w:sz="8" w:color="auto"/>
              <w:bottom w:val="single" w:sz="8" w:color="auto"/>
            </w:tcBorders>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rPr>
              <w:t>373</w:t>
            </w:r>
          </w:p>
        </w:tc>
        <w:tc>
          <w:tcPr>
            <w:tcW w:w="100" w:type="dxa"/>
            <w:vAlign w:val="bottom"/>
            <w:tcBorders>
              <w:top w:val="single" w:sz="8" w:color="auto"/>
              <w:bottom w:val="single" w:sz="8" w:color="auto"/>
            </w:tcBorders>
            <w:shd w:val="clear" w:color="auto" w:fill="B6D2E2"/>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shd w:val="clear" w:color="auto" w:fill="DEEAEB"/>
          </w:tcPr>
          <w:p>
            <w:pPr>
              <w:spacing w:after="0"/>
              <w:rPr>
                <w:sz w:val="16"/>
                <w:szCs w:val="16"/>
                <w:color w:val="auto"/>
              </w:rPr>
            </w:pPr>
          </w:p>
        </w:tc>
        <w:tc>
          <w:tcPr>
            <w:tcW w:w="126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(1,064</w:t>
            </w:r>
          </w:p>
        </w:tc>
        <w:tc>
          <w:tcPr>
            <w:tcW w:w="10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w w:val="81"/>
              </w:rPr>
              <w:t>)</w:t>
            </w: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shd w:val="clear" w:color="auto" w:fill="DEEAEB"/>
          </w:tcPr>
          <w:p>
            <w:pPr>
              <w:spacing w:after="0"/>
              <w:rPr>
                <w:sz w:val="16"/>
                <w:szCs w:val="16"/>
                <w:color w:val="auto"/>
              </w:rPr>
            </w:pPr>
          </w:p>
        </w:tc>
        <w:tc>
          <w:tcPr>
            <w:tcW w:w="126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(407</w:t>
            </w:r>
          </w:p>
        </w:tc>
        <w:tc>
          <w:tcPr>
            <w:tcW w:w="100" w:type="dxa"/>
            <w:vAlign w:val="bottom"/>
            <w:tcBorders>
              <w:top w:val="single" w:sz="8" w:color="auto"/>
              <w:bottom w:val="single" w:sz="8" w:color="auto"/>
            </w:tcBorders>
            <w:shd w:val="clear" w:color="auto" w:fill="DEEAEB"/>
          </w:tcPr>
          <w:p>
            <w:pPr>
              <w:jc w:val="right"/>
              <w:spacing w:after="0" w:line="192" w:lineRule="exact"/>
              <w:rPr>
                <w:sz w:val="20"/>
                <w:szCs w:val="20"/>
                <w:color w:val="auto"/>
              </w:rPr>
            </w:pPr>
            <w:r>
              <w:rPr>
                <w:rFonts w:ascii="Calibri" w:cs="Calibri" w:eastAsia="Calibri" w:hAnsi="Calibri"/>
                <w:sz w:val="16"/>
                <w:szCs w:val="16"/>
                <w:color w:val="auto"/>
                <w:w w:val="81"/>
              </w:rPr>
              <w:t>)</w:t>
            </w:r>
          </w:p>
        </w:tc>
      </w:tr>
      <w:tr>
        <w:trPr>
          <w:trHeight w:val="192"/>
        </w:trPr>
        <w:tc>
          <w:tcPr>
            <w:tcW w:w="5900" w:type="dxa"/>
            <w:vAlign w:val="bottom"/>
          </w:tcPr>
          <w:p>
            <w:pPr>
              <w:spacing w:after="0" w:line="192" w:lineRule="exact"/>
              <w:rPr>
                <w:sz w:val="20"/>
                <w:szCs w:val="20"/>
                <w:color w:val="auto"/>
              </w:rPr>
            </w:pPr>
            <w:r>
              <w:rPr>
                <w:rFonts w:ascii="Calibri" w:cs="Calibri" w:eastAsia="Calibri" w:hAnsi="Calibri"/>
                <w:sz w:val="16"/>
                <w:szCs w:val="16"/>
                <w:color w:val="auto"/>
              </w:rPr>
              <w:t>Net (Decrease) Increase in Cash, Cash Equivalents and Restricted Cash</w:t>
            </w:r>
          </w:p>
        </w:tc>
        <w:tc>
          <w:tcPr>
            <w:tcW w:w="280" w:type="dxa"/>
            <w:vAlign w:val="bottom"/>
            <w:shd w:val="clear" w:color="auto" w:fill="B6D2E2"/>
          </w:tcPr>
          <w:p>
            <w:pPr>
              <w:spacing w:after="0"/>
              <w:rPr>
                <w:sz w:val="16"/>
                <w:szCs w:val="16"/>
                <w:color w:val="auto"/>
              </w:rPr>
            </w:pPr>
          </w:p>
        </w:tc>
        <w:tc>
          <w:tcPr>
            <w:tcW w:w="1260" w:type="dxa"/>
            <w:vAlign w:val="bottom"/>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rPr>
              <w:t>(612</w:t>
            </w:r>
          </w:p>
        </w:tc>
        <w:tc>
          <w:tcPr>
            <w:tcW w:w="100" w:type="dxa"/>
            <w:vAlign w:val="bottom"/>
            <w:shd w:val="clear" w:color="auto" w:fill="B6D2E2"/>
          </w:tcPr>
          <w:p>
            <w:pPr>
              <w:jc w:val="right"/>
              <w:spacing w:after="0" w:line="192" w:lineRule="exact"/>
              <w:rPr>
                <w:sz w:val="20"/>
                <w:szCs w:val="20"/>
                <w:color w:val="auto"/>
              </w:rPr>
            </w:pPr>
            <w:r>
              <w:rPr>
                <w:rFonts w:ascii="Calibri" w:cs="Calibri" w:eastAsia="Calibri" w:hAnsi="Calibri"/>
                <w:sz w:val="16"/>
                <w:szCs w:val="16"/>
                <w:b w:val="1"/>
                <w:bCs w:val="1"/>
                <w:color w:val="auto"/>
                <w:w w:val="79"/>
              </w:rPr>
              <w:t>)</w:t>
            </w: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923</w:t>
            </w:r>
          </w:p>
        </w:tc>
        <w:tc>
          <w:tcPr>
            <w:tcW w:w="100" w:type="dxa"/>
            <w:vAlign w:val="bottom"/>
            <w:shd w:val="clear" w:color="auto" w:fill="DEEAEB"/>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DEEAEB"/>
          </w:tcPr>
          <w:p>
            <w:pPr>
              <w:spacing w:after="0"/>
              <w:rPr>
                <w:sz w:val="16"/>
                <w:szCs w:val="16"/>
                <w:color w:val="auto"/>
              </w:rPr>
            </w:pPr>
          </w:p>
        </w:tc>
        <w:tc>
          <w:tcPr>
            <w:tcW w:w="1260" w:type="dxa"/>
            <w:vAlign w:val="bottom"/>
            <w:shd w:val="clear" w:color="auto" w:fill="DEEAEB"/>
          </w:tcPr>
          <w:p>
            <w:pPr>
              <w:jc w:val="right"/>
              <w:spacing w:after="0" w:line="192" w:lineRule="exact"/>
              <w:rPr>
                <w:sz w:val="20"/>
                <w:szCs w:val="20"/>
                <w:color w:val="auto"/>
              </w:rPr>
            </w:pPr>
            <w:r>
              <w:rPr>
                <w:rFonts w:ascii="Calibri" w:cs="Calibri" w:eastAsia="Calibri" w:hAnsi="Calibri"/>
                <w:sz w:val="16"/>
                <w:szCs w:val="16"/>
                <w:color w:val="auto"/>
              </w:rPr>
              <w:t>100</w:t>
            </w:r>
          </w:p>
        </w:tc>
        <w:tc>
          <w:tcPr>
            <w:tcW w:w="100" w:type="dxa"/>
            <w:vAlign w:val="bottom"/>
            <w:shd w:val="clear" w:color="auto" w:fill="DEEAEB"/>
          </w:tcPr>
          <w:p>
            <w:pPr>
              <w:spacing w:after="0"/>
              <w:rPr>
                <w:sz w:val="16"/>
                <w:szCs w:val="16"/>
                <w:color w:val="auto"/>
              </w:rPr>
            </w:pPr>
          </w:p>
        </w:tc>
      </w:tr>
      <w:tr>
        <w:trPr>
          <w:trHeight w:val="205"/>
        </w:trPr>
        <w:tc>
          <w:tcPr>
            <w:tcW w:w="5900" w:type="dxa"/>
            <w:vAlign w:val="bottom"/>
            <w:tcBorders>
              <w:bottom w:val="single" w:sz="8" w:color="auto"/>
            </w:tcBorders>
          </w:tcPr>
          <w:p>
            <w:pPr>
              <w:spacing w:after="0" w:line="193" w:lineRule="exact"/>
              <w:rPr>
                <w:sz w:val="20"/>
                <w:szCs w:val="20"/>
                <w:color w:val="auto"/>
              </w:rPr>
            </w:pPr>
            <w:r>
              <w:rPr>
                <w:rFonts w:ascii="Calibri" w:cs="Calibri" w:eastAsia="Calibri" w:hAnsi="Calibri"/>
                <w:sz w:val="16"/>
                <w:szCs w:val="16"/>
                <w:b w:val="1"/>
                <w:bCs w:val="1"/>
                <w:color w:val="auto"/>
              </w:rPr>
              <w:t>Cash, Cash Equivalents and Restricted Cash, beginning of year</w:t>
            </w:r>
          </w:p>
        </w:tc>
        <w:tc>
          <w:tcPr>
            <w:tcW w:w="280" w:type="dxa"/>
            <w:vAlign w:val="bottom"/>
            <w:tcBorders>
              <w:bottom w:val="single" w:sz="8" w:color="auto"/>
            </w:tcBorders>
            <w:shd w:val="clear" w:color="auto" w:fill="B6D2E2"/>
          </w:tcPr>
          <w:p>
            <w:pPr>
              <w:spacing w:after="0"/>
              <w:rPr>
                <w:sz w:val="17"/>
                <w:szCs w:val="17"/>
                <w:color w:val="auto"/>
              </w:rPr>
            </w:pPr>
          </w:p>
        </w:tc>
        <w:tc>
          <w:tcPr>
            <w:tcW w:w="126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1,282</w:t>
            </w:r>
          </w:p>
        </w:tc>
        <w:tc>
          <w:tcPr>
            <w:tcW w:w="100" w:type="dxa"/>
            <w:vAlign w:val="bottom"/>
            <w:tcBorders>
              <w:bottom w:val="single" w:sz="8" w:color="auto"/>
            </w:tcBorders>
            <w:shd w:val="clear" w:color="auto" w:fill="B6D2E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359</w:t>
            </w:r>
          </w:p>
        </w:tc>
        <w:tc>
          <w:tcPr>
            <w:tcW w:w="100" w:type="dxa"/>
            <w:vAlign w:val="bottom"/>
            <w:tcBorders>
              <w:bottom w:val="single" w:sz="8" w:color="auto"/>
            </w:tcBorders>
            <w:shd w:val="clear" w:color="auto" w:fill="DEEAEB"/>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EEAEB"/>
          </w:tcPr>
          <w:p>
            <w:pPr>
              <w:spacing w:after="0"/>
              <w:rPr>
                <w:sz w:val="17"/>
                <w:szCs w:val="17"/>
                <w:color w:val="auto"/>
              </w:rPr>
            </w:pPr>
          </w:p>
        </w:tc>
        <w:tc>
          <w:tcPr>
            <w:tcW w:w="1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259</w:t>
            </w:r>
          </w:p>
        </w:tc>
        <w:tc>
          <w:tcPr>
            <w:tcW w:w="100" w:type="dxa"/>
            <w:vAlign w:val="bottom"/>
            <w:tcBorders>
              <w:bottom w:val="single" w:sz="8" w:color="auto"/>
            </w:tcBorders>
            <w:shd w:val="clear" w:color="auto" w:fill="DEEAEB"/>
          </w:tcPr>
          <w:p>
            <w:pPr>
              <w:spacing w:after="0"/>
              <w:rPr>
                <w:sz w:val="17"/>
                <w:szCs w:val="17"/>
                <w:color w:val="auto"/>
              </w:rPr>
            </w:pPr>
          </w:p>
        </w:tc>
      </w:tr>
      <w:tr>
        <w:trPr>
          <w:trHeight w:val="238"/>
        </w:trPr>
        <w:tc>
          <w:tcPr>
            <w:tcW w:w="5900" w:type="dxa"/>
            <w:vAlign w:val="bottom"/>
            <w:tcBorders>
              <w:bottom w:val="single" w:sz="8" w:color="auto"/>
            </w:tcBorders>
          </w:tcPr>
          <w:p>
            <w:pPr>
              <w:spacing w:after="0" w:line="193" w:lineRule="exact"/>
              <w:rPr>
                <w:sz w:val="20"/>
                <w:szCs w:val="20"/>
                <w:color w:val="auto"/>
              </w:rPr>
            </w:pPr>
            <w:r>
              <w:rPr>
                <w:rFonts w:ascii="Calibri" w:cs="Calibri" w:eastAsia="Calibri" w:hAnsi="Calibri"/>
                <w:sz w:val="16"/>
                <w:szCs w:val="16"/>
                <w:b w:val="1"/>
                <w:bCs w:val="1"/>
                <w:color w:val="auto"/>
              </w:rPr>
              <w:t>Cash, Cash Equivalents and Restricted Cash, end of year</w:t>
            </w:r>
          </w:p>
        </w:tc>
        <w:tc>
          <w:tcPr>
            <w:tcW w:w="28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260" w:type="dxa"/>
            <w:vAlign w:val="bottom"/>
            <w:tcBorders>
              <w:bottom w:val="single" w:sz="8" w:color="auto"/>
            </w:tcBorders>
            <w:shd w:val="clear" w:color="auto" w:fill="B6D2E2"/>
          </w:tcPr>
          <w:p>
            <w:pPr>
              <w:jc w:val="right"/>
              <w:spacing w:after="0" w:line="193" w:lineRule="exact"/>
              <w:rPr>
                <w:sz w:val="20"/>
                <w:szCs w:val="20"/>
                <w:color w:val="auto"/>
              </w:rPr>
            </w:pPr>
            <w:r>
              <w:rPr>
                <w:rFonts w:ascii="Calibri" w:cs="Calibri" w:eastAsia="Calibri" w:hAnsi="Calibri"/>
                <w:sz w:val="16"/>
                <w:szCs w:val="16"/>
                <w:b w:val="1"/>
                <w:bCs w:val="1"/>
                <w:color w:val="auto"/>
              </w:rPr>
              <w:t>670</w:t>
            </w:r>
          </w:p>
        </w:tc>
        <w:tc>
          <w:tcPr>
            <w:tcW w:w="100" w:type="dxa"/>
            <w:vAlign w:val="bottom"/>
            <w:tcBorders>
              <w:bottom w:val="single" w:sz="8" w:color="auto"/>
            </w:tcBorders>
            <w:shd w:val="clear" w:color="auto" w:fill="B6D2E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1,282</w:t>
            </w:r>
          </w:p>
        </w:tc>
        <w:tc>
          <w:tcPr>
            <w:tcW w:w="100" w:type="dxa"/>
            <w:vAlign w:val="bottom"/>
            <w:tcBorders>
              <w:bottom w:val="single" w:sz="8" w:color="auto"/>
            </w:tcBorders>
            <w:shd w:val="clear" w:color="auto" w:fill="DEEAEB"/>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w:t>
            </w:r>
          </w:p>
        </w:tc>
        <w:tc>
          <w:tcPr>
            <w:tcW w:w="1260" w:type="dxa"/>
            <w:vAlign w:val="bottom"/>
            <w:tcBorders>
              <w:bottom w:val="single" w:sz="8" w:color="auto"/>
            </w:tcBorders>
            <w:shd w:val="clear" w:color="auto" w:fill="DEEAEB"/>
          </w:tcPr>
          <w:p>
            <w:pPr>
              <w:jc w:val="right"/>
              <w:spacing w:after="0" w:line="193" w:lineRule="exact"/>
              <w:rPr>
                <w:sz w:val="20"/>
                <w:szCs w:val="20"/>
                <w:color w:val="auto"/>
              </w:rPr>
            </w:pPr>
            <w:r>
              <w:rPr>
                <w:rFonts w:ascii="Calibri" w:cs="Calibri" w:eastAsia="Calibri" w:hAnsi="Calibri"/>
                <w:sz w:val="16"/>
                <w:szCs w:val="16"/>
                <w:color w:val="auto"/>
              </w:rPr>
              <w:t>359</w:t>
            </w:r>
          </w:p>
        </w:tc>
        <w:tc>
          <w:tcPr>
            <w:tcW w:w="100" w:type="dxa"/>
            <w:vAlign w:val="bottom"/>
            <w:tcBorders>
              <w:bottom w:val="single" w:sz="8" w:color="auto"/>
            </w:tcBorders>
            <w:shd w:val="clear" w:color="auto" w:fill="DEEAEB"/>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1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2" w:name="page73"/>
    <w:bookmarkEnd w:id="72"/>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384"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3"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b w:val="1"/>
          <w:bCs w:val="1"/>
          <w:color w:val="007DC6"/>
        </w:rPr>
        <w:t>Consolidated Statements of Total Equity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68"/>
              <w:spacing w:after="0"/>
              <w:rPr>
                <w:sz w:val="20"/>
                <w:szCs w:val="20"/>
                <w:color w:val="auto"/>
              </w:rPr>
            </w:pPr>
            <w:r>
              <w:rPr>
                <w:rFonts w:ascii="Calibri" w:cs="Calibri" w:eastAsia="Calibri" w:hAnsi="Calibri"/>
                <w:sz w:val="14"/>
                <w:szCs w:val="14"/>
                <w:b w:val="1"/>
                <w:bCs w:val="1"/>
                <w:color w:val="auto"/>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88"/>
              <w:spacing w:after="0"/>
              <w:rPr>
                <w:sz w:val="20"/>
                <w:szCs w:val="20"/>
                <w:color w:val="auto"/>
              </w:rPr>
            </w:pPr>
            <w:r>
              <w:rPr>
                <w:rFonts w:ascii="Calibri" w:cs="Calibri" w:eastAsia="Calibri" w:hAnsi="Calibri"/>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88"/>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800" w:type="dxa"/>
            <w:vAlign w:val="bottom"/>
            <w:gridSpan w:val="3"/>
          </w:tcPr>
          <w:p>
            <w:pPr>
              <w:jc w:val="center"/>
              <w:ind w:right="88"/>
              <w:spacing w:after="0"/>
              <w:rPr>
                <w:sz w:val="20"/>
                <w:szCs w:val="20"/>
                <w:color w:val="auto"/>
              </w:rPr>
            </w:pPr>
            <w:r>
              <w:rPr>
                <w:rFonts w:ascii="Calibri" w:cs="Calibri" w:eastAsia="Calibri" w:hAnsi="Calibri"/>
                <w:sz w:val="14"/>
                <w:szCs w:val="14"/>
                <w:b w:val="1"/>
                <w:bCs w:val="1"/>
                <w:color w:val="auto"/>
              </w:rPr>
              <w:t>Shares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88"/>
              <w:spacing w:after="0"/>
              <w:rPr>
                <w:sz w:val="20"/>
                <w:szCs w:val="20"/>
                <w:color w:val="auto"/>
              </w:rPr>
            </w:pPr>
            <w:r>
              <w:rPr>
                <w:rFonts w:ascii="Calibri" w:cs="Calibri" w:eastAsia="Calibri" w:hAnsi="Calibri"/>
                <w:sz w:val="14"/>
                <w:szCs w:val="14"/>
                <w:b w:val="1"/>
                <w:bCs w:val="1"/>
                <w:color w:val="auto"/>
              </w:rPr>
              <w:t>Additonal</w:t>
            </w:r>
          </w:p>
        </w:tc>
        <w:tc>
          <w:tcPr>
            <w:tcW w:w="100" w:type="dxa"/>
            <w:vAlign w:val="bottom"/>
          </w:tcPr>
          <w:p>
            <w:pPr>
              <w:spacing w:after="0"/>
              <w:rPr>
                <w:sz w:val="15"/>
                <w:szCs w:val="15"/>
                <w:color w:val="auto"/>
              </w:rPr>
            </w:pPr>
          </w:p>
        </w:tc>
        <w:tc>
          <w:tcPr>
            <w:tcW w:w="1040" w:type="dxa"/>
            <w:vAlign w:val="bottom"/>
            <w:gridSpan w:val="3"/>
          </w:tcPr>
          <w:p>
            <w:pPr>
              <w:jc w:val="center"/>
              <w:ind w:right="28"/>
              <w:spacing w:after="0"/>
              <w:rPr>
                <w:sz w:val="20"/>
                <w:szCs w:val="20"/>
                <w:color w:val="auto"/>
              </w:rPr>
            </w:pPr>
            <w:r>
              <w:rPr>
                <w:rFonts w:ascii="Calibri" w:cs="Calibri" w:eastAsia="Calibri" w:hAnsi="Calibri"/>
                <w:sz w:val="14"/>
                <w:szCs w:val="14"/>
                <w:b w:val="1"/>
                <w:bCs w:val="1"/>
                <w:color w:val="auto"/>
              </w:rPr>
              <w:t>Comprehensiv</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48"/>
              <w:spacing w:after="0"/>
              <w:rPr>
                <w:sz w:val="20"/>
                <w:szCs w:val="20"/>
                <w:color w:val="auto"/>
              </w:rPr>
            </w:pPr>
            <w:r>
              <w:rPr>
                <w:rFonts w:ascii="Calibri" w:cs="Calibri" w:eastAsia="Calibri" w:hAnsi="Calibri"/>
                <w:sz w:val="14"/>
                <w:szCs w:val="14"/>
                <w:b w:val="1"/>
                <w:bCs w:val="1"/>
                <w:color w:val="auto"/>
              </w:rPr>
              <w:t>Shareholder</w:t>
            </w:r>
          </w:p>
        </w:tc>
        <w:tc>
          <w:tcPr>
            <w:tcW w:w="10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Calibri" w:cs="Calibri" w:eastAsia="Calibri" w:hAnsi="Calibri"/>
                <w:sz w:val="14"/>
                <w:szCs w:val="14"/>
                <w:b w:val="1"/>
                <w:bCs w:val="1"/>
                <w:color w:val="auto"/>
              </w:rPr>
              <w:t>Noncontrolli</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800" w:type="dxa"/>
            <w:vAlign w:val="bottom"/>
            <w:gridSpan w:val="3"/>
          </w:tcPr>
          <w:p>
            <w:pPr>
              <w:jc w:val="center"/>
              <w:ind w:right="108"/>
              <w:spacing w:after="0"/>
              <w:rPr>
                <w:sz w:val="20"/>
                <w:szCs w:val="20"/>
                <w:color w:val="auto"/>
              </w:rPr>
            </w:pPr>
            <w:r>
              <w:rPr>
                <w:rFonts w:ascii="Calibri" w:cs="Calibri" w:eastAsia="Calibri" w:hAnsi="Calibri"/>
                <w:sz w:val="14"/>
                <w:szCs w:val="14"/>
                <w:b w:val="1"/>
                <w:bCs w:val="1"/>
                <w:color w:val="auto"/>
              </w:rPr>
              <w:t>Common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Common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8"/>
              <w:spacing w:after="0"/>
              <w:rPr>
                <w:sz w:val="20"/>
                <w:szCs w:val="20"/>
                <w:color w:val="auto"/>
              </w:rPr>
            </w:pPr>
            <w:r>
              <w:rPr>
                <w:rFonts w:ascii="Calibri" w:cs="Calibri" w:eastAsia="Calibri" w:hAnsi="Calibri"/>
                <w:sz w:val="14"/>
                <w:szCs w:val="14"/>
                <w:b w:val="1"/>
                <w:bCs w:val="1"/>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68"/>
              <w:spacing w:after="0"/>
              <w:rPr>
                <w:sz w:val="20"/>
                <w:szCs w:val="20"/>
                <w:color w:val="auto"/>
              </w:rPr>
            </w:pPr>
            <w:r>
              <w:rPr>
                <w:rFonts w:ascii="Calibri" w:cs="Calibri" w:eastAsia="Calibri" w:hAnsi="Calibri"/>
                <w:sz w:val="14"/>
                <w:szCs w:val="14"/>
                <w:b w:val="1"/>
                <w:bCs w:val="1"/>
                <w:color w:val="auto"/>
              </w:rPr>
              <w: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8"/>
              <w:spacing w:after="0"/>
              <w:rPr>
                <w:sz w:val="20"/>
                <w:szCs w:val="20"/>
                <w:color w:val="auto"/>
              </w:rPr>
            </w:pPr>
            <w:r>
              <w:rPr>
                <w:rFonts w:ascii="Calibri" w:cs="Calibri" w:eastAsia="Calibri" w:hAnsi="Calibri"/>
                <w:sz w:val="14"/>
                <w:szCs w:val="14"/>
                <w:b w:val="1"/>
                <w:bCs w:val="1"/>
                <w:color w:val="auto"/>
                <w:w w:val="99"/>
              </w:rPr>
              <w:t>Retained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8"/>
              <w:spacing w:after="0"/>
              <w:rPr>
                <w:sz w:val="20"/>
                <w:szCs w:val="20"/>
                <w:color w:val="auto"/>
              </w:rPr>
            </w:pPr>
            <w:r>
              <w:rPr>
                <w:rFonts w:ascii="Calibri" w:cs="Calibri" w:eastAsia="Calibri" w:hAnsi="Calibri"/>
                <w:sz w:val="14"/>
                <w:szCs w:val="14"/>
                <w:b w:val="1"/>
                <w:bCs w:val="1"/>
                <w:color w:val="auto"/>
              </w:rPr>
              <w: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14"/>
              <w:spacing w:after="0"/>
              <w:rPr>
                <w:sz w:val="20"/>
                <w:szCs w:val="20"/>
                <w:color w:val="auto"/>
              </w:rPr>
            </w:pPr>
            <w:r>
              <w:rPr>
                <w:rFonts w:ascii="Calibri" w:cs="Calibri" w:eastAsia="Calibri" w:hAnsi="Calibri"/>
                <w:sz w:val="14"/>
                <w:szCs w:val="14"/>
                <w:b w:val="1"/>
                <w:bCs w:val="1"/>
                <w:color w:val="auto"/>
                <w:w w:val="98"/>
              </w:rPr>
              <w:t>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auto"/>
              </w:rPr>
              <w:t>(in millions, except share and per share data)</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right="168"/>
              <w:spacing w:after="0"/>
              <w:rPr>
                <w:sz w:val="20"/>
                <w:szCs w:val="20"/>
                <w:color w:val="auto"/>
              </w:rPr>
            </w:pPr>
            <w:r>
              <w:rPr>
                <w:rFonts w:ascii="Calibri" w:cs="Calibri" w:eastAsia="Calibri" w:hAnsi="Calibri"/>
                <w:sz w:val="14"/>
                <w:szCs w:val="14"/>
                <w:b w:val="1"/>
                <w:bCs w:val="1"/>
                <w:color w:val="auto"/>
              </w:rPr>
              <w:t>Stock</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Calibri" w:cs="Calibri" w:eastAsia="Calibri" w:hAnsi="Calibri"/>
                <w:sz w:val="14"/>
                <w:szCs w:val="14"/>
                <w:b w:val="1"/>
                <w:bCs w:val="1"/>
                <w:color w:val="auto"/>
              </w:rPr>
              <w:t>Stock</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148"/>
              <w:spacing w:after="0"/>
              <w:rPr>
                <w:sz w:val="20"/>
                <w:szCs w:val="20"/>
                <w:color w:val="auto"/>
              </w:rPr>
            </w:pPr>
            <w:r>
              <w:rPr>
                <w:rFonts w:ascii="Calibri" w:cs="Calibri" w:eastAsia="Calibri" w:hAnsi="Calibri"/>
                <w:sz w:val="14"/>
                <w:szCs w:val="14"/>
                <w:b w:val="1"/>
                <w:bCs w:val="1"/>
                <w:color w:val="auto"/>
              </w:rPr>
              <w:t>Capital</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68"/>
              <w:spacing w:after="0"/>
              <w:rPr>
                <w:sz w:val="20"/>
                <w:szCs w:val="20"/>
                <w:color w:val="auto"/>
              </w:rPr>
            </w:pPr>
            <w:r>
              <w:rPr>
                <w:rFonts w:ascii="Calibri" w:cs="Calibri" w:eastAsia="Calibri" w:hAnsi="Calibri"/>
                <w:sz w:val="14"/>
                <w:szCs w:val="14"/>
                <w:b w:val="1"/>
                <w:bCs w:val="1"/>
                <w:color w:val="auto"/>
                <w:w w:val="97"/>
              </w:rPr>
              <w:t>Loss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88"/>
              <w:spacing w:after="0"/>
              <w:rPr>
                <w:sz w:val="20"/>
                <w:szCs w:val="20"/>
                <w:color w:val="auto"/>
              </w:rPr>
            </w:pPr>
            <w:r>
              <w:rPr>
                <w:rFonts w:ascii="Calibri" w:cs="Calibri" w:eastAsia="Calibri" w:hAnsi="Calibri"/>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68"/>
              <w:spacing w:after="0"/>
              <w:rPr>
                <w:sz w:val="20"/>
                <w:szCs w:val="20"/>
                <w:color w:val="auto"/>
              </w:rPr>
            </w:pPr>
            <w:r>
              <w:rPr>
                <w:rFonts w:ascii="Calibri" w:cs="Calibri" w:eastAsia="Calibri" w:hAnsi="Calibri"/>
                <w:sz w:val="14"/>
                <w:szCs w:val="14"/>
                <w:b w:val="1"/>
                <w:bCs w:val="1"/>
                <w:color w:val="auto"/>
              </w:rPr>
              <w:t>Equity</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194"/>
              <w:spacing w:after="0"/>
              <w:rPr>
                <w:sz w:val="20"/>
                <w:szCs w:val="20"/>
                <w:color w:val="auto"/>
              </w:rPr>
            </w:pPr>
            <w:r>
              <w:rPr>
                <w:rFonts w:ascii="Calibri" w:cs="Calibri" w:eastAsia="Calibri" w:hAnsi="Calibri"/>
                <w:sz w:val="14"/>
                <w:szCs w:val="14"/>
                <w:b w:val="1"/>
                <w:bCs w:val="1"/>
                <w:color w:val="auto"/>
              </w:rPr>
              <w:t>Interests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07"/>
              <w:spacing w:after="0"/>
              <w:rPr>
                <w:sz w:val="20"/>
                <w:szCs w:val="20"/>
                <w:color w:val="auto"/>
              </w:rPr>
            </w:pPr>
            <w:r>
              <w:rPr>
                <w:rFonts w:ascii="Calibri" w:cs="Calibri" w:eastAsia="Calibri" w:hAnsi="Calibri"/>
                <w:sz w:val="14"/>
                <w:szCs w:val="14"/>
                <w:b w:val="1"/>
                <w:bCs w:val="1"/>
                <w:color w:val="auto"/>
              </w:rPr>
              <w:t>Total Equity</w:t>
            </w:r>
          </w:p>
        </w:tc>
        <w:tc>
          <w:tcPr>
            <w:tcW w:w="0" w:type="dxa"/>
            <w:vAlign w:val="bottom"/>
          </w:tcPr>
          <w:p>
            <w:pPr>
              <w:spacing w:after="0"/>
              <w:rPr>
                <w:sz w:val="1"/>
                <w:szCs w:val="1"/>
                <w:color w:val="auto"/>
              </w:rPr>
            </w:pPr>
          </w:p>
        </w:tc>
      </w:tr>
      <w:tr>
        <w:trPr>
          <w:trHeight w:val="161"/>
        </w:trPr>
        <w:tc>
          <w:tcPr>
            <w:tcW w:w="3180" w:type="dxa"/>
            <w:vAlign w:val="bottom"/>
            <w:tcBorders>
              <w:right w:val="single" w:sz="8" w:color="007CBA"/>
            </w:tcBorders>
            <w:vMerge w:val="restart"/>
          </w:tcPr>
          <w:p>
            <w:pPr>
              <w:ind w:left="20"/>
              <w:spacing w:after="0"/>
              <w:rPr>
                <w:sz w:val="20"/>
                <w:szCs w:val="20"/>
                <w:color w:val="auto"/>
              </w:rPr>
            </w:pPr>
            <w:r>
              <w:rPr>
                <w:rFonts w:ascii="Calibri" w:cs="Calibri" w:eastAsia="Calibri" w:hAnsi="Calibri"/>
                <w:sz w:val="14"/>
                <w:szCs w:val="14"/>
                <w:color w:val="auto"/>
              </w:rPr>
              <w:t>Balance at December 31, 2021</w:t>
            </w:r>
          </w:p>
        </w:tc>
        <w:tc>
          <w:tcPr>
            <w:tcW w:w="100" w:type="dxa"/>
            <w:vAlign w:val="bottom"/>
            <w:shd w:val="clear" w:color="auto" w:fill="DEEAEB"/>
          </w:tcPr>
          <w:p>
            <w:pPr>
              <w:spacing w:after="0"/>
              <w:rPr>
                <w:sz w:val="14"/>
                <w:szCs w:val="14"/>
                <w:color w:val="auto"/>
              </w:rPr>
            </w:pPr>
          </w:p>
        </w:tc>
        <w:tc>
          <w:tcPr>
            <w:tcW w:w="580" w:type="dxa"/>
            <w:vAlign w:val="bottom"/>
            <w:shd w:val="clear" w:color="auto" w:fill="DEEAEB"/>
          </w:tcPr>
          <w:p>
            <w:pPr>
              <w:jc w:val="right"/>
              <w:spacing w:after="0" w:line="161" w:lineRule="exact"/>
              <w:rPr>
                <w:sz w:val="20"/>
                <w:szCs w:val="20"/>
                <w:color w:val="auto"/>
              </w:rPr>
            </w:pPr>
            <w:r>
              <w:rPr>
                <w:rFonts w:ascii="Calibri" w:cs="Calibri" w:eastAsia="Calibri" w:hAnsi="Calibri"/>
                <w:sz w:val="14"/>
                <w:szCs w:val="14"/>
                <w:color w:val="auto"/>
              </w:rPr>
              <w:t>62,393,9</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7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180" w:type="dxa"/>
            <w:vAlign w:val="bottom"/>
            <w:tcBorders>
              <w:right w:val="single" w:sz="8" w:color="007CBA"/>
            </w:tcBorders>
            <w:vMerge w:val="continue"/>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58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90</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1</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3,470</w:t>
            </w:r>
          </w:p>
        </w:tc>
        <w:tc>
          <w:tcPr>
            <w:tcW w:w="10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2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920" w:type="dxa"/>
            <w:vAlign w:val="bottom"/>
            <w:tcBorders>
              <w:right w:val="single" w:sz="8" w:color="007CBA"/>
            </w:tcBorders>
            <w:gridSpan w:val="2"/>
            <w:vMerge w:val="restart"/>
            <w:shd w:val="clear" w:color="auto" w:fill="DEEAEB"/>
          </w:tcPr>
          <w:p>
            <w:pPr>
              <w:jc w:val="right"/>
              <w:spacing w:after="0"/>
              <w:rPr>
                <w:sz w:val="20"/>
                <w:szCs w:val="20"/>
                <w:color w:val="auto"/>
              </w:rPr>
            </w:pPr>
            <w:r>
              <w:rPr>
                <w:rFonts w:ascii="Calibri" w:cs="Calibri" w:eastAsia="Calibri" w:hAnsi="Calibri"/>
                <w:sz w:val="14"/>
                <w:szCs w:val="14"/>
                <w:color w:val="auto"/>
              </w:rPr>
              <w:t>(98 )</w:t>
            </w:r>
          </w:p>
        </w:tc>
        <w:tc>
          <w:tcPr>
            <w:tcW w:w="100" w:type="dxa"/>
            <w:vAlign w:val="bottom"/>
            <w:shd w:val="clear" w:color="auto" w:fill="DEEAEB"/>
          </w:tcPr>
          <w:p>
            <w:pPr>
              <w:spacing w:after="0"/>
              <w:rPr>
                <w:sz w:val="6"/>
                <w:szCs w:val="6"/>
                <w:color w:val="auto"/>
              </w:rPr>
            </w:pPr>
          </w:p>
        </w:tc>
        <w:tc>
          <w:tcPr>
            <w:tcW w:w="1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3,162</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6,535</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20" w:type="dxa"/>
            <w:vAlign w:val="bottom"/>
            <w:vMerge w:val="restart"/>
            <w:shd w:val="clear" w:color="auto" w:fill="DEEAEB"/>
          </w:tcPr>
          <w:p>
            <w:pPr>
              <w:ind w:left="20"/>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2</w:t>
            </w:r>
          </w:p>
        </w:tc>
        <w:tc>
          <w:tcPr>
            <w:tcW w:w="10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2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6,537</w:t>
            </w:r>
          </w:p>
        </w:tc>
        <w:tc>
          <w:tcPr>
            <w:tcW w:w="100" w:type="dxa"/>
            <w:vAlign w:val="bottom"/>
            <w:shd w:val="clear" w:color="auto" w:fill="DEEAEB"/>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180" w:type="dxa"/>
            <w:vAlign w:val="bottom"/>
            <w:tcBorders>
              <w:right w:val="single" w:sz="8" w:color="007CBA"/>
            </w:tcBorders>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58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vMerge w:val="continue"/>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vMerge w:val="continue"/>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0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20" w:type="dxa"/>
            <w:vAlign w:val="bottom"/>
            <w:vMerge w:val="continue"/>
            <w:shd w:val="clear" w:color="auto" w:fill="DEEAEB"/>
          </w:tcPr>
          <w:p>
            <w:pPr>
              <w:spacing w:after="0"/>
              <w:rPr>
                <w:sz w:val="8"/>
                <w:szCs w:val="8"/>
                <w:color w:val="auto"/>
              </w:rPr>
            </w:pPr>
          </w:p>
        </w:tc>
        <w:tc>
          <w:tcPr>
            <w:tcW w:w="920" w:type="dxa"/>
            <w:vAlign w:val="bottom"/>
            <w:tcBorders>
              <w:right w:val="single" w:sz="8" w:color="007CBA"/>
            </w:tcBorders>
            <w:gridSpan w:val="2"/>
            <w:vMerge w:val="continue"/>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vMerge w:val="continue"/>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vMerge w:val="continue"/>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20" w:type="dxa"/>
            <w:vAlign w:val="bottom"/>
            <w:vMerge w:val="continue"/>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0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20" w:type="dxa"/>
            <w:vAlign w:val="bottom"/>
            <w:vMerge w:val="continue"/>
            <w:shd w:val="clear" w:color="auto" w:fill="DEEAEB"/>
          </w:tcPr>
          <w:p>
            <w:pPr>
              <w:spacing w:after="0"/>
              <w:rPr>
                <w:sz w:val="8"/>
                <w:szCs w:val="8"/>
                <w:color w:val="auto"/>
              </w:rPr>
            </w:pPr>
          </w:p>
        </w:tc>
        <w:tc>
          <w:tcPr>
            <w:tcW w:w="720" w:type="dxa"/>
            <w:vAlign w:val="bottom"/>
            <w:vMerge w:val="continue"/>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Consolidated net earnings</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820" w:type="dxa"/>
            <w:vAlign w:val="bottom"/>
            <w:tcBorders>
              <w:right w:val="single" w:sz="8" w:color="007CBA"/>
            </w:tcBorders>
            <w:gridSpan w:val="2"/>
            <w:shd w:val="clear" w:color="auto" w:fill="DEEAEB"/>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80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92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867</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867</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tcBorders>
              <w:right w:val="single" w:sz="8" w:color="007CBA"/>
            </w:tcBorders>
            <w:gridSpan w:val="2"/>
            <w:shd w:val="clear" w:color="auto" w:fill="DEEAEB"/>
          </w:tcPr>
          <w:p>
            <w:pPr>
              <w:jc w:val="right"/>
              <w:ind w:right="94"/>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867</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Other comprehensive earnings</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60</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60</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60</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Dividends declared ($2.54 per common share)</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(160</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(160</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(160</w:t>
            </w:r>
          </w:p>
        </w:tc>
        <w:tc>
          <w:tcPr>
            <w:tcW w:w="100" w:type="dxa"/>
            <w:vAlign w:val="bottom"/>
            <w:shd w:val="clear" w:color="auto" w:fill="DEEAEB"/>
          </w:tcPr>
          <w:p>
            <w:pPr>
              <w:jc w:val="right"/>
              <w:ind w:right="7"/>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Issuances of common stock for stock award</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plans</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126,699</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5</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5</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5</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Shares withheld for employees’ income tax</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obligatons</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(29</w:t>
            </w:r>
          </w:p>
        </w:tc>
        <w:tc>
          <w:tcPr>
            <w:tcW w:w="10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(29</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(29</w:t>
            </w:r>
          </w:p>
        </w:tc>
        <w:tc>
          <w:tcPr>
            <w:tcW w:w="100" w:type="dxa"/>
            <w:vAlign w:val="bottom"/>
            <w:shd w:val="clear" w:color="auto" w:fill="DEEAEB"/>
          </w:tcPr>
          <w:p>
            <w:pPr>
              <w:jc w:val="right"/>
              <w:ind w:right="7"/>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76"/>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Repurchases of common stock</w:t>
            </w:r>
          </w:p>
        </w:tc>
        <w:tc>
          <w:tcPr>
            <w:tcW w:w="100" w:type="dxa"/>
            <w:vAlign w:val="bottom"/>
            <w:tcBorders>
              <w:bottom w:val="single" w:sz="8" w:color="DEEAEB"/>
            </w:tcBorders>
            <w:shd w:val="clear" w:color="auto" w:fill="DEEAEB"/>
          </w:tcPr>
          <w:p>
            <w:pPr>
              <w:spacing w:after="0"/>
              <w:rPr>
                <w:sz w:val="15"/>
                <w:szCs w:val="15"/>
                <w:color w:val="auto"/>
              </w:rPr>
            </w:pPr>
          </w:p>
        </w:tc>
        <w:tc>
          <w:tcPr>
            <w:tcW w:w="5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(418,336</w:t>
            </w:r>
          </w:p>
        </w:tc>
        <w:tc>
          <w:tcPr>
            <w:tcW w:w="120" w:type="dxa"/>
            <w:vAlign w:val="bottom"/>
            <w:tcBorders>
              <w:bottom w:val="single" w:sz="8" w:color="DEEAEB"/>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tcBorders>
              <w:bottom w:val="single" w:sz="8" w:color="DEEAEB"/>
            </w:tcBorders>
            <w:shd w:val="clear" w:color="auto" w:fill="DEEAEB"/>
          </w:tcPr>
          <w:p>
            <w:pPr>
              <w:spacing w:after="0"/>
              <w:rPr>
                <w:sz w:val="15"/>
                <w:szCs w:val="15"/>
                <w:color w:val="auto"/>
              </w:rPr>
            </w:pPr>
          </w:p>
        </w:tc>
        <w:tc>
          <w:tcPr>
            <w:tcW w:w="100" w:type="dxa"/>
            <w:vAlign w:val="bottom"/>
            <w:tcBorders>
              <w:bottom w:val="single" w:sz="8" w:color="DEEAEB"/>
            </w:tcBorders>
            <w:shd w:val="clear" w:color="auto" w:fill="DEEAEB"/>
          </w:tcPr>
          <w:p>
            <w:pPr>
              <w:spacing w:after="0"/>
              <w:rPr>
                <w:sz w:val="15"/>
                <w:szCs w:val="15"/>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5"/>
                <w:szCs w:val="15"/>
                <w:color w:val="auto"/>
              </w:rPr>
            </w:pPr>
          </w:p>
        </w:tc>
        <w:tc>
          <w:tcPr>
            <w:tcW w:w="100" w:type="dxa"/>
            <w:vAlign w:val="bottom"/>
            <w:tcBorders>
              <w:bottom w:val="single" w:sz="8" w:color="DEEAEB"/>
            </w:tcBorders>
            <w:shd w:val="clear" w:color="auto" w:fill="DEEAEB"/>
          </w:tcPr>
          <w:p>
            <w:pPr>
              <w:spacing w:after="0"/>
              <w:rPr>
                <w:sz w:val="15"/>
                <w:szCs w:val="15"/>
                <w:color w:val="auto"/>
              </w:rPr>
            </w:pPr>
          </w:p>
        </w:tc>
        <w:tc>
          <w:tcPr>
            <w:tcW w:w="100" w:type="dxa"/>
            <w:vAlign w:val="bottom"/>
            <w:tcBorders>
              <w:bottom w:val="single" w:sz="8" w:color="DEEAEB"/>
            </w:tcBorders>
            <w:shd w:val="clear" w:color="auto" w:fill="DEEAEB"/>
          </w:tcPr>
          <w:p>
            <w:pPr>
              <w:spacing w:after="0"/>
              <w:rPr>
                <w:sz w:val="15"/>
                <w:szCs w:val="15"/>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007CBA"/>
            </w:tcBorders>
            <w:shd w:val="clear" w:color="auto" w:fill="DEEAEB"/>
          </w:tcPr>
          <w:p>
            <w:pPr>
              <w:spacing w:after="0"/>
              <w:rPr>
                <w:sz w:val="15"/>
                <w:szCs w:val="15"/>
                <w:color w:val="auto"/>
              </w:rPr>
            </w:pPr>
          </w:p>
        </w:tc>
        <w:tc>
          <w:tcPr>
            <w:tcW w:w="100" w:type="dxa"/>
            <w:vAlign w:val="bottom"/>
            <w:tcBorders>
              <w:bottom w:val="single" w:sz="8" w:color="DEEAEB"/>
            </w:tcBorders>
            <w:shd w:val="clear" w:color="auto" w:fill="DEEAEB"/>
          </w:tcPr>
          <w:p>
            <w:pPr>
              <w:spacing w:after="0"/>
              <w:rPr>
                <w:sz w:val="15"/>
                <w:szCs w:val="15"/>
                <w:color w:val="auto"/>
              </w:rPr>
            </w:pPr>
          </w:p>
        </w:tc>
        <w:tc>
          <w:tcPr>
            <w:tcW w:w="120" w:type="dxa"/>
            <w:vAlign w:val="bottom"/>
            <w:tcBorders>
              <w:bottom w:val="single" w:sz="8" w:color="DEEAEB"/>
            </w:tcBorders>
            <w:shd w:val="clear" w:color="auto" w:fill="DEEAEB"/>
          </w:tcPr>
          <w:p>
            <w:pPr>
              <w:spacing w:after="0"/>
              <w:rPr>
                <w:sz w:val="15"/>
                <w:szCs w:val="15"/>
                <w:color w:val="auto"/>
              </w:rPr>
            </w:pPr>
          </w:p>
        </w:tc>
        <w:tc>
          <w:tcPr>
            <w:tcW w:w="8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5"/>
                <w:szCs w:val="15"/>
                <w:color w:val="auto"/>
              </w:rPr>
            </w:pPr>
          </w:p>
        </w:tc>
        <w:tc>
          <w:tcPr>
            <w:tcW w:w="100" w:type="dxa"/>
            <w:vAlign w:val="bottom"/>
            <w:tcBorders>
              <w:bottom w:val="single" w:sz="8" w:color="DEEAEB"/>
            </w:tcBorders>
            <w:shd w:val="clear" w:color="auto" w:fill="DEEAEB"/>
          </w:tcPr>
          <w:p>
            <w:pPr>
              <w:spacing w:after="0"/>
              <w:rPr>
                <w:sz w:val="15"/>
                <w:szCs w:val="15"/>
                <w:color w:val="auto"/>
              </w:rPr>
            </w:pPr>
          </w:p>
        </w:tc>
        <w:tc>
          <w:tcPr>
            <w:tcW w:w="100" w:type="dxa"/>
            <w:vAlign w:val="bottom"/>
            <w:tcBorders>
              <w:bottom w:val="single" w:sz="8" w:color="DEEAEB"/>
            </w:tcBorders>
            <w:shd w:val="clear" w:color="auto" w:fill="DEEAEB"/>
          </w:tcPr>
          <w:p>
            <w:pPr>
              <w:spacing w:after="0"/>
              <w:rPr>
                <w:sz w:val="15"/>
                <w:szCs w:val="15"/>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(150</w:t>
            </w:r>
          </w:p>
        </w:tc>
        <w:tc>
          <w:tcPr>
            <w:tcW w:w="120" w:type="dxa"/>
            <w:vAlign w:val="bottom"/>
            <w:tcBorders>
              <w:bottom w:val="single" w:sz="8" w:color="DEEAEB"/>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tcBorders>
              <w:bottom w:val="single" w:sz="8" w:color="DEEAEB"/>
            </w:tcBorders>
            <w:shd w:val="clear" w:color="auto" w:fill="DEEAEB"/>
          </w:tcPr>
          <w:p>
            <w:pPr>
              <w:spacing w:after="0"/>
              <w:rPr>
                <w:sz w:val="15"/>
                <w:szCs w:val="15"/>
                <w:color w:val="auto"/>
              </w:rPr>
            </w:pPr>
          </w:p>
        </w:tc>
        <w:tc>
          <w:tcPr>
            <w:tcW w:w="100" w:type="dxa"/>
            <w:vAlign w:val="bottom"/>
            <w:tcBorders>
              <w:bottom w:val="single" w:sz="8" w:color="DEEAEB"/>
            </w:tcBorders>
            <w:shd w:val="clear" w:color="auto" w:fill="DEEAEB"/>
          </w:tcPr>
          <w:p>
            <w:pPr>
              <w:spacing w:after="0"/>
              <w:rPr>
                <w:sz w:val="15"/>
                <w:szCs w:val="15"/>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(150</w:t>
            </w:r>
          </w:p>
        </w:tc>
        <w:tc>
          <w:tcPr>
            <w:tcW w:w="120" w:type="dxa"/>
            <w:vAlign w:val="bottom"/>
            <w:tcBorders>
              <w:bottom w:val="single" w:sz="8" w:color="DEEAEB"/>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tcBorders>
              <w:bottom w:val="single" w:sz="8" w:color="DEEAEB"/>
            </w:tcBorders>
            <w:shd w:val="clear" w:color="auto" w:fill="DEEAEB"/>
          </w:tcPr>
          <w:p>
            <w:pPr>
              <w:spacing w:after="0"/>
              <w:rPr>
                <w:sz w:val="15"/>
                <w:szCs w:val="15"/>
                <w:color w:val="auto"/>
              </w:rPr>
            </w:pPr>
          </w:p>
        </w:tc>
        <w:tc>
          <w:tcPr>
            <w:tcW w:w="120" w:type="dxa"/>
            <w:vAlign w:val="bottom"/>
            <w:tcBorders>
              <w:bottom w:val="single" w:sz="8" w:color="DEEAEB"/>
            </w:tcBorders>
            <w:shd w:val="clear" w:color="auto" w:fill="DEEAEB"/>
          </w:tcPr>
          <w:p>
            <w:pPr>
              <w:spacing w:after="0"/>
              <w:rPr>
                <w:sz w:val="15"/>
                <w:szCs w:val="15"/>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007CBA"/>
            </w:tcBorders>
            <w:shd w:val="clear" w:color="auto" w:fill="DEEAEB"/>
          </w:tcPr>
          <w:p>
            <w:pPr>
              <w:spacing w:after="0"/>
              <w:rPr>
                <w:sz w:val="15"/>
                <w:szCs w:val="15"/>
                <w:color w:val="auto"/>
              </w:rPr>
            </w:pPr>
          </w:p>
        </w:tc>
        <w:tc>
          <w:tcPr>
            <w:tcW w:w="100" w:type="dxa"/>
            <w:vAlign w:val="bottom"/>
            <w:tcBorders>
              <w:bottom w:val="single" w:sz="8" w:color="DEEAEB"/>
            </w:tcBorders>
            <w:shd w:val="clear" w:color="auto" w:fill="DEEAEB"/>
          </w:tcPr>
          <w:p>
            <w:pPr>
              <w:spacing w:after="0"/>
              <w:rPr>
                <w:sz w:val="15"/>
                <w:szCs w:val="15"/>
                <w:color w:val="auto"/>
              </w:rPr>
            </w:pPr>
          </w:p>
        </w:tc>
        <w:tc>
          <w:tcPr>
            <w:tcW w:w="120" w:type="dxa"/>
            <w:vAlign w:val="bottom"/>
            <w:tcBorders>
              <w:bottom w:val="single" w:sz="8" w:color="DEEAEB"/>
            </w:tcBorders>
            <w:shd w:val="clear" w:color="auto" w:fill="DEEAEB"/>
          </w:tcPr>
          <w:p>
            <w:pPr>
              <w:spacing w:after="0"/>
              <w:rPr>
                <w:sz w:val="15"/>
                <w:szCs w:val="15"/>
                <w:color w:val="auto"/>
              </w:rPr>
            </w:pPr>
          </w:p>
        </w:tc>
        <w:tc>
          <w:tcPr>
            <w:tcW w:w="7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(150</w:t>
            </w:r>
          </w:p>
        </w:tc>
        <w:tc>
          <w:tcPr>
            <w:tcW w:w="100" w:type="dxa"/>
            <w:vAlign w:val="bottom"/>
            <w:tcBorders>
              <w:bottom w:val="single" w:sz="8" w:color="DEEAEB"/>
            </w:tcBorders>
            <w:shd w:val="clear" w:color="auto" w:fill="DEEAEB"/>
          </w:tcPr>
          <w:p>
            <w:pPr>
              <w:jc w:val="right"/>
              <w:ind w:right="7"/>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auto"/>
            </w:tcBorders>
          </w:tcPr>
          <w:p>
            <w:pPr>
              <w:ind w:left="160"/>
              <w:spacing w:after="0" w:line="156" w:lineRule="exact"/>
              <w:rPr>
                <w:sz w:val="20"/>
                <w:szCs w:val="20"/>
                <w:color w:val="auto"/>
              </w:rPr>
            </w:pPr>
            <w:r>
              <w:rPr>
                <w:rFonts w:ascii="Calibri" w:cs="Calibri" w:eastAsia="Calibri" w:hAnsi="Calibri"/>
                <w:sz w:val="14"/>
                <w:szCs w:val="14"/>
                <w:color w:val="auto"/>
              </w:rPr>
              <w:t>Stock-based compensaton expense</w:t>
            </w:r>
          </w:p>
        </w:tc>
        <w:tc>
          <w:tcPr>
            <w:tcW w:w="100" w:type="dxa"/>
            <w:vAlign w:val="bottom"/>
            <w:tcBorders>
              <w:bottom w:val="single" w:sz="8" w:color="auto"/>
            </w:tcBorders>
            <w:shd w:val="clear" w:color="auto" w:fill="DEEAEB"/>
          </w:tcPr>
          <w:p>
            <w:pPr>
              <w:spacing w:after="0"/>
              <w:rPr>
                <w:sz w:val="14"/>
                <w:szCs w:val="14"/>
                <w:color w:val="auto"/>
              </w:rPr>
            </w:pPr>
          </w:p>
        </w:tc>
        <w:tc>
          <w:tcPr>
            <w:tcW w:w="580" w:type="dxa"/>
            <w:vAlign w:val="bottom"/>
            <w:tcBorders>
              <w:bottom w:val="single" w:sz="8" w:color="auto"/>
            </w:tcBorders>
            <w:shd w:val="clear" w:color="auto" w:fill="DEEAEB"/>
          </w:tcPr>
          <w:p>
            <w:pPr>
              <w:jc w:val="right"/>
              <w:spacing w:after="0" w:line="156"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line="156"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line="156" w:lineRule="exact"/>
              <w:rPr>
                <w:sz w:val="20"/>
                <w:szCs w:val="20"/>
                <w:color w:val="auto"/>
              </w:rPr>
            </w:pPr>
            <w:r>
              <w:rPr>
                <w:rFonts w:ascii="Calibri" w:cs="Calibri" w:eastAsia="Calibri" w:hAnsi="Calibri"/>
                <w:sz w:val="14"/>
                <w:szCs w:val="14"/>
                <w:color w:val="auto"/>
              </w:rPr>
              <w:t>43</w:t>
            </w:r>
          </w:p>
        </w:tc>
        <w:tc>
          <w:tcPr>
            <w:tcW w:w="10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20" w:type="dxa"/>
            <w:vAlign w:val="bottom"/>
            <w:tcBorders>
              <w:bottom w:val="single" w:sz="8" w:color="auto"/>
            </w:tcBorders>
            <w:shd w:val="clear" w:color="auto" w:fill="DEEAEB"/>
          </w:tcPr>
          <w:p>
            <w:pPr>
              <w:spacing w:after="0"/>
              <w:rPr>
                <w:sz w:val="14"/>
                <w:szCs w:val="14"/>
                <w:color w:val="auto"/>
              </w:rPr>
            </w:pPr>
          </w:p>
        </w:tc>
        <w:tc>
          <w:tcPr>
            <w:tcW w:w="800" w:type="dxa"/>
            <w:vAlign w:val="bottom"/>
            <w:tcBorders>
              <w:bottom w:val="single" w:sz="8" w:color="auto"/>
            </w:tcBorders>
            <w:shd w:val="clear" w:color="auto" w:fill="DEEAEB"/>
          </w:tcPr>
          <w:p>
            <w:pPr>
              <w:jc w:val="right"/>
              <w:spacing w:after="0" w:line="156"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line="156"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line="156" w:lineRule="exact"/>
              <w:rPr>
                <w:sz w:val="20"/>
                <w:szCs w:val="20"/>
                <w:color w:val="auto"/>
              </w:rPr>
            </w:pPr>
            <w:r>
              <w:rPr>
                <w:rFonts w:ascii="Calibri" w:cs="Calibri" w:eastAsia="Calibri" w:hAnsi="Calibri"/>
                <w:sz w:val="14"/>
                <w:szCs w:val="14"/>
                <w:color w:val="auto"/>
              </w:rPr>
              <w:t>43</w:t>
            </w:r>
          </w:p>
        </w:tc>
        <w:tc>
          <w:tcPr>
            <w:tcW w:w="12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20" w:type="dxa"/>
            <w:vAlign w:val="bottom"/>
            <w:tcBorders>
              <w:bottom w:val="single" w:sz="8" w:color="auto"/>
            </w:tcBorders>
            <w:shd w:val="clear" w:color="auto" w:fill="DEEAEB"/>
          </w:tcPr>
          <w:p>
            <w:pPr>
              <w:spacing w:after="0"/>
              <w:rPr>
                <w:sz w:val="14"/>
                <w:szCs w:val="14"/>
                <w:color w:val="auto"/>
              </w:rPr>
            </w:pPr>
          </w:p>
        </w:tc>
        <w:tc>
          <w:tcPr>
            <w:tcW w:w="700" w:type="dxa"/>
            <w:vAlign w:val="bottom"/>
            <w:tcBorders>
              <w:bottom w:val="single" w:sz="8" w:color="auto"/>
            </w:tcBorders>
            <w:shd w:val="clear" w:color="auto" w:fill="DEEAEB"/>
          </w:tcPr>
          <w:p>
            <w:pPr>
              <w:jc w:val="right"/>
              <w:spacing w:after="0" w:line="156"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auto"/>
              <w:right w:val="single" w:sz="8" w:color="DEEAEB"/>
            </w:tcBorders>
            <w:shd w:val="clear" w:color="auto" w:fill="DEEAEB"/>
          </w:tcPr>
          <w:p>
            <w:pPr>
              <w:spacing w:after="0"/>
              <w:rPr>
                <w:sz w:val="14"/>
                <w:szCs w:val="14"/>
                <w:color w:val="auto"/>
              </w:rPr>
            </w:pPr>
          </w:p>
        </w:tc>
        <w:tc>
          <w:tcPr>
            <w:tcW w:w="100" w:type="dxa"/>
            <w:vAlign w:val="bottom"/>
            <w:tcBorders>
              <w:bottom w:val="single" w:sz="8" w:color="auto"/>
            </w:tcBorders>
            <w:shd w:val="clear" w:color="auto" w:fill="DEEAEB"/>
          </w:tcPr>
          <w:p>
            <w:pPr>
              <w:spacing w:after="0"/>
              <w:rPr>
                <w:sz w:val="14"/>
                <w:szCs w:val="14"/>
                <w:color w:val="auto"/>
              </w:rPr>
            </w:pPr>
          </w:p>
        </w:tc>
        <w:tc>
          <w:tcPr>
            <w:tcW w:w="120" w:type="dxa"/>
            <w:vAlign w:val="bottom"/>
            <w:tcBorders>
              <w:bottom w:val="single" w:sz="8" w:color="auto"/>
            </w:tcBorders>
            <w:shd w:val="clear" w:color="auto" w:fill="DEEAEB"/>
          </w:tcPr>
          <w:p>
            <w:pPr>
              <w:spacing w:after="0"/>
              <w:rPr>
                <w:sz w:val="14"/>
                <w:szCs w:val="14"/>
                <w:color w:val="auto"/>
              </w:rPr>
            </w:pPr>
          </w:p>
        </w:tc>
        <w:tc>
          <w:tcPr>
            <w:tcW w:w="720" w:type="dxa"/>
            <w:vAlign w:val="bottom"/>
            <w:tcBorders>
              <w:bottom w:val="single" w:sz="8" w:color="auto"/>
            </w:tcBorders>
            <w:shd w:val="clear" w:color="auto" w:fill="DEEAEB"/>
          </w:tcPr>
          <w:p>
            <w:pPr>
              <w:jc w:val="right"/>
              <w:spacing w:after="0" w:line="156" w:lineRule="exact"/>
              <w:rPr>
                <w:sz w:val="20"/>
                <w:szCs w:val="20"/>
                <w:color w:val="auto"/>
              </w:rPr>
            </w:pPr>
            <w:r>
              <w:rPr>
                <w:rFonts w:ascii="Calibri" w:cs="Calibri" w:eastAsia="Calibri" w:hAnsi="Calibri"/>
                <w:sz w:val="14"/>
                <w:szCs w:val="14"/>
                <w:color w:val="auto"/>
              </w:rPr>
              <w:t>43</w:t>
            </w:r>
          </w:p>
        </w:tc>
        <w:tc>
          <w:tcPr>
            <w:tcW w:w="100" w:type="dxa"/>
            <w:vAlign w:val="bottom"/>
            <w:tcBorders>
              <w:bottom w:val="single" w:sz="8" w:color="auto"/>
            </w:tcBorders>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80" w:type="dxa"/>
            <w:vAlign w:val="bottom"/>
            <w:tcBorders>
              <w:right w:val="single" w:sz="8" w:color="007CBA"/>
            </w:tcBorders>
            <w:vMerge w:val="restart"/>
          </w:tcPr>
          <w:p>
            <w:pPr>
              <w:ind w:left="20"/>
              <w:spacing w:after="0"/>
              <w:rPr>
                <w:sz w:val="20"/>
                <w:szCs w:val="20"/>
                <w:color w:val="auto"/>
              </w:rPr>
            </w:pPr>
            <w:r>
              <w:rPr>
                <w:rFonts w:ascii="Calibri" w:cs="Calibri" w:eastAsia="Calibri" w:hAnsi="Calibri"/>
                <w:sz w:val="14"/>
                <w:szCs w:val="14"/>
                <w:color w:val="auto"/>
              </w:rPr>
              <w:t>Balance at December 31, 2022</w:t>
            </w:r>
          </w:p>
        </w:tc>
        <w:tc>
          <w:tcPr>
            <w:tcW w:w="100" w:type="dxa"/>
            <w:vAlign w:val="bottom"/>
            <w:shd w:val="clear" w:color="auto" w:fill="DEEAEB"/>
          </w:tcPr>
          <w:p>
            <w:pPr>
              <w:spacing w:after="0"/>
              <w:rPr>
                <w:sz w:val="14"/>
                <w:szCs w:val="14"/>
                <w:color w:val="auto"/>
              </w:rPr>
            </w:pPr>
          </w:p>
        </w:tc>
        <w:tc>
          <w:tcPr>
            <w:tcW w:w="580" w:type="dxa"/>
            <w:vAlign w:val="bottom"/>
            <w:shd w:val="clear" w:color="auto" w:fill="DEEAEB"/>
          </w:tcPr>
          <w:p>
            <w:pPr>
              <w:jc w:val="right"/>
              <w:spacing w:after="0" w:line="161" w:lineRule="exact"/>
              <w:rPr>
                <w:sz w:val="20"/>
                <w:szCs w:val="20"/>
                <w:color w:val="auto"/>
              </w:rPr>
            </w:pPr>
            <w:r>
              <w:rPr>
                <w:rFonts w:ascii="Calibri" w:cs="Calibri" w:eastAsia="Calibri" w:hAnsi="Calibri"/>
                <w:sz w:val="14"/>
                <w:szCs w:val="14"/>
                <w:color w:val="auto"/>
              </w:rPr>
              <w:t>62,102,3</w:t>
            </w: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7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180" w:type="dxa"/>
            <w:vAlign w:val="bottom"/>
            <w:tcBorders>
              <w:right w:val="single" w:sz="8" w:color="007CBA"/>
            </w:tcBorders>
            <w:vMerge w:val="continue"/>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58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53</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1</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3,489</w:t>
            </w:r>
          </w:p>
        </w:tc>
        <w:tc>
          <w:tcPr>
            <w:tcW w:w="10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920" w:type="dxa"/>
            <w:vAlign w:val="bottom"/>
            <w:tcBorders>
              <w:right w:val="single" w:sz="8" w:color="007CBA"/>
            </w:tcBorders>
            <w:gridSpan w:val="2"/>
            <w:vMerge w:val="restart"/>
            <w:shd w:val="clear" w:color="auto" w:fill="DEEAEB"/>
          </w:tcPr>
          <w:p>
            <w:pPr>
              <w:jc w:val="right"/>
              <w:spacing w:after="0"/>
              <w:rPr>
                <w:sz w:val="20"/>
                <w:szCs w:val="20"/>
                <w:color w:val="auto"/>
              </w:rPr>
            </w:pPr>
            <w:r>
              <w:rPr>
                <w:rFonts w:ascii="Calibri" w:cs="Calibri" w:eastAsia="Calibri" w:hAnsi="Calibri"/>
                <w:sz w:val="14"/>
                <w:szCs w:val="14"/>
                <w:color w:val="auto"/>
              </w:rPr>
              <w:t>(38 )</w:t>
            </w:r>
          </w:p>
        </w:tc>
        <w:tc>
          <w:tcPr>
            <w:tcW w:w="100" w:type="dxa"/>
            <w:vAlign w:val="bottom"/>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3,719</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7,171</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2</w:t>
            </w:r>
          </w:p>
        </w:tc>
        <w:tc>
          <w:tcPr>
            <w:tcW w:w="10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72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7,173</w:t>
            </w:r>
          </w:p>
        </w:tc>
        <w:tc>
          <w:tcPr>
            <w:tcW w:w="100" w:type="dxa"/>
            <w:vAlign w:val="bottom"/>
            <w:shd w:val="clear" w:color="auto" w:fill="DEEAEB"/>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80" w:type="dxa"/>
            <w:vAlign w:val="bottom"/>
            <w:tcBorders>
              <w:right w:val="single" w:sz="8" w:color="007CBA"/>
            </w:tcBorders>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58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0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920" w:type="dxa"/>
            <w:vAlign w:val="bottom"/>
            <w:tcBorders>
              <w:right w:val="single" w:sz="8" w:color="007CBA"/>
            </w:tcBorders>
            <w:gridSpan w:val="2"/>
            <w:vMerge w:val="continue"/>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0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720" w:type="dxa"/>
            <w:vAlign w:val="bottom"/>
            <w:vMerge w:val="continue"/>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Consolidated net earnings</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820" w:type="dxa"/>
            <w:vAlign w:val="bottom"/>
            <w:tcBorders>
              <w:right w:val="single" w:sz="8" w:color="007CBA"/>
            </w:tcBorders>
            <w:gridSpan w:val="2"/>
            <w:shd w:val="clear" w:color="auto" w:fill="DEEAEB"/>
          </w:tcPr>
          <w:p>
            <w:pPr>
              <w:jc w:val="right"/>
              <w:ind w:right="1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80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92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1,169</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1,169</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1,170</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Other comprehensive loss</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(11</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(11</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(11</w:t>
            </w:r>
          </w:p>
        </w:tc>
        <w:tc>
          <w:tcPr>
            <w:tcW w:w="100" w:type="dxa"/>
            <w:vAlign w:val="bottom"/>
            <w:shd w:val="clear" w:color="auto" w:fill="DEEAEB"/>
          </w:tcPr>
          <w:p>
            <w:pPr>
              <w:jc w:val="right"/>
              <w:ind w:right="7"/>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76"/>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Dividends declared ($2.80 per common share)</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(174</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(174</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(174</w:t>
            </w:r>
          </w:p>
        </w:tc>
        <w:tc>
          <w:tcPr>
            <w:tcW w:w="100" w:type="dxa"/>
            <w:vAlign w:val="bottom"/>
            <w:shd w:val="clear" w:color="auto" w:fill="DEEAEB"/>
          </w:tcPr>
          <w:p>
            <w:pPr>
              <w:jc w:val="right"/>
              <w:ind w:right="7"/>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Issuances of common stock for stock award</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plans</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100,588</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Shares withheld for employees’ income tax</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obligatons</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(22</w:t>
            </w:r>
          </w:p>
        </w:tc>
        <w:tc>
          <w:tcPr>
            <w:tcW w:w="10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(22</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(22</w:t>
            </w:r>
          </w:p>
        </w:tc>
        <w:tc>
          <w:tcPr>
            <w:tcW w:w="100" w:type="dxa"/>
            <w:vAlign w:val="bottom"/>
            <w:shd w:val="clear" w:color="auto" w:fill="DEEAEB"/>
          </w:tcPr>
          <w:p>
            <w:pPr>
              <w:jc w:val="right"/>
              <w:ind w:right="7"/>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Repurchases of common stock</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(381,520</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(151</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(151</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(151</w:t>
            </w:r>
          </w:p>
        </w:tc>
        <w:tc>
          <w:tcPr>
            <w:tcW w:w="100" w:type="dxa"/>
            <w:vAlign w:val="bottom"/>
            <w:shd w:val="clear" w:color="auto" w:fill="DEEAEB"/>
          </w:tcPr>
          <w:p>
            <w:pPr>
              <w:jc w:val="right"/>
              <w:ind w:right="7"/>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Stock-based compensaton expense</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50</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50</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50</w:t>
            </w: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Distributon to owners of noncontrolling</w:t>
            </w:r>
          </w:p>
        </w:tc>
        <w:tc>
          <w:tcPr>
            <w:tcW w:w="100" w:type="dxa"/>
            <w:vAlign w:val="bottom"/>
            <w:shd w:val="clear" w:color="auto" w:fill="DEEAEB"/>
          </w:tcPr>
          <w:p>
            <w:pPr>
              <w:spacing w:after="0"/>
              <w:rPr>
                <w:sz w:val="15"/>
                <w:szCs w:val="15"/>
                <w:color w:val="auto"/>
              </w:rPr>
            </w:pPr>
          </w:p>
        </w:tc>
        <w:tc>
          <w:tcPr>
            <w:tcW w:w="58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spacing w:after="0"/>
              <w:rPr>
                <w:sz w:val="15"/>
                <w:szCs w:val="15"/>
                <w:color w:val="auto"/>
              </w:rPr>
            </w:pPr>
          </w:p>
        </w:tc>
        <w:tc>
          <w:tcPr>
            <w:tcW w:w="10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2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right w:val="single" w:sz="8" w:color="007CBA"/>
            </w:tcBorders>
          </w:tcPr>
          <w:p>
            <w:pPr>
              <w:ind w:left="160"/>
              <w:spacing w:after="0"/>
              <w:rPr>
                <w:sz w:val="20"/>
                <w:szCs w:val="20"/>
                <w:color w:val="auto"/>
              </w:rPr>
            </w:pPr>
            <w:r>
              <w:rPr>
                <w:rFonts w:ascii="Calibri" w:cs="Calibri" w:eastAsia="Calibri" w:hAnsi="Calibri"/>
                <w:sz w:val="14"/>
                <w:szCs w:val="14"/>
                <w:color w:val="auto"/>
              </w:rPr>
              <w:t>interest</w:t>
            </w:r>
          </w:p>
        </w:tc>
        <w:tc>
          <w:tcPr>
            <w:tcW w:w="100" w:type="dxa"/>
            <w:vAlign w:val="bottom"/>
            <w:tcBorders>
              <w:bottom w:val="single" w:sz="8" w:color="auto"/>
            </w:tcBorders>
            <w:shd w:val="clear" w:color="auto" w:fill="DEEAEB"/>
          </w:tcPr>
          <w:p>
            <w:pPr>
              <w:spacing w:after="0"/>
              <w:rPr>
                <w:sz w:val="16"/>
                <w:szCs w:val="16"/>
                <w:color w:val="auto"/>
              </w:rPr>
            </w:pPr>
          </w:p>
        </w:tc>
        <w:tc>
          <w:tcPr>
            <w:tcW w:w="580" w:type="dxa"/>
            <w:vAlign w:val="bottom"/>
            <w:tcBorders>
              <w:bottom w:val="single" w:sz="8" w:color="auto"/>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auto"/>
              <w:right w:val="single" w:sz="8" w:color="007CBA"/>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auto"/>
              <w:right w:val="single" w:sz="8" w:color="007CBA"/>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auto"/>
              <w:right w:val="single" w:sz="8" w:color="007CBA"/>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120" w:type="dxa"/>
            <w:vAlign w:val="bottom"/>
            <w:tcBorders>
              <w:bottom w:val="single" w:sz="8" w:color="auto"/>
            </w:tcBorders>
            <w:shd w:val="clear" w:color="auto" w:fill="DEEAEB"/>
          </w:tcPr>
          <w:p>
            <w:pPr>
              <w:spacing w:after="0"/>
              <w:rPr>
                <w:sz w:val="16"/>
                <w:szCs w:val="16"/>
                <w:color w:val="auto"/>
              </w:rPr>
            </w:pPr>
          </w:p>
        </w:tc>
        <w:tc>
          <w:tcPr>
            <w:tcW w:w="800" w:type="dxa"/>
            <w:vAlign w:val="bottom"/>
            <w:tcBorders>
              <w:bottom w:val="single" w:sz="8" w:color="auto"/>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auto"/>
              <w:right w:val="single" w:sz="8" w:color="007CBA"/>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auto"/>
              <w:right w:val="single" w:sz="8" w:color="007CBA"/>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auto"/>
              <w:right w:val="single" w:sz="8" w:color="007CBA"/>
            </w:tcBorders>
            <w:shd w:val="clear" w:color="auto" w:fill="DEEAEB"/>
          </w:tcPr>
          <w:p>
            <w:pPr>
              <w:spacing w:after="0"/>
              <w:rPr>
                <w:sz w:val="16"/>
                <w:szCs w:val="16"/>
                <w:color w:val="auto"/>
              </w:rPr>
            </w:pPr>
          </w:p>
        </w:tc>
        <w:tc>
          <w:tcPr>
            <w:tcW w:w="100" w:type="dxa"/>
            <w:vAlign w:val="bottom"/>
            <w:tcBorders>
              <w:bottom w:val="single" w:sz="8" w:color="auto"/>
            </w:tcBorders>
            <w:shd w:val="clear" w:color="auto" w:fill="DEEAEB"/>
          </w:tcPr>
          <w:p>
            <w:pPr>
              <w:spacing w:after="0"/>
              <w:rPr>
                <w:sz w:val="16"/>
                <w:szCs w:val="16"/>
                <w:color w:val="auto"/>
              </w:rPr>
            </w:pPr>
          </w:p>
        </w:tc>
        <w:tc>
          <w:tcPr>
            <w:tcW w:w="120" w:type="dxa"/>
            <w:vAlign w:val="bottom"/>
            <w:tcBorders>
              <w:bottom w:val="single" w:sz="8" w:color="auto"/>
            </w:tcBorders>
            <w:shd w:val="clear" w:color="auto" w:fill="DEEAEB"/>
          </w:tcPr>
          <w:p>
            <w:pPr>
              <w:spacing w:after="0"/>
              <w:rPr>
                <w:sz w:val="16"/>
                <w:szCs w:val="16"/>
                <w:color w:val="auto"/>
              </w:rPr>
            </w:pPr>
          </w:p>
        </w:tc>
        <w:tc>
          <w:tcPr>
            <w:tcW w:w="700" w:type="dxa"/>
            <w:vAlign w:val="bottom"/>
            <w:tcBorders>
              <w:bottom w:val="single" w:sz="8" w:color="auto"/>
            </w:tcBorders>
            <w:shd w:val="clear" w:color="auto" w:fill="DEEAEB"/>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tcBorders>
              <w:bottom w:val="single" w:sz="8" w:color="auto"/>
              <w:right w:val="single" w:sz="8" w:color="007CBA"/>
            </w:tcBorders>
            <w:shd w:val="clear" w:color="auto" w:fill="DEEAEB"/>
          </w:tcPr>
          <w:p>
            <w:pPr>
              <w:jc w:val="right"/>
              <w:ind w:right="14"/>
              <w:spacing w:after="0"/>
              <w:rPr>
                <w:sz w:val="20"/>
                <w:szCs w:val="20"/>
                <w:color w:val="auto"/>
              </w:rPr>
            </w:pPr>
            <w:r>
              <w:rPr>
                <w:rFonts w:ascii="Calibri" w:cs="Calibri" w:eastAsia="Calibri" w:hAnsi="Calibri"/>
                <w:sz w:val="9"/>
                <w:szCs w:val="9"/>
                <w:color w:val="auto"/>
                <w:w w:val="71"/>
              </w:rPr>
              <w:t>)</w:t>
            </w:r>
          </w:p>
        </w:tc>
        <w:tc>
          <w:tcPr>
            <w:tcW w:w="100" w:type="dxa"/>
            <w:vAlign w:val="bottom"/>
            <w:tcBorders>
              <w:bottom w:val="single" w:sz="8" w:color="auto"/>
            </w:tcBorders>
            <w:shd w:val="clear" w:color="auto" w:fill="DEEAEB"/>
          </w:tcPr>
          <w:p>
            <w:pPr>
              <w:spacing w:after="0"/>
              <w:rPr>
                <w:sz w:val="16"/>
                <w:szCs w:val="16"/>
                <w:color w:val="auto"/>
              </w:rPr>
            </w:pPr>
          </w:p>
        </w:tc>
        <w:tc>
          <w:tcPr>
            <w:tcW w:w="120" w:type="dxa"/>
            <w:vAlign w:val="bottom"/>
            <w:tcBorders>
              <w:bottom w:val="single" w:sz="8" w:color="auto"/>
            </w:tcBorders>
            <w:shd w:val="clear" w:color="auto" w:fill="DEEAEB"/>
          </w:tcPr>
          <w:p>
            <w:pPr>
              <w:spacing w:after="0"/>
              <w:rPr>
                <w:sz w:val="16"/>
                <w:szCs w:val="16"/>
                <w:color w:val="auto"/>
              </w:rPr>
            </w:pPr>
          </w:p>
        </w:tc>
        <w:tc>
          <w:tcPr>
            <w:tcW w:w="720" w:type="dxa"/>
            <w:vAlign w:val="bottom"/>
            <w:tcBorders>
              <w:bottom w:val="single" w:sz="8" w:color="auto"/>
            </w:tcBorders>
            <w:shd w:val="clear" w:color="auto" w:fill="DEEAEB"/>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tcBorders>
              <w:bottom w:val="single" w:sz="8" w:color="auto"/>
            </w:tcBorders>
            <w:shd w:val="clear" w:color="auto" w:fill="DEEAEB"/>
          </w:tcPr>
          <w:p>
            <w:pPr>
              <w:jc w:val="right"/>
              <w:ind w:right="7"/>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61"/>
        </w:trPr>
        <w:tc>
          <w:tcPr>
            <w:tcW w:w="3180" w:type="dxa"/>
            <w:vAlign w:val="bottom"/>
            <w:vMerge w:val="restart"/>
          </w:tcPr>
          <w:p>
            <w:pPr>
              <w:ind w:left="20"/>
              <w:spacing w:after="0"/>
              <w:rPr>
                <w:sz w:val="20"/>
                <w:szCs w:val="20"/>
                <w:color w:val="auto"/>
              </w:rPr>
            </w:pPr>
            <w:r>
              <w:rPr>
                <w:rFonts w:ascii="Calibri" w:cs="Calibri" w:eastAsia="Calibri" w:hAnsi="Calibri"/>
                <w:sz w:val="14"/>
                <w:szCs w:val="14"/>
                <w:color w:val="auto"/>
              </w:rPr>
              <w:t>Balance at December 31, 2023</w:t>
            </w:r>
          </w:p>
        </w:tc>
        <w:tc>
          <w:tcPr>
            <w:tcW w:w="100" w:type="dxa"/>
            <w:vAlign w:val="bottom"/>
            <w:shd w:val="clear" w:color="auto" w:fill="B6D2E2"/>
          </w:tcPr>
          <w:p>
            <w:pPr>
              <w:spacing w:after="0"/>
              <w:rPr>
                <w:sz w:val="14"/>
                <w:szCs w:val="14"/>
                <w:color w:val="auto"/>
              </w:rPr>
            </w:pPr>
          </w:p>
        </w:tc>
        <w:tc>
          <w:tcPr>
            <w:tcW w:w="580" w:type="dxa"/>
            <w:vAlign w:val="bottom"/>
            <w:shd w:val="clear" w:color="auto" w:fill="B6D2E2"/>
          </w:tcPr>
          <w:p>
            <w:pPr>
              <w:jc w:val="right"/>
              <w:spacing w:after="0" w:line="161" w:lineRule="exact"/>
              <w:rPr>
                <w:sz w:val="20"/>
                <w:szCs w:val="20"/>
                <w:color w:val="auto"/>
              </w:rPr>
            </w:pPr>
            <w:r>
              <w:rPr>
                <w:rFonts w:ascii="Calibri" w:cs="Calibri" w:eastAsia="Calibri" w:hAnsi="Calibri"/>
                <w:sz w:val="14"/>
                <w:szCs w:val="14"/>
                <w:color w:val="auto"/>
              </w:rPr>
              <w:t>61,821,4</w:t>
            </w: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0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0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0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180" w:type="dxa"/>
            <w:vAlign w:val="bottom"/>
            <w:vMerge w:val="continue"/>
          </w:tcPr>
          <w:p>
            <w:pPr>
              <w:spacing w:after="0"/>
              <w:rPr>
                <w:sz w:val="6"/>
                <w:szCs w:val="6"/>
                <w:color w:val="auto"/>
              </w:rPr>
            </w:pPr>
          </w:p>
        </w:tc>
        <w:tc>
          <w:tcPr>
            <w:tcW w:w="680" w:type="dxa"/>
            <w:vAlign w:val="bottom"/>
            <w:gridSpan w:val="2"/>
            <w:vMerge w:val="restart"/>
            <w:shd w:val="clear" w:color="auto" w:fill="B6D2E2"/>
          </w:tcPr>
          <w:p>
            <w:pPr>
              <w:jc w:val="right"/>
              <w:spacing w:after="0"/>
              <w:rPr>
                <w:sz w:val="20"/>
                <w:szCs w:val="20"/>
                <w:color w:val="auto"/>
              </w:rPr>
            </w:pPr>
            <w:r>
              <w:rPr>
                <w:rFonts w:ascii="Calibri" w:cs="Calibri" w:eastAsia="Calibri" w:hAnsi="Calibri"/>
                <w:sz w:val="14"/>
                <w:szCs w:val="14"/>
                <w:color w:val="auto"/>
              </w:rPr>
              <w:t>21</w:t>
            </w:r>
          </w:p>
        </w:tc>
        <w:tc>
          <w:tcPr>
            <w:tcW w:w="12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1</w:t>
            </w:r>
          </w:p>
        </w:tc>
        <w:tc>
          <w:tcPr>
            <w:tcW w:w="12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3,519</w:t>
            </w:r>
          </w:p>
        </w:tc>
        <w:tc>
          <w:tcPr>
            <w:tcW w:w="10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920" w:type="dxa"/>
            <w:vAlign w:val="bottom"/>
            <w:tcBorders>
              <w:right w:val="single" w:sz="8" w:color="B6D2E2"/>
            </w:tcBorders>
            <w:gridSpan w:val="2"/>
            <w:vMerge w:val="restart"/>
            <w:shd w:val="clear" w:color="auto" w:fill="B6D2E2"/>
          </w:tcPr>
          <w:p>
            <w:pPr>
              <w:jc w:val="right"/>
              <w:spacing w:after="0"/>
              <w:rPr>
                <w:sz w:val="20"/>
                <w:szCs w:val="20"/>
                <w:color w:val="auto"/>
              </w:rPr>
            </w:pPr>
            <w:r>
              <w:rPr>
                <w:rFonts w:ascii="Calibri" w:cs="Calibri" w:eastAsia="Calibri" w:hAnsi="Calibri"/>
                <w:sz w:val="14"/>
                <w:szCs w:val="14"/>
                <w:color w:val="auto"/>
              </w:rPr>
              <w:t>(49 )</w:t>
            </w:r>
          </w:p>
        </w:tc>
        <w:tc>
          <w:tcPr>
            <w:tcW w:w="100" w:type="dxa"/>
            <w:vAlign w:val="bottom"/>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4,563</w:t>
            </w:r>
          </w:p>
        </w:tc>
        <w:tc>
          <w:tcPr>
            <w:tcW w:w="12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8,034</w:t>
            </w:r>
          </w:p>
        </w:tc>
        <w:tc>
          <w:tcPr>
            <w:tcW w:w="12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2</w:t>
            </w:r>
          </w:p>
        </w:tc>
        <w:tc>
          <w:tcPr>
            <w:tcW w:w="10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72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8,036</w:t>
            </w:r>
          </w:p>
        </w:tc>
        <w:tc>
          <w:tcPr>
            <w:tcW w:w="100" w:type="dxa"/>
            <w:vAlign w:val="bottom"/>
            <w:shd w:val="clear" w:color="auto" w:fill="B6D2E2"/>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680" w:type="dxa"/>
            <w:vAlign w:val="bottom"/>
            <w:tcBorders>
              <w:bottom w:val="single" w:sz="8" w:color="B6D2E2"/>
            </w:tcBorders>
            <w:gridSpan w:val="2"/>
            <w:vMerge w:val="continue"/>
            <w:shd w:val="clear" w:color="auto" w:fill="B6D2E2"/>
          </w:tcPr>
          <w:p>
            <w:pPr>
              <w:spacing w:after="0"/>
              <w:rPr>
                <w:sz w:val="8"/>
                <w:szCs w:val="8"/>
                <w:color w:val="auto"/>
              </w:rPr>
            </w:pPr>
          </w:p>
        </w:tc>
        <w:tc>
          <w:tcPr>
            <w:tcW w:w="120" w:type="dxa"/>
            <w:vAlign w:val="bottom"/>
            <w:tcBorders>
              <w:bottom w:val="single" w:sz="8" w:color="B6D2E2"/>
              <w:right w:val="single" w:sz="8" w:color="B6D2E2"/>
            </w:tcBorders>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700" w:type="dxa"/>
            <w:vAlign w:val="bottom"/>
            <w:tcBorders>
              <w:bottom w:val="single" w:sz="8" w:color="B6D2E2"/>
            </w:tcBorders>
            <w:vMerge w:val="continue"/>
            <w:shd w:val="clear" w:color="auto" w:fill="B6D2E2"/>
          </w:tcPr>
          <w:p>
            <w:pPr>
              <w:spacing w:after="0"/>
              <w:rPr>
                <w:sz w:val="8"/>
                <w:szCs w:val="8"/>
                <w:color w:val="auto"/>
              </w:rPr>
            </w:pPr>
          </w:p>
        </w:tc>
        <w:tc>
          <w:tcPr>
            <w:tcW w:w="120" w:type="dxa"/>
            <w:vAlign w:val="bottom"/>
            <w:tcBorders>
              <w:bottom w:val="single" w:sz="8" w:color="B6D2E2"/>
              <w:right w:val="single" w:sz="8" w:color="B6D2E2"/>
            </w:tcBorders>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700" w:type="dxa"/>
            <w:vAlign w:val="bottom"/>
            <w:tcBorders>
              <w:bottom w:val="single" w:sz="8" w:color="B6D2E2"/>
            </w:tcBorders>
            <w:vMerge w:val="continue"/>
            <w:shd w:val="clear" w:color="auto" w:fill="B6D2E2"/>
          </w:tcPr>
          <w:p>
            <w:pPr>
              <w:spacing w:after="0"/>
              <w:rPr>
                <w:sz w:val="8"/>
                <w:szCs w:val="8"/>
                <w:color w:val="auto"/>
              </w:rPr>
            </w:pPr>
          </w:p>
        </w:tc>
        <w:tc>
          <w:tcPr>
            <w:tcW w:w="100" w:type="dxa"/>
            <w:vAlign w:val="bottom"/>
            <w:tcBorders>
              <w:bottom w:val="single" w:sz="8" w:color="B6D2E2"/>
              <w:right w:val="single" w:sz="8" w:color="B6D2E2"/>
            </w:tcBorders>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120" w:type="dxa"/>
            <w:vAlign w:val="bottom"/>
            <w:tcBorders>
              <w:bottom w:val="single" w:sz="8" w:color="B6D2E2"/>
            </w:tcBorders>
            <w:shd w:val="clear" w:color="auto" w:fill="B6D2E2"/>
          </w:tcPr>
          <w:p>
            <w:pPr>
              <w:spacing w:after="0"/>
              <w:rPr>
                <w:sz w:val="8"/>
                <w:szCs w:val="8"/>
                <w:color w:val="auto"/>
              </w:rPr>
            </w:pPr>
          </w:p>
        </w:tc>
        <w:tc>
          <w:tcPr>
            <w:tcW w:w="920" w:type="dxa"/>
            <w:vAlign w:val="bottom"/>
            <w:tcBorders>
              <w:bottom w:val="single" w:sz="8" w:color="B6D2E2"/>
              <w:right w:val="single" w:sz="8" w:color="B6D2E2"/>
            </w:tcBorders>
            <w:gridSpan w:val="2"/>
            <w:vMerge w:val="continue"/>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700" w:type="dxa"/>
            <w:vAlign w:val="bottom"/>
            <w:tcBorders>
              <w:bottom w:val="single" w:sz="8" w:color="B6D2E2"/>
            </w:tcBorders>
            <w:vMerge w:val="continue"/>
            <w:shd w:val="clear" w:color="auto" w:fill="B6D2E2"/>
          </w:tcPr>
          <w:p>
            <w:pPr>
              <w:spacing w:after="0"/>
              <w:rPr>
                <w:sz w:val="8"/>
                <w:szCs w:val="8"/>
                <w:color w:val="auto"/>
              </w:rPr>
            </w:pPr>
          </w:p>
        </w:tc>
        <w:tc>
          <w:tcPr>
            <w:tcW w:w="120" w:type="dxa"/>
            <w:vAlign w:val="bottom"/>
            <w:tcBorders>
              <w:bottom w:val="single" w:sz="8" w:color="B6D2E2"/>
              <w:right w:val="single" w:sz="8" w:color="B6D2E2"/>
            </w:tcBorders>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700" w:type="dxa"/>
            <w:vAlign w:val="bottom"/>
            <w:tcBorders>
              <w:bottom w:val="single" w:sz="8" w:color="B6D2E2"/>
            </w:tcBorders>
            <w:vMerge w:val="continue"/>
            <w:shd w:val="clear" w:color="auto" w:fill="B6D2E2"/>
          </w:tcPr>
          <w:p>
            <w:pPr>
              <w:spacing w:after="0"/>
              <w:rPr>
                <w:sz w:val="8"/>
                <w:szCs w:val="8"/>
                <w:color w:val="auto"/>
              </w:rPr>
            </w:pPr>
          </w:p>
        </w:tc>
        <w:tc>
          <w:tcPr>
            <w:tcW w:w="120" w:type="dxa"/>
            <w:vAlign w:val="bottom"/>
            <w:tcBorders>
              <w:bottom w:val="single" w:sz="8" w:color="B6D2E2"/>
              <w:right w:val="single" w:sz="8" w:color="B6D2E2"/>
            </w:tcBorders>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120" w:type="dxa"/>
            <w:vAlign w:val="bottom"/>
            <w:tcBorders>
              <w:bottom w:val="single" w:sz="8" w:color="B6D2E2"/>
            </w:tcBorders>
            <w:shd w:val="clear" w:color="auto" w:fill="B6D2E2"/>
          </w:tcPr>
          <w:p>
            <w:pPr>
              <w:spacing w:after="0"/>
              <w:rPr>
                <w:sz w:val="8"/>
                <w:szCs w:val="8"/>
                <w:color w:val="auto"/>
              </w:rPr>
            </w:pPr>
          </w:p>
        </w:tc>
        <w:tc>
          <w:tcPr>
            <w:tcW w:w="700" w:type="dxa"/>
            <w:vAlign w:val="bottom"/>
            <w:tcBorders>
              <w:bottom w:val="single" w:sz="8" w:color="B6D2E2"/>
            </w:tcBorders>
            <w:vMerge w:val="continue"/>
            <w:shd w:val="clear" w:color="auto" w:fill="B6D2E2"/>
          </w:tcPr>
          <w:p>
            <w:pPr>
              <w:spacing w:after="0"/>
              <w:rPr>
                <w:sz w:val="8"/>
                <w:szCs w:val="8"/>
                <w:color w:val="auto"/>
              </w:rPr>
            </w:pPr>
          </w:p>
        </w:tc>
        <w:tc>
          <w:tcPr>
            <w:tcW w:w="100" w:type="dxa"/>
            <w:vAlign w:val="bottom"/>
            <w:tcBorders>
              <w:bottom w:val="single" w:sz="8" w:color="B6D2E2"/>
              <w:right w:val="single" w:sz="8" w:color="B6D2E2"/>
            </w:tcBorders>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120" w:type="dxa"/>
            <w:vAlign w:val="bottom"/>
            <w:tcBorders>
              <w:bottom w:val="single" w:sz="8" w:color="B6D2E2"/>
            </w:tcBorders>
            <w:shd w:val="clear" w:color="auto" w:fill="B6D2E2"/>
          </w:tcPr>
          <w:p>
            <w:pPr>
              <w:spacing w:after="0"/>
              <w:rPr>
                <w:sz w:val="8"/>
                <w:szCs w:val="8"/>
                <w:color w:val="auto"/>
              </w:rPr>
            </w:pPr>
          </w:p>
        </w:tc>
        <w:tc>
          <w:tcPr>
            <w:tcW w:w="720" w:type="dxa"/>
            <w:vAlign w:val="bottom"/>
            <w:tcBorders>
              <w:bottom w:val="single" w:sz="8" w:color="B6D2E2"/>
            </w:tcBorders>
            <w:vMerge w:val="continue"/>
            <w:shd w:val="clear" w:color="auto" w:fill="B6D2E2"/>
          </w:tcPr>
          <w:p>
            <w:pPr>
              <w:spacing w:after="0"/>
              <w:rPr>
                <w:sz w:val="8"/>
                <w:szCs w:val="8"/>
                <w:color w:val="auto"/>
              </w:rPr>
            </w:pPr>
          </w:p>
        </w:tc>
        <w:tc>
          <w:tcPr>
            <w:tcW w:w="100" w:type="dxa"/>
            <w:vAlign w:val="bottom"/>
            <w:tcBorders>
              <w:bottom w:val="single" w:sz="8" w:color="B6D2E2"/>
            </w:tcBorders>
            <w:shd w:val="clear" w:color="auto" w:fill="B6D2E2"/>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180" w:type="dxa"/>
            <w:vAlign w:val="bottom"/>
            <w:tcBorders>
              <w:right w:val="single" w:sz="8" w:color="007CBA"/>
            </w:tcBorders>
          </w:tcPr>
          <w:p>
            <w:pPr>
              <w:ind w:left="160"/>
              <w:spacing w:after="0" w:line="156" w:lineRule="exact"/>
              <w:rPr>
                <w:sz w:val="20"/>
                <w:szCs w:val="20"/>
                <w:color w:val="auto"/>
              </w:rPr>
            </w:pPr>
            <w:r>
              <w:rPr>
                <w:rFonts w:ascii="Calibri" w:cs="Calibri" w:eastAsia="Calibri" w:hAnsi="Calibri"/>
                <w:sz w:val="14"/>
                <w:szCs w:val="14"/>
                <w:b w:val="1"/>
                <w:bCs w:val="1"/>
                <w:color w:val="auto"/>
              </w:rPr>
              <w:t>Consolidated net earnings</w:t>
            </w:r>
          </w:p>
        </w:tc>
        <w:tc>
          <w:tcPr>
            <w:tcW w:w="100" w:type="dxa"/>
            <w:vAlign w:val="bottom"/>
            <w:shd w:val="clear" w:color="auto" w:fill="B6D2E2"/>
          </w:tcPr>
          <w:p>
            <w:pPr>
              <w:spacing w:after="0"/>
              <w:rPr>
                <w:sz w:val="14"/>
                <w:szCs w:val="14"/>
                <w:color w:val="auto"/>
              </w:rPr>
            </w:pPr>
          </w:p>
        </w:tc>
        <w:tc>
          <w:tcPr>
            <w:tcW w:w="700" w:type="dxa"/>
            <w:vAlign w:val="bottom"/>
            <w:tcBorders>
              <w:right w:val="single" w:sz="8" w:color="007CBA"/>
            </w:tcBorders>
            <w:gridSpan w:val="2"/>
            <w:shd w:val="clear" w:color="auto" w:fill="B6D2E2"/>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20" w:type="dxa"/>
            <w:vAlign w:val="bottom"/>
            <w:tcBorders>
              <w:right w:val="single" w:sz="8" w:color="007CBA"/>
            </w:tcBorders>
            <w:gridSpan w:val="2"/>
            <w:shd w:val="clear" w:color="auto" w:fill="B6D2E2"/>
          </w:tcPr>
          <w:p>
            <w:pPr>
              <w:jc w:val="right"/>
              <w:ind w:right="140"/>
              <w:spacing w:after="0"/>
              <w:rPr>
                <w:sz w:val="20"/>
                <w:szCs w:val="20"/>
                <w:color w:val="auto"/>
              </w:rPr>
            </w:pPr>
            <w:r>
              <w:rPr>
                <w:rFonts w:ascii="Calibri" w:cs="Calibri" w:eastAsia="Calibri" w:hAnsi="Calibri"/>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00" w:type="dxa"/>
            <w:vAlign w:val="bottom"/>
            <w:tcBorders>
              <w:right w:val="single" w:sz="8" w:color="007CBA"/>
            </w:tcBorders>
            <w:gridSpan w:val="2"/>
            <w:shd w:val="clear" w:color="auto" w:fill="B6D2E2"/>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920" w:type="dxa"/>
            <w:vAlign w:val="bottom"/>
            <w:tcBorders>
              <w:right w:val="single" w:sz="8" w:color="007CBA"/>
            </w:tcBorders>
            <w:gridSpan w:val="2"/>
            <w:shd w:val="clear" w:color="auto" w:fill="B6D2E2"/>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line="156" w:lineRule="exact"/>
              <w:rPr>
                <w:sz w:val="20"/>
                <w:szCs w:val="20"/>
                <w:color w:val="auto"/>
              </w:rPr>
            </w:pPr>
            <w:r>
              <w:rPr>
                <w:rFonts w:ascii="Calibri" w:cs="Calibri" w:eastAsia="Calibri" w:hAnsi="Calibri"/>
                <w:sz w:val="14"/>
                <w:szCs w:val="14"/>
                <w:b w:val="1"/>
                <w:bCs w:val="1"/>
                <w:color w:val="auto"/>
              </w:rPr>
              <w:t>1,995</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line="156" w:lineRule="exact"/>
              <w:rPr>
                <w:sz w:val="20"/>
                <w:szCs w:val="20"/>
                <w:color w:val="auto"/>
              </w:rPr>
            </w:pPr>
            <w:r>
              <w:rPr>
                <w:rFonts w:ascii="Calibri" w:cs="Calibri" w:eastAsia="Calibri" w:hAnsi="Calibri"/>
                <w:sz w:val="14"/>
                <w:szCs w:val="14"/>
                <w:b w:val="1"/>
                <w:bCs w:val="1"/>
                <w:color w:val="auto"/>
              </w:rPr>
              <w:t>1,995</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line="156" w:lineRule="exact"/>
              <w:rPr>
                <w:sz w:val="20"/>
                <w:szCs w:val="20"/>
                <w:color w:val="auto"/>
              </w:rPr>
            </w:pPr>
            <w:r>
              <w:rPr>
                <w:rFonts w:ascii="Calibri" w:cs="Calibri" w:eastAsia="Calibri" w:hAnsi="Calibri"/>
                <w:sz w:val="14"/>
                <w:szCs w:val="14"/>
                <w:b w:val="1"/>
                <w:bCs w:val="1"/>
                <w:color w:val="auto"/>
              </w:rPr>
              <w:t>1</w:t>
            </w: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line="156" w:lineRule="exact"/>
              <w:rPr>
                <w:sz w:val="20"/>
                <w:szCs w:val="20"/>
                <w:color w:val="auto"/>
              </w:rPr>
            </w:pPr>
            <w:r>
              <w:rPr>
                <w:rFonts w:ascii="Calibri" w:cs="Calibri" w:eastAsia="Calibri" w:hAnsi="Calibri"/>
                <w:sz w:val="14"/>
                <w:szCs w:val="14"/>
                <w:b w:val="1"/>
                <w:bCs w:val="1"/>
                <w:color w:val="auto"/>
              </w:rPr>
              <w:t>1,996</w:t>
            </w:r>
          </w:p>
        </w:tc>
        <w:tc>
          <w:tcPr>
            <w:tcW w:w="100" w:type="dxa"/>
            <w:vAlign w:val="bottom"/>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Other comprehensive earnings</w:t>
            </w:r>
          </w:p>
        </w:tc>
        <w:tc>
          <w:tcPr>
            <w:tcW w:w="100" w:type="dxa"/>
            <w:vAlign w:val="bottom"/>
            <w:shd w:val="clear" w:color="auto" w:fill="B6D2E2"/>
          </w:tcPr>
          <w:p>
            <w:pPr>
              <w:spacing w:after="0"/>
              <w:rPr>
                <w:sz w:val="14"/>
                <w:szCs w:val="14"/>
                <w:color w:val="auto"/>
              </w:rPr>
            </w:pPr>
          </w:p>
        </w:tc>
        <w:tc>
          <w:tcPr>
            <w:tcW w:w="5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20" w:type="dxa"/>
            <w:vAlign w:val="bottom"/>
            <w:tcBorders>
              <w:right w:val="single" w:sz="8" w:color="007CBA"/>
            </w:tcBorders>
            <w:gridSpan w:val="2"/>
            <w:shd w:val="clear" w:color="auto" w:fill="B6D2E2"/>
          </w:tcPr>
          <w:p>
            <w:pPr>
              <w:jc w:val="right"/>
              <w:ind w:right="140"/>
              <w:spacing w:after="0"/>
              <w:rPr>
                <w:sz w:val="20"/>
                <w:szCs w:val="20"/>
                <w:color w:val="auto"/>
              </w:rPr>
            </w:pPr>
            <w:r>
              <w:rPr>
                <w:rFonts w:ascii="Calibri" w:cs="Calibri" w:eastAsia="Calibri" w:hAnsi="Calibri"/>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00" w:type="dxa"/>
            <w:vAlign w:val="bottom"/>
            <w:tcBorders>
              <w:right w:val="single" w:sz="8" w:color="007CBA"/>
            </w:tcBorders>
            <w:gridSpan w:val="2"/>
            <w:shd w:val="clear" w:color="auto" w:fill="B6D2E2"/>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36</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820" w:type="dxa"/>
            <w:vAlign w:val="bottom"/>
            <w:tcBorders>
              <w:right w:val="single" w:sz="8" w:color="007CBA"/>
            </w:tcBorders>
            <w:gridSpan w:val="2"/>
            <w:shd w:val="clear" w:color="auto" w:fill="B6D2E2"/>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36</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00" w:type="dxa"/>
            <w:vAlign w:val="bottom"/>
            <w:tcBorders>
              <w:right w:val="single" w:sz="8" w:color="007CBA"/>
            </w:tcBorders>
            <w:gridSpan w:val="2"/>
            <w:shd w:val="clear" w:color="auto" w:fill="B6D2E2"/>
          </w:tcPr>
          <w:p>
            <w:pPr>
              <w:jc w:val="right"/>
              <w:ind w:right="94"/>
              <w:spacing w:after="0"/>
              <w:rPr>
                <w:sz w:val="20"/>
                <w:szCs w:val="20"/>
                <w:color w:val="auto"/>
              </w:rPr>
            </w:pPr>
            <w:r>
              <w:rPr>
                <w:rFonts w:ascii="Calibri" w:cs="Calibri" w:eastAsia="Calibri" w:hAnsi="Calibri"/>
                <w:sz w:val="14"/>
                <w:szCs w:val="14"/>
                <w:b w:val="1"/>
                <w:bCs w:val="1"/>
                <w:color w:val="auto"/>
              </w:rPr>
              <w:t>—</w:t>
            </w: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36</w:t>
            </w:r>
          </w:p>
        </w:tc>
        <w:tc>
          <w:tcPr>
            <w:tcW w:w="100" w:type="dxa"/>
            <w:vAlign w:val="bottom"/>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Dividends declared ($3.06 per common share)</w:t>
            </w:r>
          </w:p>
        </w:tc>
        <w:tc>
          <w:tcPr>
            <w:tcW w:w="100" w:type="dxa"/>
            <w:vAlign w:val="bottom"/>
            <w:shd w:val="clear" w:color="auto" w:fill="B6D2E2"/>
          </w:tcPr>
          <w:p>
            <w:pPr>
              <w:spacing w:after="0"/>
              <w:rPr>
                <w:sz w:val="14"/>
                <w:szCs w:val="14"/>
                <w:color w:val="auto"/>
              </w:rPr>
            </w:pPr>
          </w:p>
        </w:tc>
        <w:tc>
          <w:tcPr>
            <w:tcW w:w="5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(189</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(189</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(189</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0" w:type="dxa"/>
            <w:vAlign w:val="bottom"/>
          </w:tcPr>
          <w:p>
            <w:pPr>
              <w:spacing w:after="0"/>
              <w:rPr>
                <w:sz w:val="1"/>
                <w:szCs w:val="1"/>
                <w:color w:val="auto"/>
              </w:rPr>
            </w:pPr>
          </w:p>
        </w:tc>
      </w:tr>
      <w:tr>
        <w:trPr>
          <w:trHeight w:val="172"/>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Issuances of common stock for stock award</w:t>
            </w:r>
          </w:p>
        </w:tc>
        <w:tc>
          <w:tcPr>
            <w:tcW w:w="100" w:type="dxa"/>
            <w:vAlign w:val="bottom"/>
            <w:shd w:val="clear" w:color="auto" w:fill="B6D2E2"/>
          </w:tcPr>
          <w:p>
            <w:pPr>
              <w:spacing w:after="0"/>
              <w:rPr>
                <w:sz w:val="14"/>
                <w:szCs w:val="14"/>
                <w:color w:val="auto"/>
              </w:rPr>
            </w:pPr>
          </w:p>
        </w:tc>
        <w:tc>
          <w:tcPr>
            <w:tcW w:w="58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0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plans</w:t>
            </w:r>
          </w:p>
        </w:tc>
        <w:tc>
          <w:tcPr>
            <w:tcW w:w="100" w:type="dxa"/>
            <w:vAlign w:val="bottom"/>
            <w:shd w:val="clear" w:color="auto" w:fill="B6D2E2"/>
          </w:tcPr>
          <w:p>
            <w:pPr>
              <w:spacing w:after="0"/>
              <w:rPr>
                <w:sz w:val="15"/>
                <w:szCs w:val="15"/>
                <w:color w:val="auto"/>
              </w:rPr>
            </w:pPr>
          </w:p>
        </w:tc>
        <w:tc>
          <w:tcPr>
            <w:tcW w:w="5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90,983</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5</w:t>
            </w:r>
          </w:p>
        </w:tc>
        <w:tc>
          <w:tcPr>
            <w:tcW w:w="10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5</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7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5</w:t>
            </w:r>
          </w:p>
        </w:tc>
        <w:tc>
          <w:tcPr>
            <w:tcW w:w="100" w:type="dxa"/>
            <w:vAlign w:val="bottom"/>
            <w:shd w:val="clear" w:color="auto" w:fill="B6D2E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Shares withheld for employees’ income tax</w:t>
            </w:r>
          </w:p>
        </w:tc>
        <w:tc>
          <w:tcPr>
            <w:tcW w:w="100" w:type="dxa"/>
            <w:vAlign w:val="bottom"/>
            <w:shd w:val="clear" w:color="auto" w:fill="B6D2E2"/>
          </w:tcPr>
          <w:p>
            <w:pPr>
              <w:spacing w:after="0"/>
              <w:rPr>
                <w:sz w:val="15"/>
                <w:szCs w:val="15"/>
                <w:color w:val="auto"/>
              </w:rPr>
            </w:pPr>
          </w:p>
        </w:tc>
        <w:tc>
          <w:tcPr>
            <w:tcW w:w="580" w:type="dxa"/>
            <w:vAlign w:val="bottom"/>
            <w:shd w:val="clear" w:color="auto" w:fill="B6D2E2"/>
          </w:tcPr>
          <w:p>
            <w:pPr>
              <w:spacing w:after="0"/>
              <w:rPr>
                <w:sz w:val="15"/>
                <w:szCs w:val="15"/>
                <w:color w:val="auto"/>
              </w:rPr>
            </w:pP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spacing w:after="0"/>
              <w:rPr>
                <w:sz w:val="15"/>
                <w:szCs w:val="15"/>
                <w:color w:val="auto"/>
              </w:rPr>
            </w:pP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spacing w:after="0"/>
              <w:rPr>
                <w:sz w:val="15"/>
                <w:szCs w:val="15"/>
                <w:color w:val="auto"/>
              </w:rPr>
            </w:pPr>
          </w:p>
        </w:tc>
        <w:tc>
          <w:tcPr>
            <w:tcW w:w="10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800" w:type="dxa"/>
            <w:vAlign w:val="bottom"/>
            <w:shd w:val="clear" w:color="auto" w:fill="B6D2E2"/>
          </w:tcPr>
          <w:p>
            <w:pPr>
              <w:spacing w:after="0"/>
              <w:rPr>
                <w:sz w:val="15"/>
                <w:szCs w:val="15"/>
                <w:color w:val="auto"/>
              </w:rPr>
            </w:pP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spacing w:after="0"/>
              <w:rPr>
                <w:sz w:val="15"/>
                <w:szCs w:val="15"/>
                <w:color w:val="auto"/>
              </w:rPr>
            </w:pP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spacing w:after="0"/>
              <w:rPr>
                <w:sz w:val="15"/>
                <w:szCs w:val="15"/>
                <w:color w:val="auto"/>
              </w:rPr>
            </w:pP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700" w:type="dxa"/>
            <w:vAlign w:val="bottom"/>
            <w:shd w:val="clear" w:color="auto" w:fill="B6D2E2"/>
          </w:tcPr>
          <w:p>
            <w:pPr>
              <w:spacing w:after="0"/>
              <w:rPr>
                <w:sz w:val="15"/>
                <w:szCs w:val="15"/>
                <w:color w:val="auto"/>
              </w:rPr>
            </w:pPr>
          </w:p>
        </w:tc>
        <w:tc>
          <w:tcPr>
            <w:tcW w:w="10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72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b w:val="1"/>
                <w:bCs w:val="1"/>
                <w:color w:val="auto"/>
              </w:rPr>
              <w:t>obligatons</w:t>
            </w:r>
          </w:p>
        </w:tc>
        <w:tc>
          <w:tcPr>
            <w:tcW w:w="100" w:type="dxa"/>
            <w:vAlign w:val="bottom"/>
            <w:shd w:val="clear" w:color="auto" w:fill="B6D2E2"/>
          </w:tcPr>
          <w:p>
            <w:pPr>
              <w:spacing w:after="0"/>
              <w:rPr>
                <w:sz w:val="15"/>
                <w:szCs w:val="15"/>
                <w:color w:val="auto"/>
              </w:rPr>
            </w:pPr>
          </w:p>
        </w:tc>
        <w:tc>
          <w:tcPr>
            <w:tcW w:w="5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(32</w:t>
            </w:r>
          </w:p>
        </w:tc>
        <w:tc>
          <w:tcPr>
            <w:tcW w:w="10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(32</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7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(32</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0" w:type="dxa"/>
            <w:vAlign w:val="bottom"/>
          </w:tcPr>
          <w:p>
            <w:pPr>
              <w:spacing w:after="0"/>
              <w:rPr>
                <w:sz w:val="1"/>
                <w:szCs w:val="1"/>
                <w:color w:val="auto"/>
              </w:rPr>
            </w:pPr>
          </w:p>
        </w:tc>
      </w:tr>
      <w:tr>
        <w:trPr>
          <w:trHeight w:val="175"/>
        </w:trPr>
        <w:tc>
          <w:tcPr>
            <w:tcW w:w="318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Repurchases of common stock</w:t>
            </w:r>
          </w:p>
        </w:tc>
        <w:tc>
          <w:tcPr>
            <w:tcW w:w="100" w:type="dxa"/>
            <w:vAlign w:val="bottom"/>
            <w:shd w:val="clear" w:color="auto" w:fill="B6D2E2"/>
          </w:tcPr>
          <w:p>
            <w:pPr>
              <w:spacing w:after="0"/>
              <w:rPr>
                <w:sz w:val="15"/>
                <w:szCs w:val="15"/>
                <w:color w:val="auto"/>
              </w:rPr>
            </w:pPr>
          </w:p>
        </w:tc>
        <w:tc>
          <w:tcPr>
            <w:tcW w:w="5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(785,758</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(454</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(454</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7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(454</w:t>
            </w:r>
          </w:p>
        </w:tc>
        <w:tc>
          <w:tcPr>
            <w:tcW w:w="1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Stock-based compensaton expense</w:t>
            </w:r>
          </w:p>
        </w:tc>
        <w:tc>
          <w:tcPr>
            <w:tcW w:w="100" w:type="dxa"/>
            <w:vAlign w:val="bottom"/>
            <w:tcBorders>
              <w:bottom w:val="single" w:sz="8" w:color="auto"/>
            </w:tcBorders>
            <w:shd w:val="clear" w:color="auto" w:fill="B6D2E2"/>
          </w:tcPr>
          <w:p>
            <w:pPr>
              <w:spacing w:after="0"/>
              <w:rPr>
                <w:sz w:val="16"/>
                <w:szCs w:val="16"/>
                <w:color w:val="auto"/>
              </w:rPr>
            </w:pPr>
          </w:p>
        </w:tc>
        <w:tc>
          <w:tcPr>
            <w:tcW w:w="580" w:type="dxa"/>
            <w:vAlign w:val="bottom"/>
            <w:tcBorders>
              <w:bottom w:val="single" w:sz="8" w:color="auto"/>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auto"/>
              <w:right w:val="single" w:sz="8" w:color="007CBA"/>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700" w:type="dxa"/>
            <w:vAlign w:val="bottom"/>
            <w:tcBorders>
              <w:bottom w:val="single" w:sz="8" w:color="auto"/>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auto"/>
              <w:right w:val="single" w:sz="8" w:color="007CBA"/>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700" w:type="dxa"/>
            <w:vAlign w:val="bottom"/>
            <w:tcBorders>
              <w:bottom w:val="single" w:sz="8" w:color="auto"/>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58</w:t>
            </w:r>
          </w:p>
        </w:tc>
        <w:tc>
          <w:tcPr>
            <w:tcW w:w="100" w:type="dxa"/>
            <w:vAlign w:val="bottom"/>
            <w:tcBorders>
              <w:bottom w:val="single" w:sz="8" w:color="auto"/>
              <w:right w:val="single" w:sz="8" w:color="007CBA"/>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120" w:type="dxa"/>
            <w:vAlign w:val="bottom"/>
            <w:tcBorders>
              <w:bottom w:val="single" w:sz="8" w:color="auto"/>
            </w:tcBorders>
            <w:shd w:val="clear" w:color="auto" w:fill="B6D2E2"/>
          </w:tcPr>
          <w:p>
            <w:pPr>
              <w:spacing w:after="0"/>
              <w:rPr>
                <w:sz w:val="16"/>
                <w:szCs w:val="16"/>
                <w:color w:val="auto"/>
              </w:rPr>
            </w:pPr>
          </w:p>
        </w:tc>
        <w:tc>
          <w:tcPr>
            <w:tcW w:w="800" w:type="dxa"/>
            <w:vAlign w:val="bottom"/>
            <w:tcBorders>
              <w:bottom w:val="single" w:sz="8" w:color="auto"/>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auto"/>
              <w:right w:val="single" w:sz="8" w:color="007CBA"/>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700" w:type="dxa"/>
            <w:vAlign w:val="bottom"/>
            <w:tcBorders>
              <w:bottom w:val="single" w:sz="8" w:color="auto"/>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auto"/>
              <w:right w:val="single" w:sz="8" w:color="007CBA"/>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700" w:type="dxa"/>
            <w:vAlign w:val="bottom"/>
            <w:tcBorders>
              <w:bottom w:val="single" w:sz="8" w:color="auto"/>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58</w:t>
            </w:r>
          </w:p>
        </w:tc>
        <w:tc>
          <w:tcPr>
            <w:tcW w:w="120" w:type="dxa"/>
            <w:vAlign w:val="bottom"/>
            <w:tcBorders>
              <w:bottom w:val="single" w:sz="8" w:color="auto"/>
              <w:right w:val="single" w:sz="8" w:color="007CBA"/>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120" w:type="dxa"/>
            <w:vAlign w:val="bottom"/>
            <w:tcBorders>
              <w:bottom w:val="single" w:sz="8" w:color="auto"/>
            </w:tcBorders>
            <w:shd w:val="clear" w:color="auto" w:fill="B6D2E2"/>
          </w:tcPr>
          <w:p>
            <w:pPr>
              <w:spacing w:after="0"/>
              <w:rPr>
                <w:sz w:val="16"/>
                <w:szCs w:val="16"/>
                <w:color w:val="auto"/>
              </w:rPr>
            </w:pPr>
          </w:p>
        </w:tc>
        <w:tc>
          <w:tcPr>
            <w:tcW w:w="700" w:type="dxa"/>
            <w:vAlign w:val="bottom"/>
            <w:tcBorders>
              <w:bottom w:val="single" w:sz="8" w:color="auto"/>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bottom w:val="single" w:sz="8" w:color="auto"/>
              <w:right w:val="single" w:sz="8" w:color="007CBA"/>
            </w:tcBorders>
            <w:shd w:val="clear" w:color="auto" w:fill="B6D2E2"/>
          </w:tcPr>
          <w:p>
            <w:pPr>
              <w:spacing w:after="0"/>
              <w:rPr>
                <w:sz w:val="16"/>
                <w:szCs w:val="16"/>
                <w:color w:val="auto"/>
              </w:rPr>
            </w:pPr>
          </w:p>
        </w:tc>
        <w:tc>
          <w:tcPr>
            <w:tcW w:w="100" w:type="dxa"/>
            <w:vAlign w:val="bottom"/>
            <w:tcBorders>
              <w:bottom w:val="single" w:sz="8" w:color="auto"/>
            </w:tcBorders>
            <w:shd w:val="clear" w:color="auto" w:fill="B6D2E2"/>
          </w:tcPr>
          <w:p>
            <w:pPr>
              <w:spacing w:after="0"/>
              <w:rPr>
                <w:sz w:val="16"/>
                <w:szCs w:val="16"/>
                <w:color w:val="auto"/>
              </w:rPr>
            </w:pPr>
          </w:p>
        </w:tc>
        <w:tc>
          <w:tcPr>
            <w:tcW w:w="120" w:type="dxa"/>
            <w:vAlign w:val="bottom"/>
            <w:tcBorders>
              <w:bottom w:val="single" w:sz="8" w:color="auto"/>
            </w:tcBorders>
            <w:shd w:val="clear" w:color="auto" w:fill="B6D2E2"/>
          </w:tcPr>
          <w:p>
            <w:pPr>
              <w:spacing w:after="0"/>
              <w:rPr>
                <w:sz w:val="16"/>
                <w:szCs w:val="16"/>
                <w:color w:val="auto"/>
              </w:rPr>
            </w:pPr>
          </w:p>
        </w:tc>
        <w:tc>
          <w:tcPr>
            <w:tcW w:w="720" w:type="dxa"/>
            <w:vAlign w:val="bottom"/>
            <w:tcBorders>
              <w:bottom w:val="single" w:sz="8" w:color="auto"/>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58</w:t>
            </w:r>
          </w:p>
        </w:tc>
        <w:tc>
          <w:tcPr>
            <w:tcW w:w="100" w:type="dxa"/>
            <w:vAlign w:val="bottom"/>
            <w:tcBorders>
              <w:bottom w:val="single" w:sz="8" w:color="auto"/>
            </w:tcBorders>
            <w:shd w:val="clear" w:color="auto" w:fill="B6D2E2"/>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18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Balance at December 31, 2024</w:t>
            </w:r>
          </w:p>
        </w:tc>
        <w:tc>
          <w:tcPr>
            <w:tcW w:w="100" w:type="dxa"/>
            <w:vAlign w:val="bottom"/>
            <w:shd w:val="clear" w:color="auto" w:fill="B6D2E2"/>
          </w:tcPr>
          <w:p>
            <w:pPr>
              <w:spacing w:after="0"/>
              <w:rPr>
                <w:sz w:val="14"/>
                <w:szCs w:val="14"/>
                <w:color w:val="auto"/>
              </w:rPr>
            </w:pPr>
          </w:p>
        </w:tc>
        <w:tc>
          <w:tcPr>
            <w:tcW w:w="580" w:type="dxa"/>
            <w:vAlign w:val="bottom"/>
            <w:shd w:val="clear" w:color="auto" w:fill="B6D2E2"/>
          </w:tcPr>
          <w:p>
            <w:pPr>
              <w:jc w:val="right"/>
              <w:spacing w:after="0" w:line="161" w:lineRule="exact"/>
              <w:rPr>
                <w:sz w:val="20"/>
                <w:szCs w:val="20"/>
                <w:color w:val="auto"/>
              </w:rPr>
            </w:pPr>
            <w:r>
              <w:rPr>
                <w:rFonts w:ascii="Calibri" w:cs="Calibri" w:eastAsia="Calibri" w:hAnsi="Calibri"/>
                <w:sz w:val="14"/>
                <w:szCs w:val="14"/>
                <w:b w:val="1"/>
                <w:bCs w:val="1"/>
                <w:color w:val="auto"/>
              </w:rPr>
              <w:t>61,126,6</w:t>
            </w: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0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0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0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180" w:type="dxa"/>
            <w:vAlign w:val="bottom"/>
            <w:vMerge w:val="continue"/>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58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46</w:t>
            </w:r>
          </w:p>
        </w:tc>
        <w:tc>
          <w:tcPr>
            <w:tcW w:w="12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1</w:t>
            </w:r>
          </w:p>
        </w:tc>
        <w:tc>
          <w:tcPr>
            <w:tcW w:w="12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3,550</w:t>
            </w:r>
          </w:p>
        </w:tc>
        <w:tc>
          <w:tcPr>
            <w:tcW w:w="10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2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8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(13</w:t>
            </w:r>
          </w:p>
        </w:tc>
        <w:tc>
          <w:tcPr>
            <w:tcW w:w="120" w:type="dxa"/>
            <w:vAlign w:val="bottom"/>
            <w:tcBorders>
              <w:right w:val="single" w:sz="8" w:color="B6D2E2"/>
            </w:tcBorders>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6"/>
                <w:szCs w:val="6"/>
                <w:color w:val="auto"/>
              </w:rPr>
            </w:pPr>
          </w:p>
        </w:tc>
        <w:tc>
          <w:tcPr>
            <w:tcW w:w="1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5,915</w:t>
            </w:r>
          </w:p>
        </w:tc>
        <w:tc>
          <w:tcPr>
            <w:tcW w:w="12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9,453</w:t>
            </w:r>
          </w:p>
        </w:tc>
        <w:tc>
          <w:tcPr>
            <w:tcW w:w="12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20" w:type="dxa"/>
            <w:vAlign w:val="bottom"/>
            <w:vMerge w:val="restart"/>
            <w:shd w:val="clear" w:color="auto" w:fill="B6D2E2"/>
          </w:tcPr>
          <w:p>
            <w:pPr>
              <w:ind w:left="20"/>
              <w:spacing w:after="0"/>
              <w:rPr>
                <w:sz w:val="20"/>
                <w:szCs w:val="20"/>
                <w:color w:val="auto"/>
              </w:rPr>
            </w:pPr>
            <w:r>
              <w:rPr>
                <w:rFonts w:ascii="Calibri" w:cs="Calibri" w:eastAsia="Calibri" w:hAnsi="Calibri"/>
                <w:sz w:val="14"/>
                <w:szCs w:val="14"/>
                <w:b w:val="1"/>
                <w:bCs w:val="1"/>
                <w:color w:val="auto"/>
              </w:rPr>
              <w:t>$</w:t>
            </w: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3</w:t>
            </w:r>
          </w:p>
        </w:tc>
        <w:tc>
          <w:tcPr>
            <w:tcW w:w="10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2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72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9,456</w:t>
            </w:r>
          </w:p>
        </w:tc>
        <w:tc>
          <w:tcPr>
            <w:tcW w:w="100" w:type="dxa"/>
            <w:vAlign w:val="bottom"/>
            <w:shd w:val="clear" w:color="auto" w:fill="B6D2E2"/>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B6D2E2"/>
          </w:tcPr>
          <w:p>
            <w:pPr>
              <w:spacing w:after="0"/>
              <w:rPr>
                <w:sz w:val="12"/>
                <w:szCs w:val="12"/>
                <w:color w:val="auto"/>
              </w:rPr>
            </w:pPr>
          </w:p>
        </w:tc>
        <w:tc>
          <w:tcPr>
            <w:tcW w:w="580" w:type="dxa"/>
            <w:vAlign w:val="bottom"/>
            <w:tcBorders>
              <w:bottom w:val="single" w:sz="8" w:color="auto"/>
            </w:tcBorders>
            <w:vMerge w:val="continue"/>
            <w:shd w:val="clear" w:color="auto" w:fill="B6D2E2"/>
          </w:tcPr>
          <w:p>
            <w:pPr>
              <w:spacing w:after="0"/>
              <w:rPr>
                <w:sz w:val="12"/>
                <w:szCs w:val="12"/>
                <w:color w:val="auto"/>
              </w:rPr>
            </w:pPr>
          </w:p>
        </w:tc>
        <w:tc>
          <w:tcPr>
            <w:tcW w:w="120" w:type="dxa"/>
            <w:vAlign w:val="bottom"/>
            <w:tcBorders>
              <w:bottom w:val="single" w:sz="8" w:color="auto"/>
              <w:right w:val="single" w:sz="8" w:color="B6D2E2"/>
            </w:tcBorders>
            <w:shd w:val="clear" w:color="auto" w:fill="B6D2E2"/>
          </w:tcPr>
          <w:p>
            <w:pPr>
              <w:spacing w:after="0"/>
              <w:rPr>
                <w:sz w:val="12"/>
                <w:szCs w:val="12"/>
                <w:color w:val="auto"/>
              </w:rPr>
            </w:pPr>
          </w:p>
        </w:tc>
        <w:tc>
          <w:tcPr>
            <w:tcW w:w="100" w:type="dxa"/>
            <w:vAlign w:val="bottom"/>
            <w:tcBorders>
              <w:bottom w:val="single" w:sz="8" w:color="auto"/>
            </w:tcBorders>
            <w:shd w:val="clear" w:color="auto" w:fill="B6D2E2"/>
          </w:tcPr>
          <w:p>
            <w:pPr>
              <w:spacing w:after="0"/>
              <w:rPr>
                <w:sz w:val="12"/>
                <w:szCs w:val="12"/>
                <w:color w:val="auto"/>
              </w:rPr>
            </w:pPr>
          </w:p>
        </w:tc>
        <w:tc>
          <w:tcPr>
            <w:tcW w:w="100" w:type="dxa"/>
            <w:vAlign w:val="bottom"/>
            <w:tcBorders>
              <w:bottom w:val="single" w:sz="8" w:color="auto"/>
            </w:tcBorders>
            <w:vMerge w:val="continue"/>
            <w:shd w:val="clear" w:color="auto" w:fill="B6D2E2"/>
          </w:tcPr>
          <w:p>
            <w:pPr>
              <w:spacing w:after="0"/>
              <w:rPr>
                <w:sz w:val="12"/>
                <w:szCs w:val="12"/>
                <w:color w:val="auto"/>
              </w:rPr>
            </w:pPr>
          </w:p>
        </w:tc>
        <w:tc>
          <w:tcPr>
            <w:tcW w:w="700" w:type="dxa"/>
            <w:vAlign w:val="bottom"/>
            <w:tcBorders>
              <w:bottom w:val="single" w:sz="8" w:color="auto"/>
            </w:tcBorders>
            <w:vMerge w:val="continue"/>
            <w:shd w:val="clear" w:color="auto" w:fill="B6D2E2"/>
          </w:tcPr>
          <w:p>
            <w:pPr>
              <w:spacing w:after="0"/>
              <w:rPr>
                <w:sz w:val="12"/>
                <w:szCs w:val="12"/>
                <w:color w:val="auto"/>
              </w:rPr>
            </w:pPr>
          </w:p>
        </w:tc>
        <w:tc>
          <w:tcPr>
            <w:tcW w:w="120" w:type="dxa"/>
            <w:vAlign w:val="bottom"/>
            <w:tcBorders>
              <w:bottom w:val="single" w:sz="8" w:color="auto"/>
              <w:right w:val="single" w:sz="8" w:color="B6D2E2"/>
            </w:tcBorders>
            <w:shd w:val="clear" w:color="auto" w:fill="B6D2E2"/>
          </w:tcPr>
          <w:p>
            <w:pPr>
              <w:spacing w:after="0"/>
              <w:rPr>
                <w:sz w:val="12"/>
                <w:szCs w:val="12"/>
                <w:color w:val="auto"/>
              </w:rPr>
            </w:pPr>
          </w:p>
        </w:tc>
        <w:tc>
          <w:tcPr>
            <w:tcW w:w="100" w:type="dxa"/>
            <w:vAlign w:val="bottom"/>
            <w:tcBorders>
              <w:bottom w:val="single" w:sz="8" w:color="auto"/>
            </w:tcBorders>
            <w:shd w:val="clear" w:color="auto" w:fill="B6D2E2"/>
          </w:tcPr>
          <w:p>
            <w:pPr>
              <w:spacing w:after="0"/>
              <w:rPr>
                <w:sz w:val="12"/>
                <w:szCs w:val="12"/>
                <w:color w:val="auto"/>
              </w:rPr>
            </w:pPr>
          </w:p>
        </w:tc>
        <w:tc>
          <w:tcPr>
            <w:tcW w:w="100" w:type="dxa"/>
            <w:vAlign w:val="bottom"/>
            <w:tcBorders>
              <w:bottom w:val="single" w:sz="8" w:color="auto"/>
            </w:tcBorders>
            <w:vMerge w:val="continue"/>
            <w:shd w:val="clear" w:color="auto" w:fill="B6D2E2"/>
          </w:tcPr>
          <w:p>
            <w:pPr>
              <w:spacing w:after="0"/>
              <w:rPr>
                <w:sz w:val="12"/>
                <w:szCs w:val="12"/>
                <w:color w:val="auto"/>
              </w:rPr>
            </w:pPr>
          </w:p>
        </w:tc>
        <w:tc>
          <w:tcPr>
            <w:tcW w:w="700" w:type="dxa"/>
            <w:vAlign w:val="bottom"/>
            <w:tcBorders>
              <w:bottom w:val="single" w:sz="8" w:color="auto"/>
            </w:tcBorders>
            <w:vMerge w:val="continue"/>
            <w:shd w:val="clear" w:color="auto" w:fill="B6D2E2"/>
          </w:tcPr>
          <w:p>
            <w:pPr>
              <w:spacing w:after="0"/>
              <w:rPr>
                <w:sz w:val="12"/>
                <w:szCs w:val="12"/>
                <w:color w:val="auto"/>
              </w:rPr>
            </w:pPr>
          </w:p>
        </w:tc>
        <w:tc>
          <w:tcPr>
            <w:tcW w:w="100" w:type="dxa"/>
            <w:vAlign w:val="bottom"/>
            <w:tcBorders>
              <w:bottom w:val="single" w:sz="8" w:color="auto"/>
              <w:right w:val="single" w:sz="8" w:color="B6D2E2"/>
            </w:tcBorders>
            <w:shd w:val="clear" w:color="auto" w:fill="B6D2E2"/>
          </w:tcPr>
          <w:p>
            <w:pPr>
              <w:spacing w:after="0"/>
              <w:rPr>
                <w:sz w:val="12"/>
                <w:szCs w:val="12"/>
                <w:color w:val="auto"/>
              </w:rPr>
            </w:pPr>
          </w:p>
        </w:tc>
        <w:tc>
          <w:tcPr>
            <w:tcW w:w="100" w:type="dxa"/>
            <w:vAlign w:val="bottom"/>
            <w:tcBorders>
              <w:bottom w:val="single" w:sz="8" w:color="auto"/>
            </w:tcBorders>
            <w:shd w:val="clear" w:color="auto" w:fill="B6D2E2"/>
          </w:tcPr>
          <w:p>
            <w:pPr>
              <w:spacing w:after="0"/>
              <w:rPr>
                <w:sz w:val="12"/>
                <w:szCs w:val="12"/>
                <w:color w:val="auto"/>
              </w:rPr>
            </w:pPr>
          </w:p>
        </w:tc>
        <w:tc>
          <w:tcPr>
            <w:tcW w:w="120" w:type="dxa"/>
            <w:vAlign w:val="bottom"/>
            <w:tcBorders>
              <w:bottom w:val="single" w:sz="8" w:color="auto"/>
            </w:tcBorders>
            <w:vMerge w:val="continue"/>
            <w:shd w:val="clear" w:color="auto" w:fill="B6D2E2"/>
          </w:tcPr>
          <w:p>
            <w:pPr>
              <w:spacing w:after="0"/>
              <w:rPr>
                <w:sz w:val="12"/>
                <w:szCs w:val="12"/>
                <w:color w:val="auto"/>
              </w:rPr>
            </w:pPr>
          </w:p>
        </w:tc>
        <w:tc>
          <w:tcPr>
            <w:tcW w:w="800" w:type="dxa"/>
            <w:vAlign w:val="bottom"/>
            <w:tcBorders>
              <w:bottom w:val="single" w:sz="8" w:color="auto"/>
            </w:tcBorders>
            <w:vMerge w:val="continue"/>
            <w:shd w:val="clear" w:color="auto" w:fill="B6D2E2"/>
          </w:tcPr>
          <w:p>
            <w:pPr>
              <w:spacing w:after="0"/>
              <w:rPr>
                <w:sz w:val="12"/>
                <w:szCs w:val="12"/>
                <w:color w:val="auto"/>
              </w:rPr>
            </w:pPr>
          </w:p>
        </w:tc>
        <w:tc>
          <w:tcPr>
            <w:tcW w:w="120" w:type="dxa"/>
            <w:vAlign w:val="bottom"/>
            <w:tcBorders>
              <w:bottom w:val="single" w:sz="8" w:color="auto"/>
              <w:right w:val="single" w:sz="8" w:color="B6D2E2"/>
            </w:tcBorders>
            <w:vMerge w:val="continue"/>
            <w:shd w:val="clear" w:color="auto" w:fill="B6D2E2"/>
          </w:tcPr>
          <w:p>
            <w:pPr>
              <w:spacing w:after="0"/>
              <w:rPr>
                <w:sz w:val="12"/>
                <w:szCs w:val="12"/>
                <w:color w:val="auto"/>
              </w:rPr>
            </w:pPr>
          </w:p>
        </w:tc>
        <w:tc>
          <w:tcPr>
            <w:tcW w:w="100" w:type="dxa"/>
            <w:vAlign w:val="bottom"/>
            <w:tcBorders>
              <w:bottom w:val="single" w:sz="8" w:color="auto"/>
            </w:tcBorders>
            <w:shd w:val="clear" w:color="auto" w:fill="B6D2E2"/>
          </w:tcPr>
          <w:p>
            <w:pPr>
              <w:spacing w:after="0"/>
              <w:rPr>
                <w:sz w:val="12"/>
                <w:szCs w:val="12"/>
                <w:color w:val="auto"/>
              </w:rPr>
            </w:pPr>
          </w:p>
        </w:tc>
        <w:tc>
          <w:tcPr>
            <w:tcW w:w="100" w:type="dxa"/>
            <w:vAlign w:val="bottom"/>
            <w:tcBorders>
              <w:bottom w:val="single" w:sz="8" w:color="auto"/>
            </w:tcBorders>
            <w:vMerge w:val="continue"/>
            <w:shd w:val="clear" w:color="auto" w:fill="B6D2E2"/>
          </w:tcPr>
          <w:p>
            <w:pPr>
              <w:spacing w:after="0"/>
              <w:rPr>
                <w:sz w:val="12"/>
                <w:szCs w:val="12"/>
                <w:color w:val="auto"/>
              </w:rPr>
            </w:pPr>
          </w:p>
        </w:tc>
        <w:tc>
          <w:tcPr>
            <w:tcW w:w="700" w:type="dxa"/>
            <w:vAlign w:val="bottom"/>
            <w:tcBorders>
              <w:bottom w:val="single" w:sz="8" w:color="auto"/>
            </w:tcBorders>
            <w:vMerge w:val="continue"/>
            <w:shd w:val="clear" w:color="auto" w:fill="B6D2E2"/>
          </w:tcPr>
          <w:p>
            <w:pPr>
              <w:spacing w:after="0"/>
              <w:rPr>
                <w:sz w:val="12"/>
                <w:szCs w:val="12"/>
                <w:color w:val="auto"/>
              </w:rPr>
            </w:pPr>
          </w:p>
        </w:tc>
        <w:tc>
          <w:tcPr>
            <w:tcW w:w="120" w:type="dxa"/>
            <w:vAlign w:val="bottom"/>
            <w:tcBorders>
              <w:bottom w:val="single" w:sz="8" w:color="auto"/>
              <w:right w:val="single" w:sz="8" w:color="B6D2E2"/>
            </w:tcBorders>
            <w:shd w:val="clear" w:color="auto" w:fill="B6D2E2"/>
          </w:tcPr>
          <w:p>
            <w:pPr>
              <w:spacing w:after="0"/>
              <w:rPr>
                <w:sz w:val="12"/>
                <w:szCs w:val="12"/>
                <w:color w:val="auto"/>
              </w:rPr>
            </w:pPr>
          </w:p>
        </w:tc>
        <w:tc>
          <w:tcPr>
            <w:tcW w:w="100" w:type="dxa"/>
            <w:vAlign w:val="bottom"/>
            <w:tcBorders>
              <w:bottom w:val="single" w:sz="8" w:color="auto"/>
            </w:tcBorders>
            <w:shd w:val="clear" w:color="auto" w:fill="B6D2E2"/>
          </w:tcPr>
          <w:p>
            <w:pPr>
              <w:spacing w:after="0"/>
              <w:rPr>
                <w:sz w:val="12"/>
                <w:szCs w:val="12"/>
                <w:color w:val="auto"/>
              </w:rPr>
            </w:pPr>
          </w:p>
        </w:tc>
        <w:tc>
          <w:tcPr>
            <w:tcW w:w="100" w:type="dxa"/>
            <w:vAlign w:val="bottom"/>
            <w:tcBorders>
              <w:bottom w:val="single" w:sz="8" w:color="auto"/>
            </w:tcBorders>
            <w:vMerge w:val="continue"/>
            <w:shd w:val="clear" w:color="auto" w:fill="B6D2E2"/>
          </w:tcPr>
          <w:p>
            <w:pPr>
              <w:spacing w:after="0"/>
              <w:rPr>
                <w:sz w:val="12"/>
                <w:szCs w:val="12"/>
                <w:color w:val="auto"/>
              </w:rPr>
            </w:pPr>
          </w:p>
        </w:tc>
        <w:tc>
          <w:tcPr>
            <w:tcW w:w="700" w:type="dxa"/>
            <w:vAlign w:val="bottom"/>
            <w:tcBorders>
              <w:bottom w:val="single" w:sz="8" w:color="auto"/>
            </w:tcBorders>
            <w:vMerge w:val="continue"/>
            <w:shd w:val="clear" w:color="auto" w:fill="B6D2E2"/>
          </w:tcPr>
          <w:p>
            <w:pPr>
              <w:spacing w:after="0"/>
              <w:rPr>
                <w:sz w:val="12"/>
                <w:szCs w:val="12"/>
                <w:color w:val="auto"/>
              </w:rPr>
            </w:pPr>
          </w:p>
        </w:tc>
        <w:tc>
          <w:tcPr>
            <w:tcW w:w="120" w:type="dxa"/>
            <w:vAlign w:val="bottom"/>
            <w:tcBorders>
              <w:bottom w:val="single" w:sz="8" w:color="auto"/>
              <w:right w:val="single" w:sz="8" w:color="B6D2E2"/>
            </w:tcBorders>
            <w:shd w:val="clear" w:color="auto" w:fill="B6D2E2"/>
          </w:tcPr>
          <w:p>
            <w:pPr>
              <w:spacing w:after="0"/>
              <w:rPr>
                <w:sz w:val="12"/>
                <w:szCs w:val="12"/>
                <w:color w:val="auto"/>
              </w:rPr>
            </w:pPr>
          </w:p>
        </w:tc>
        <w:tc>
          <w:tcPr>
            <w:tcW w:w="100" w:type="dxa"/>
            <w:vAlign w:val="bottom"/>
            <w:tcBorders>
              <w:bottom w:val="single" w:sz="8" w:color="auto"/>
            </w:tcBorders>
            <w:shd w:val="clear" w:color="auto" w:fill="B6D2E2"/>
          </w:tcPr>
          <w:p>
            <w:pPr>
              <w:spacing w:after="0"/>
              <w:rPr>
                <w:sz w:val="12"/>
                <w:szCs w:val="12"/>
                <w:color w:val="auto"/>
              </w:rPr>
            </w:pPr>
          </w:p>
        </w:tc>
        <w:tc>
          <w:tcPr>
            <w:tcW w:w="120" w:type="dxa"/>
            <w:vAlign w:val="bottom"/>
            <w:tcBorders>
              <w:bottom w:val="single" w:sz="8" w:color="auto"/>
            </w:tcBorders>
            <w:vMerge w:val="continue"/>
            <w:shd w:val="clear" w:color="auto" w:fill="B6D2E2"/>
          </w:tcPr>
          <w:p>
            <w:pPr>
              <w:spacing w:after="0"/>
              <w:rPr>
                <w:sz w:val="12"/>
                <w:szCs w:val="12"/>
                <w:color w:val="auto"/>
              </w:rPr>
            </w:pPr>
          </w:p>
        </w:tc>
        <w:tc>
          <w:tcPr>
            <w:tcW w:w="700" w:type="dxa"/>
            <w:vAlign w:val="bottom"/>
            <w:tcBorders>
              <w:bottom w:val="single" w:sz="8" w:color="auto"/>
            </w:tcBorders>
            <w:vMerge w:val="continue"/>
            <w:shd w:val="clear" w:color="auto" w:fill="B6D2E2"/>
          </w:tcPr>
          <w:p>
            <w:pPr>
              <w:spacing w:after="0"/>
              <w:rPr>
                <w:sz w:val="12"/>
                <w:szCs w:val="12"/>
                <w:color w:val="auto"/>
              </w:rPr>
            </w:pPr>
          </w:p>
        </w:tc>
        <w:tc>
          <w:tcPr>
            <w:tcW w:w="100" w:type="dxa"/>
            <w:vAlign w:val="bottom"/>
            <w:tcBorders>
              <w:bottom w:val="single" w:sz="8" w:color="auto"/>
              <w:right w:val="single" w:sz="8" w:color="B6D2E2"/>
            </w:tcBorders>
            <w:shd w:val="clear" w:color="auto" w:fill="B6D2E2"/>
          </w:tcPr>
          <w:p>
            <w:pPr>
              <w:spacing w:after="0"/>
              <w:rPr>
                <w:sz w:val="12"/>
                <w:szCs w:val="12"/>
                <w:color w:val="auto"/>
              </w:rPr>
            </w:pPr>
          </w:p>
        </w:tc>
        <w:tc>
          <w:tcPr>
            <w:tcW w:w="100" w:type="dxa"/>
            <w:vAlign w:val="bottom"/>
            <w:tcBorders>
              <w:bottom w:val="single" w:sz="8" w:color="auto"/>
            </w:tcBorders>
            <w:shd w:val="clear" w:color="auto" w:fill="B6D2E2"/>
          </w:tcPr>
          <w:p>
            <w:pPr>
              <w:spacing w:after="0"/>
              <w:rPr>
                <w:sz w:val="12"/>
                <w:szCs w:val="12"/>
                <w:color w:val="auto"/>
              </w:rPr>
            </w:pPr>
          </w:p>
        </w:tc>
        <w:tc>
          <w:tcPr>
            <w:tcW w:w="120" w:type="dxa"/>
            <w:vAlign w:val="bottom"/>
            <w:tcBorders>
              <w:bottom w:val="single" w:sz="8" w:color="auto"/>
            </w:tcBorders>
            <w:vMerge w:val="continue"/>
            <w:shd w:val="clear" w:color="auto" w:fill="B6D2E2"/>
          </w:tcPr>
          <w:p>
            <w:pPr>
              <w:spacing w:after="0"/>
              <w:rPr>
                <w:sz w:val="12"/>
                <w:szCs w:val="12"/>
                <w:color w:val="auto"/>
              </w:rPr>
            </w:pPr>
          </w:p>
        </w:tc>
        <w:tc>
          <w:tcPr>
            <w:tcW w:w="720" w:type="dxa"/>
            <w:vAlign w:val="bottom"/>
            <w:tcBorders>
              <w:bottom w:val="single" w:sz="8" w:color="auto"/>
            </w:tcBorders>
            <w:vMerge w:val="continue"/>
            <w:shd w:val="clear" w:color="auto" w:fill="B6D2E2"/>
          </w:tcPr>
          <w:p>
            <w:pPr>
              <w:spacing w:after="0"/>
              <w:rPr>
                <w:sz w:val="12"/>
                <w:szCs w:val="12"/>
                <w:color w:val="auto"/>
              </w:rPr>
            </w:pPr>
          </w:p>
        </w:tc>
        <w:tc>
          <w:tcPr>
            <w:tcW w:w="100" w:type="dxa"/>
            <w:vAlign w:val="bottom"/>
            <w:tcBorders>
              <w:bottom w:val="single" w:sz="8" w:color="auto"/>
            </w:tcBorders>
            <w:shd w:val="clear" w:color="auto" w:fill="B6D2E2"/>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-3072130</wp:posOffset>
            </wp:positionV>
            <wp:extent cx="7145020" cy="3085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45020" cy="3085465"/>
                    </a:xfrm>
                    <a:prstGeom prst="rect">
                      <a:avLst/>
                    </a:prstGeom>
                    <a:noFill/>
                  </pic:spPr>
                </pic:pic>
              </a:graphicData>
            </a:graphic>
          </wp:anchor>
        </w:drawing>
      </w:r>
    </w:p>
    <w:p>
      <w:pPr>
        <w:spacing w:after="0" w:line="225" w:lineRule="auto"/>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1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3" w:name="page74"/>
    <w:bookmarkEnd w:id="73"/>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22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Notes to Financial Statements</w:t>
      </w:r>
    </w:p>
    <w:p>
      <w:pPr>
        <w:spacing w:after="0" w:line="6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A: Accountng Policies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Organizaton. </w:t>
      </w:r>
      <w:r>
        <w:rPr>
          <w:rFonts w:ascii="Calibri" w:cs="Calibri" w:eastAsia="Calibri" w:hAnsi="Calibri"/>
          <w:sz w:val="18"/>
          <w:szCs w:val="18"/>
          <w:color w:val="000000"/>
        </w:rPr>
        <w:t>Martn Marieta is a natural resource-based building materials company. The Company supplies aggregates (crushed stone, sand and gravel)</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through its network of approximately 390 quarries, mines and distributon yards in 28 states, Canada and The Bahamas. Martn Marieta also provides cement and downstream products and services, namely, ready mixed concrete, asphalt and paving, in vertcally-integrated structured markets where the Company also has a leading aggregates positon. Specifcally, the Company has one cement plant and two cement distributon facilites in Texas; ready mixed concrete plants in Arizona and Texas; and asphalt plants in Arizona, California, Colorado and Minnesota. Paving services are located in California and Colorado. The Company’s heavy-side building materials are used in infrastructure, nonresidental and residental constructon projects. Aggregates are also used in agricultural, utlity and environmental applicatons and as railroad ballast. The aggregates, cement and ready mixed concrete and asphalt and paving product lines are reported collectvely as the Building Materials business.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the Building Materials business includes two reportable segments: East Group and West Group. The East Group consists of the East and Central divisions and operates in Alabama, Florida, Georgia, Indiana, Iowa, Kansas, Kentucky, Maryland, Minnesota, Missouri, Nebraska, North Carolina, Ohio, Pennsylvania, South Carolina, Tennessee, Virginia, West Virginia, Nova Scota and The Bahamas. The West Group is comprised of the Southwest and West divisions and operates in Arizona, Arkansas, California, Colorado, Louisiana, Oklahoma, Texas, Utah, Washington and Wyoming. The following ten states accounted for 81% of the Building Materials business’ 2024 revenues: Texas, North Carolina, Colorado, California, Georgia, Florida, Minnesota, Arizona, South Carolina, and Iowa.</w:t>
      </w:r>
    </w:p>
    <w:p>
      <w:pPr>
        <w:spacing w:after="0" w:line="11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Company also operates a Magnesia Specialtes business, which represents a separate reportable segment. The Magnesia Specialtes business produces magnesia-based chemical products used in industrial, agricultural and environmental applicatons, and dolomitc lime sold primarily to customers for steel producton and soil stabilizaton. Magnesia Specialtes’ producton facilites are located in Ohio and Michigan, and products are shipped to customers domestcally and worldwide.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Basis of Presentaton and Use of Estmates. </w:t>
      </w:r>
      <w:r>
        <w:rPr>
          <w:rFonts w:ascii="Calibri" w:cs="Calibri" w:eastAsia="Calibri" w:hAnsi="Calibri"/>
          <w:sz w:val="18"/>
          <w:szCs w:val="18"/>
          <w:color w:val="000000"/>
        </w:rPr>
        <w:t>The Company’s consolidated fnancial statements are presented in conformity with accountng principles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generally accepted in the United States, which require management to make certain estmates and assumptons about future events. These estmates and the underlying assumptons afect the amounts of assets and liabilites reported, disclosures about contngent assets and liabilites and reported amounts of revenues and expenses. Such estmates include the valuaton of investments, accounts receivable, inventories, goodwill, other intangible assets and other long-lived assets, as well as assumptons used in the calculaton of income tax expense, retrement and postemployment benefts, stock-based compensaton, the allocaton of the purchase price to the fair values of assets acquired and liabilites assumed as part of business combinatons and revenue recogniton for service contracts. These estmates and assumptons are based on management’s judgment. Management evaluates estmates and assumptons on an ongoing basis using historical experience and other factors, including the current economic environment, and adjusts such estmates and assumptons when facts and circumstances dictate. Changes in interest rates, credit, equity and energy markets and changes in constructon actvity increase the uncertainty inherent in certain estmates and assumptons. Because future events and their efects cannot be determined with precision, actual results could difer signifcantly from estmates. Changes in estmates, including those resultng from changes in the economic environment, are refected in the consolidated fnancial statements for the period in which the change in estmate occurs.</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Basis of Consolidaton</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consolidated fnancial statements include the accounts of the Company and its wholly-owned and majority-owned subsidiaries.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Partally-owned afliates are either consolidated or accounted for using the cost method or the equity method, depending on the level of ownership interest or the Company’s ability to exercise control over the afliates’ operatons. Intercompany balances and transactons between subsidiaries have been eliminated in consolidaton.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Revenue Recogniton</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Revenues include sales of products and services provided to customers, net of discounts or allowances, if any, and freight and delivery</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costs billed to customers. Product revenues are recognized when control of the promised good is transferred to unafliated customers, typically when fnished products are shipped. Intersegment and interproduct revenues are eliminated in consolidaton. Service revenues are derived from the paving business and are recognized using the percentage-of-completon method under the cost-to-cost approach. Under the cost-to-cost approach, recognized contract revenue is determined by multplying the total estmated contract revenue by the estmated percentage of completon. Contract costs are recognized as incurred. The percentage of completon is determined on a contract-by-contract basis using project costs incurred to date as a percentage of total estmated project costs. The Company believes the cost-to-cost approach is appropriate, as the use of asphalt in a paving contract is relatvely consistent with the performance of the related paving services. When the Company arranges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86995</wp:posOffset>
            </wp:positionV>
            <wp:extent cx="325755" cy="1968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4" w:name="page75"/>
    <w:bookmarkEnd w:id="74"/>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third-party freight to deliver products to customers, the Company has elected the delivery to be a fulfllment actvity rather than a separate performance obligaton. Further, the Company acts as a principal in the delivery arrangements and, as required by Accountng Standards Codifcaton 606, </w:t>
      </w:r>
      <w:r>
        <w:rPr>
          <w:rFonts w:ascii="Calibri" w:cs="Calibri" w:eastAsia="Calibri" w:hAnsi="Calibri"/>
          <w:sz w:val="18"/>
          <w:szCs w:val="18"/>
          <w:i w:val="1"/>
          <w:iCs w:val="1"/>
          <w:color w:val="auto"/>
        </w:rPr>
        <w:t>Revenues from</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Contracts with Customers </w:t>
      </w:r>
      <w:r>
        <w:rPr>
          <w:rFonts w:ascii="Calibri" w:cs="Calibri" w:eastAsia="Calibri" w:hAnsi="Calibri"/>
          <w:sz w:val="18"/>
          <w:szCs w:val="18"/>
          <w:color w:val="auto"/>
        </w:rPr>
        <w:t>(ASC 606)</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related revenues and costs are presented gross in the consolidated statements of earnings and are recognized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consistently with the tming of the product revenues.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Cash, Cash Equivalents and Restricted Cash</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Cash equivalents are comprised of highly-liquid instruments with original maturites of three months or less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from the date of purchase.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the Company had $10 million of restricted cash, which was invested in an account designated for the purchase of like-kind exchange replacement assets under Secton 1031 of the Internal Revenue Code and related IRS procedures (Secton 1031). The Company was restricted from utlizing the cash for purposes other than the purchase of qualifed assets for 180 days from receipt of the proceeds from the sale of the exchanged property. Any unused restricted cash at the end of the 180 days was transferred to unrestricted accounts of the Company and used for general corporate purposes. As of December 31, 2024, the Company had no restricted cash.</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statements of cash fows refect cash fow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60" w:type="dxa"/>
            <w:vAlign w:val="bottom"/>
            <w:shd w:val="clear" w:color="auto" w:fill="007CBA"/>
          </w:tcPr>
          <w:p>
            <w:pPr>
              <w:spacing w:after="0"/>
              <w:rPr>
                <w:sz w:val="19"/>
                <w:szCs w:val="19"/>
                <w:color w:val="auto"/>
              </w:rPr>
            </w:pPr>
          </w:p>
        </w:tc>
        <w:tc>
          <w:tcPr>
            <w:tcW w:w="110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2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00" w:type="dxa"/>
            <w:vAlign w:val="bottom"/>
            <w:shd w:val="clear" w:color="auto" w:fill="007CBA"/>
          </w:tcPr>
          <w:p>
            <w:pPr>
              <w:spacing w:after="0"/>
              <w:rPr>
                <w:sz w:val="19"/>
                <w:szCs w:val="19"/>
                <w:color w:val="auto"/>
              </w:rPr>
            </w:pPr>
          </w:p>
        </w:tc>
      </w:tr>
      <w:tr>
        <w:trPr>
          <w:trHeight w:val="218"/>
        </w:trPr>
        <w:tc>
          <w:tcPr>
            <w:tcW w:w="65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tcBorders>
              <w:bottom w:val="single" w:sz="8" w:color="007CBA"/>
            </w:tcBorders>
            <w:shd w:val="clear" w:color="auto" w:fill="007CBA"/>
          </w:tcPr>
          <w:p>
            <w:pPr>
              <w:spacing w:after="0"/>
              <w:rPr>
                <w:sz w:val="18"/>
                <w:szCs w:val="18"/>
                <w:color w:val="auto"/>
              </w:rPr>
            </w:pPr>
          </w:p>
        </w:tc>
        <w:tc>
          <w:tcPr>
            <w:tcW w:w="1100" w:type="dxa"/>
            <w:vAlign w:val="bottom"/>
            <w:tcBorders>
              <w:bottom w:val="single" w:sz="8" w:color="007CBA"/>
              <w:right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b w:val="1"/>
                <w:bCs w:val="1"/>
                <w:color w:val="FFFFFF"/>
              </w:rPr>
              <w:t>2024</w:t>
            </w:r>
          </w:p>
        </w:tc>
        <w:tc>
          <w:tcPr>
            <w:tcW w:w="440" w:type="dxa"/>
            <w:vAlign w:val="bottom"/>
            <w:tcBorders>
              <w:bottom w:val="single" w:sz="8" w:color="007CBA"/>
            </w:tcBorders>
            <w:shd w:val="clear" w:color="auto" w:fill="007CBA"/>
          </w:tcPr>
          <w:p>
            <w:pPr>
              <w:spacing w:after="0"/>
              <w:rPr>
                <w:sz w:val="18"/>
                <w:szCs w:val="18"/>
                <w:color w:val="auto"/>
              </w:rPr>
            </w:pPr>
          </w:p>
        </w:tc>
        <w:tc>
          <w:tcPr>
            <w:tcW w:w="1120" w:type="dxa"/>
            <w:vAlign w:val="bottom"/>
            <w:tcBorders>
              <w:bottom w:val="single" w:sz="8" w:color="007CBA"/>
              <w:right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2023</w:t>
            </w:r>
          </w:p>
        </w:tc>
        <w:tc>
          <w:tcPr>
            <w:tcW w:w="440" w:type="dxa"/>
            <w:vAlign w:val="bottom"/>
            <w:tcBorders>
              <w:bottom w:val="single" w:sz="8" w:color="007CBA"/>
            </w:tcBorders>
            <w:shd w:val="clear" w:color="auto" w:fill="007CBA"/>
          </w:tcPr>
          <w:p>
            <w:pPr>
              <w:spacing w:after="0"/>
              <w:rPr>
                <w:sz w:val="18"/>
                <w:szCs w:val="18"/>
                <w:color w:val="auto"/>
              </w:rPr>
            </w:pPr>
          </w:p>
        </w:tc>
        <w:tc>
          <w:tcPr>
            <w:tcW w:w="1100" w:type="dxa"/>
            <w:vAlign w:val="bottom"/>
            <w:tcBorders>
              <w:bottom w:val="single" w:sz="8" w:color="007CBA"/>
            </w:tcBorders>
            <w:shd w:val="clear" w:color="auto" w:fill="007CBA"/>
          </w:tcPr>
          <w:p>
            <w:pPr>
              <w:jc w:val="right"/>
              <w:ind w:right="470"/>
              <w:spacing w:after="0" w:line="215" w:lineRule="exact"/>
              <w:rPr>
                <w:sz w:val="20"/>
                <w:szCs w:val="20"/>
                <w:color w:val="auto"/>
              </w:rPr>
            </w:pPr>
            <w:r>
              <w:rPr>
                <w:rFonts w:ascii="Calibri" w:cs="Calibri" w:eastAsia="Calibri" w:hAnsi="Calibri"/>
                <w:sz w:val="18"/>
                <w:szCs w:val="18"/>
                <w:color w:val="FFFFFF"/>
              </w:rPr>
              <w:t>2022</w:t>
            </w:r>
          </w:p>
        </w:tc>
      </w:tr>
      <w:tr>
        <w:trPr>
          <w:trHeight w:val="216"/>
        </w:trPr>
        <w:tc>
          <w:tcPr>
            <w:tcW w:w="658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Cash and cash equivalents</w:t>
            </w:r>
          </w:p>
        </w:tc>
        <w:tc>
          <w:tcPr>
            <w:tcW w:w="460" w:type="dxa"/>
            <w:vAlign w:val="bottom"/>
            <w:shd w:val="clear" w:color="auto" w:fill="E5F1F8"/>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670</w:t>
            </w:r>
          </w:p>
        </w:tc>
        <w:tc>
          <w:tcPr>
            <w:tcW w:w="440" w:type="dxa"/>
            <w:vAlign w:val="bottom"/>
            <w:shd w:val="clear" w:color="auto" w:fill="E5F1F8"/>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1,272</w:t>
            </w:r>
          </w:p>
        </w:tc>
        <w:tc>
          <w:tcPr>
            <w:tcW w:w="440" w:type="dxa"/>
            <w:vAlign w:val="bottom"/>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358</w:t>
            </w:r>
          </w:p>
        </w:tc>
      </w:tr>
      <w:tr>
        <w:trPr>
          <w:trHeight w:val="215"/>
        </w:trPr>
        <w:tc>
          <w:tcPr>
            <w:tcW w:w="658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Restricted cash</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10</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1</w:t>
            </w:r>
          </w:p>
        </w:tc>
      </w:tr>
      <w:tr>
        <w:trPr>
          <w:trHeight w:val="188"/>
        </w:trPr>
        <w:tc>
          <w:tcPr>
            <w:tcW w:w="6580" w:type="dxa"/>
            <w:vAlign w:val="bottom"/>
            <w:tcBorders>
              <w:right w:val="single" w:sz="8" w:color="E5F1F8"/>
            </w:tcBorders>
            <w:shd w:val="clear" w:color="auto" w:fill="E5F1F8"/>
          </w:tcPr>
          <w:p>
            <w:pPr>
              <w:ind w:left="120"/>
              <w:spacing w:after="0" w:line="187" w:lineRule="exact"/>
              <w:rPr>
                <w:sz w:val="20"/>
                <w:szCs w:val="20"/>
                <w:color w:val="auto"/>
              </w:rPr>
            </w:pPr>
            <w:r>
              <w:rPr>
                <w:rFonts w:ascii="Calibri" w:cs="Calibri" w:eastAsia="Calibri" w:hAnsi="Calibri"/>
                <w:sz w:val="18"/>
                <w:szCs w:val="18"/>
                <w:color w:val="auto"/>
              </w:rPr>
              <w:t>Total cash, cash equivalents and restricted cash</w:t>
            </w:r>
          </w:p>
        </w:tc>
        <w:tc>
          <w:tcPr>
            <w:tcW w:w="460" w:type="dxa"/>
            <w:vAlign w:val="bottom"/>
            <w:shd w:val="clear" w:color="auto" w:fill="E5F1F8"/>
          </w:tcPr>
          <w:p>
            <w:pPr>
              <w:spacing w:after="0"/>
              <w:rPr>
                <w:sz w:val="16"/>
                <w:szCs w:val="16"/>
                <w:color w:val="auto"/>
              </w:rPr>
            </w:pPr>
          </w:p>
        </w:tc>
        <w:tc>
          <w:tcPr>
            <w:tcW w:w="1100" w:type="dxa"/>
            <w:vAlign w:val="bottom"/>
            <w:tcBorders>
              <w:right w:val="single" w:sz="8" w:color="E5F1F8"/>
            </w:tcBorders>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1120" w:type="dxa"/>
            <w:vAlign w:val="bottom"/>
            <w:tcBorders>
              <w:right w:val="single" w:sz="8" w:color="E5F1F8"/>
            </w:tcBorders>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1100" w:type="dxa"/>
            <w:vAlign w:val="bottom"/>
            <w:shd w:val="clear" w:color="auto" w:fill="E5F1F8"/>
          </w:tcPr>
          <w:p>
            <w:pPr>
              <w:spacing w:after="0"/>
              <w:rPr>
                <w:sz w:val="16"/>
                <w:szCs w:val="16"/>
                <w:color w:val="auto"/>
              </w:rPr>
            </w:pPr>
          </w:p>
        </w:tc>
      </w:tr>
      <w:tr>
        <w:trPr>
          <w:trHeight w:val="263"/>
        </w:trPr>
        <w:tc>
          <w:tcPr>
            <w:tcW w:w="6580" w:type="dxa"/>
            <w:vAlign w:val="bottom"/>
            <w:tcBorders>
              <w:bottom w:val="single" w:sz="8" w:color="E5F1F8"/>
              <w:right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presented in the consolidated statements of cash fows</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670</w:t>
            </w:r>
          </w:p>
        </w:tc>
        <w:tc>
          <w:tcPr>
            <w:tcW w:w="44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1,282</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359</w:t>
            </w:r>
          </w:p>
        </w:tc>
      </w:tr>
      <w:tr>
        <w:trPr>
          <w:trHeight w:val="20"/>
        </w:trPr>
        <w:tc>
          <w:tcPr>
            <w:tcW w:w="6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-457835</wp:posOffset>
            </wp:positionV>
            <wp:extent cx="33655" cy="4711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-457835</wp:posOffset>
            </wp:positionV>
            <wp:extent cx="33655" cy="4711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-457835</wp:posOffset>
            </wp:positionV>
            <wp:extent cx="33655" cy="4711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33655" cy="471170"/>
                    </a:xfrm>
                    <a:prstGeom prst="rect">
                      <a:avLst/>
                    </a:prstGeom>
                    <a:noFill/>
                  </pic:spPr>
                </pic:pic>
              </a:graphicData>
            </a:graphic>
          </wp:anchor>
        </w:drawing>
      </w:r>
    </w:p>
    <w:p>
      <w:pPr>
        <w:spacing w:after="0" w:line="6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4EAD8A"/>
        </w:rPr>
        <w:t xml:space="preserve">Accounts Receivable. </w:t>
      </w:r>
      <w:r>
        <w:rPr>
          <w:rFonts w:ascii="Calibri" w:cs="Calibri" w:eastAsia="Calibri" w:hAnsi="Calibri"/>
          <w:sz w:val="17"/>
          <w:szCs w:val="17"/>
          <w:color w:val="000000"/>
        </w:rPr>
        <w:t>Accounts receivable are stated at cost. The Company does not typically charge interest on customer accounts receivable. The Company</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records an allowance for credit losses, which includes a provision for probable losses based on historical write-ofs, adjusted for current conditons as deemed necessary, and a specifc reserve for accounts deemed at risk. The allowance is the Company’s estmate for receivables as of the balance sheet date that ultmately will not be collected. Any changes in the allowance are refected in earnings in the period in which the change occurs. The Company writes of accounts receivable when it becomes probable, based upon customer facts and circumstances, that such amounts will not be collected.</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Inventories Valuaton</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Finished products and in-process inventories are stated at the lower of cost or net realizable value using standard costs, which</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approximate the frst-in, frst-out method. Carrying value for parts and supplies are determined by the weighted-average cost method. The Company records an allowance for fnished product inventories based on an analysis of future demand and inventory on hand in excess of one year's sales using an average of the last two years of sales. The Company also establishes an allowance for parts over fve years old and supplies over a year old.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Post-producton stripping costs, which represent costs of removing overburden and waste materials to access mineral deposits, are a component of inventory producton costs and recognized as incurred.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60" w:type="dxa"/>
            <w:vAlign w:val="bottom"/>
          </w:tcPr>
          <w:p>
            <w:pPr>
              <w:spacing w:after="0"/>
              <w:rPr>
                <w:sz w:val="20"/>
                <w:szCs w:val="20"/>
                <w:color w:val="auto"/>
              </w:rPr>
            </w:pPr>
            <w:r>
              <w:rPr>
                <w:rFonts w:ascii="Calibri" w:cs="Calibri" w:eastAsia="Calibri" w:hAnsi="Calibri"/>
                <w:sz w:val="18"/>
                <w:szCs w:val="18"/>
                <w:b w:val="1"/>
                <w:bCs w:val="1"/>
                <w:i w:val="1"/>
                <w:iCs w:val="1"/>
                <w:color w:val="4EAD8A"/>
              </w:rPr>
              <w:t>Property, Plant and Equipment</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Property, plant and equipment are stated at cost.</w:t>
            </w:r>
          </w:p>
        </w:tc>
        <w:tc>
          <w:tcPr>
            <w:tcW w:w="3580" w:type="dxa"/>
            <w:vAlign w:val="bottom"/>
          </w:tcPr>
          <w:p>
            <w:pPr>
              <w:spacing w:after="0"/>
              <w:rPr>
                <w:sz w:val="19"/>
                <w:szCs w:val="19"/>
                <w:color w:val="auto"/>
              </w:rPr>
            </w:pPr>
          </w:p>
        </w:tc>
      </w:tr>
      <w:tr>
        <w:trPr>
          <w:trHeight w:val="324"/>
        </w:trPr>
        <w:tc>
          <w:tcPr>
            <w:tcW w:w="7660" w:type="dxa"/>
            <w:vAlign w:val="bottom"/>
          </w:tcPr>
          <w:p>
            <w:pPr>
              <w:spacing w:after="0"/>
              <w:rPr>
                <w:sz w:val="20"/>
                <w:szCs w:val="20"/>
                <w:color w:val="auto"/>
              </w:rPr>
            </w:pPr>
            <w:r>
              <w:rPr>
                <w:rFonts w:ascii="Calibri" w:cs="Calibri" w:eastAsia="Calibri" w:hAnsi="Calibri"/>
                <w:sz w:val="18"/>
                <w:szCs w:val="18"/>
                <w:color w:val="auto"/>
              </w:rPr>
              <w:t>The estmated service lives for property, plant and equipment are as follows:</w:t>
            </w:r>
          </w:p>
        </w:tc>
        <w:tc>
          <w:tcPr>
            <w:tcW w:w="3580" w:type="dxa"/>
            <w:vAlign w:val="bottom"/>
          </w:tcPr>
          <w:p>
            <w:pPr>
              <w:spacing w:after="0"/>
              <w:rPr>
                <w:sz w:val="24"/>
                <w:szCs w:val="24"/>
                <w:color w:val="auto"/>
              </w:rPr>
            </w:pPr>
          </w:p>
        </w:tc>
      </w:tr>
      <w:tr>
        <w:trPr>
          <w:trHeight w:val="132"/>
        </w:trPr>
        <w:tc>
          <w:tcPr>
            <w:tcW w:w="7660" w:type="dxa"/>
            <w:vAlign w:val="bottom"/>
          </w:tcPr>
          <w:p>
            <w:pPr>
              <w:spacing w:after="0"/>
              <w:rPr>
                <w:sz w:val="11"/>
                <w:szCs w:val="11"/>
                <w:color w:val="auto"/>
              </w:rPr>
            </w:pPr>
          </w:p>
        </w:tc>
        <w:tc>
          <w:tcPr>
            <w:tcW w:w="3580" w:type="dxa"/>
            <w:vAlign w:val="bottom"/>
          </w:tcPr>
          <w:p>
            <w:pPr>
              <w:spacing w:after="0"/>
              <w:rPr>
                <w:sz w:val="11"/>
                <w:szCs w:val="11"/>
                <w:color w:val="auto"/>
              </w:rPr>
            </w:pPr>
          </w:p>
        </w:tc>
      </w:tr>
      <w:tr>
        <w:trPr>
          <w:trHeight w:val="216"/>
        </w:trPr>
        <w:tc>
          <w:tcPr>
            <w:tcW w:w="76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b w:val="1"/>
                <w:bCs w:val="1"/>
                <w:color w:val="FFFFFF"/>
              </w:rPr>
              <w:t>Class of Assets</w:t>
            </w:r>
          </w:p>
        </w:tc>
        <w:tc>
          <w:tcPr>
            <w:tcW w:w="3580" w:type="dxa"/>
            <w:vAlign w:val="bottom"/>
            <w:shd w:val="clear" w:color="auto" w:fill="007CBA"/>
          </w:tcPr>
          <w:p>
            <w:pPr>
              <w:jc w:val="center"/>
              <w:ind w:left="170"/>
              <w:spacing w:after="0" w:line="215" w:lineRule="exact"/>
              <w:rPr>
                <w:sz w:val="20"/>
                <w:szCs w:val="20"/>
                <w:color w:val="auto"/>
              </w:rPr>
            </w:pPr>
            <w:r>
              <w:rPr>
                <w:rFonts w:ascii="Calibri" w:cs="Calibri" w:eastAsia="Calibri" w:hAnsi="Calibri"/>
                <w:sz w:val="18"/>
                <w:szCs w:val="18"/>
                <w:b w:val="1"/>
                <w:bCs w:val="1"/>
                <w:color w:val="FFFFFF"/>
                <w:w w:val="97"/>
              </w:rPr>
              <w:t>Range of Service Lives</w:t>
            </w:r>
          </w:p>
        </w:tc>
      </w:tr>
      <w:tr>
        <w:trPr>
          <w:trHeight w:val="215"/>
        </w:trPr>
        <w:tc>
          <w:tcPr>
            <w:tcW w:w="76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Buildings</w:t>
            </w:r>
          </w:p>
        </w:tc>
        <w:tc>
          <w:tcPr>
            <w:tcW w:w="3580" w:type="dxa"/>
            <w:vAlign w:val="bottom"/>
          </w:tcPr>
          <w:p>
            <w:pPr>
              <w:jc w:val="center"/>
              <w:ind w:left="170"/>
              <w:spacing w:after="0" w:line="215" w:lineRule="exact"/>
              <w:rPr>
                <w:sz w:val="20"/>
                <w:szCs w:val="20"/>
                <w:color w:val="auto"/>
              </w:rPr>
            </w:pPr>
            <w:r>
              <w:rPr>
                <w:rFonts w:ascii="Calibri" w:cs="Calibri" w:eastAsia="Calibri" w:hAnsi="Calibri"/>
                <w:sz w:val="18"/>
                <w:szCs w:val="18"/>
                <w:color w:val="auto"/>
                <w:w w:val="97"/>
              </w:rPr>
              <w:t>5 to 30 years</w:t>
            </w:r>
          </w:p>
        </w:tc>
      </w:tr>
      <w:tr>
        <w:trPr>
          <w:trHeight w:val="217"/>
        </w:trPr>
        <w:tc>
          <w:tcPr>
            <w:tcW w:w="76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Machinery &amp; Equipment</w:t>
            </w:r>
          </w:p>
        </w:tc>
        <w:tc>
          <w:tcPr>
            <w:tcW w:w="3580" w:type="dxa"/>
            <w:vAlign w:val="bottom"/>
            <w:shd w:val="clear" w:color="auto" w:fill="E5F1F8"/>
          </w:tcPr>
          <w:p>
            <w:pPr>
              <w:jc w:val="center"/>
              <w:ind w:left="170"/>
              <w:spacing w:after="0" w:line="216" w:lineRule="exact"/>
              <w:rPr>
                <w:sz w:val="20"/>
                <w:szCs w:val="20"/>
                <w:color w:val="auto"/>
              </w:rPr>
            </w:pPr>
            <w:r>
              <w:rPr>
                <w:rFonts w:ascii="Calibri" w:cs="Calibri" w:eastAsia="Calibri" w:hAnsi="Calibri"/>
                <w:sz w:val="18"/>
                <w:szCs w:val="18"/>
                <w:color w:val="auto"/>
                <w:w w:val="97"/>
              </w:rPr>
              <w:t>2 to 20 years</w:t>
            </w:r>
          </w:p>
        </w:tc>
      </w:tr>
      <w:tr>
        <w:trPr>
          <w:trHeight w:val="215"/>
        </w:trPr>
        <w:tc>
          <w:tcPr>
            <w:tcW w:w="766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Land Improvements</w:t>
            </w:r>
          </w:p>
        </w:tc>
        <w:tc>
          <w:tcPr>
            <w:tcW w:w="3580" w:type="dxa"/>
            <w:vAlign w:val="bottom"/>
            <w:tcBorders>
              <w:bottom w:val="single" w:sz="8" w:color="auto"/>
            </w:tcBorders>
          </w:tcPr>
          <w:p>
            <w:pPr>
              <w:jc w:val="center"/>
              <w:ind w:left="170"/>
              <w:spacing w:after="0" w:line="215" w:lineRule="exact"/>
              <w:rPr>
                <w:sz w:val="20"/>
                <w:szCs w:val="20"/>
                <w:color w:val="auto"/>
              </w:rPr>
            </w:pPr>
            <w:r>
              <w:rPr>
                <w:rFonts w:ascii="Calibri" w:cs="Calibri" w:eastAsia="Calibri" w:hAnsi="Calibri"/>
                <w:sz w:val="18"/>
                <w:szCs w:val="18"/>
                <w:color w:val="auto"/>
                <w:w w:val="97"/>
              </w:rPr>
              <w:t>5 to 60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-157480</wp:posOffset>
            </wp:positionV>
            <wp:extent cx="34290" cy="1708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34290" cy="17081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begins capitalizing quarry development costs at a point when reserves are determined to be proven or probable, economically mineable and when demand supports investment in the market. Capitalizaton of these costs ceases when producton commences. Capitalized quarry development costs are classifed as land improvements and depreciated over the life of the reserves.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reviews relevant facts and circumstances to determine whether to capitalize or expense pre-producton stripping costs when additonal pits are developed at an existng quarry. If the additonal pit operates in a separate and distnct area of the quarry, these costs are capitalized as quarry development costs and depreciated over the life of the uncovered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84455</wp:posOffset>
            </wp:positionV>
            <wp:extent cx="325755" cy="1968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5" w:name="page76"/>
    <w:bookmarkEnd w:id="75"/>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a separate asset retrement obligaton is created for additonal pits when the liability is incurred. Once a pit enters the producton phase, all post-producton stripping costs are charged to inventory producton costs as incurred.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Mineral reserves and mineral interests acquired in connecton with a business combinaton are valued using an income approach for the estmated life of the reserves.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is computed based on estmated service lives using the straight-line method. Depleton of mineral reserves is calculated based on proven and probable reserves using the units-of-producton method on a quarry-by-quarry basis. For the years ended December 31, 2024, 2023, and 2022, depleton expense was $78 million, $53 million, and $60 million,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Property, plant and equipment are reviewed for impairment whenever facts and circumstances indicate that the carrying amount of an asset group may not be recoverable. An impairment loss is recognized if expected future undiscounted cash fows over the estmated remaining service life of the related asset group are less than the asset group’s carrying value.</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i w:val="1"/>
          <w:iCs w:val="1"/>
          <w:color w:val="4EAD8A"/>
        </w:rPr>
        <w:t xml:space="preserve">Repair and Maintenance Costs. </w:t>
      </w:r>
      <w:r>
        <w:rPr>
          <w:rFonts w:ascii="Calibri" w:cs="Calibri" w:eastAsia="Calibri" w:hAnsi="Calibri"/>
          <w:sz w:val="18"/>
          <w:szCs w:val="18"/>
          <w:color w:val="000000"/>
        </w:rPr>
        <w:t>Repair and maintenance costs that do not substantally extend the life of the Company’s plant and equipment are expensed</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as incurred.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Leases. </w:t>
      </w:r>
      <w:r>
        <w:rPr>
          <w:rFonts w:ascii="Calibri" w:cs="Calibri" w:eastAsia="Calibri" w:hAnsi="Calibri"/>
          <w:sz w:val="18"/>
          <w:szCs w:val="18"/>
          <w:color w:val="000000"/>
        </w:rPr>
        <w:t>Pursuant to Accountng Standards Codifcaton 842,</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i w:val="1"/>
          <w:iCs w:val="1"/>
          <w:color w:val="000000"/>
        </w:rPr>
        <w:t>Leases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(ASC 842), if the Company determines a contract is or contains a lease at the incepton of</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an agreement, the Company records a right-of-use (ROU) asset, which represents the Company’s right to use an underlying leased asset, and a lease liability, which represents the Company’s obligaton to make lease payments. The ROU asset and lease liability are recorded on the consolidated balance sheets at the present value of the future lease payments over the lease term at commencement date. The Company determines the present value of lease payments based on the implicit interest rate, which may be explicitly stated in the lease, if available, or may be the Company’s estmated collateralized incremental borrowing rate based on the term of the lease. Inital ROU assets also include any lease payments made at or before commencement date and any inital direct costs incurred and are reduced by lease incentves. Certain of the Company’s leases contain renewal and/or terminaton optons. The Company recognizes renewal or terminaton optons as part of its ROU assets and lease liabilites when the Company has the unilateral right to renew or terminate and it is reasonably certain these optons will be exercised.</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Some leases require the Company to pay non-lease components, which may include taxes, maintenance, insurance and certain other expenses applicable to the leased property and, are primarily, variable costs. The Company accounts for lease and non-lease components as a single amount, except railcar, feet vehicle and pipeline leases, for which the Company separately accounts for the lease and non-lease components.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Leases are evaluated and determined to be either fnance leases or operatng leases. The lease is a fnance lease if it transfers ownership to the underlying asset by the end of the lease term; includes a purchase opton that is reasonably certain to be exercised; has a lease term for the major part of the underlying asset's remaining economic life; has a present value of the sum of the lease payments (including renewal optons) that equals or exceeds substantally all of the fair value of the underlying asset; or is for an underlying asset that is of a specialized nature and is expected to have no alternatve use to the lessor at the end of the lease term. If none of these terms exist, the lease is an operatng lease.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Leases with an inital lease term of one year or less are not recorded on the consolidated balance sheets. Costs for these leases are expensed as incurred.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the consolidated statements of earnings, operatng lease expense, which is recognized on a straight-line basis over the lease term, and the amortzaton of fnance lease ROU assets are included in the </w:t>
      </w:r>
      <w:r>
        <w:rPr>
          <w:rFonts w:ascii="Calibri" w:cs="Calibri" w:eastAsia="Calibri" w:hAnsi="Calibri"/>
          <w:sz w:val="18"/>
          <w:szCs w:val="18"/>
          <w:i w:val="1"/>
          <w:iCs w:val="1"/>
          <w:color w:val="auto"/>
        </w:rPr>
        <w:t>Total cost of revenues</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Selling, general and administratve expenses</w:t>
      </w:r>
      <w:r>
        <w:rPr>
          <w:rFonts w:ascii="Calibri" w:cs="Calibri" w:eastAsia="Calibri" w:hAnsi="Calibri"/>
          <w:sz w:val="18"/>
          <w:szCs w:val="18"/>
          <w:color w:val="auto"/>
        </w:rPr>
        <w:t xml:space="preserve"> line items in the consolidated statements of earnings. Accreton on the liabilites for fnance leases is included in interest expense.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Goodwill and Other Intangible Assets. </w:t>
      </w:r>
      <w:r>
        <w:rPr>
          <w:rFonts w:ascii="Calibri" w:cs="Calibri" w:eastAsia="Calibri" w:hAnsi="Calibri"/>
          <w:sz w:val="18"/>
          <w:szCs w:val="18"/>
          <w:color w:val="000000"/>
        </w:rPr>
        <w:t>Goodwill represents the excess purchase price paid for acquired businesses over the estmated fair value of</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identfable assets and liabilites. Other intangible assets represent amounts assigned principally to contractual agreements and are either amortzed ratably over the useful lives to the Company or not amortzed if deemed to have an indefnite useful life. The Company intends, and believes it has the ability, to renew royalty agreements and extend permits that support the value of certain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85090</wp:posOffset>
            </wp:positionV>
            <wp:extent cx="325755" cy="1974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6" w:name="page77"/>
    <w:bookmarkEnd w:id="76"/>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reportng units, which represent the level at which goodwill is tested for impairment, are based on the operatng segments of the Building Materials business. Goodwill is assigned to the respectve reportng unit(s) based on the locaton of acquisitons at the tme of consummaton. If subsequent organizatonal changes result in operatons being transferred to a diferent reportng unit, a proportonate amount of goodwill is transferred from the former to the new reportng unit. For divesttures, goodwill is allocated on a proportonal basis based on the relatve fair values of the porton of the reportng unit being disposed of and the porton of the reportng unit remaining. There is no goodwill related to the Magnesia Specialtes business.</w:t>
      </w:r>
    </w:p>
    <w:p>
      <w:pPr>
        <w:spacing w:after="0" w:line="112"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Goodwill is tested for impairment by comparing each reportng unit’s fair value to its carrying value, which represents a Step-1 approach. However, prior to Step 1, the Company may perform a qualitatve assessment and evaluate macroeconomic conditons, industry and market conditons, cost factors, overall fnancial performance and other business or reportng unit-specifc events that contribute to the fair value of a reportng unit. If the Company concludes, based on its qualitatve assessment, it is more-likely-than-not (</w:t>
      </w:r>
      <w:r>
        <w:rPr>
          <w:rFonts w:ascii="Calibri" w:cs="Calibri" w:eastAsia="Calibri" w:hAnsi="Calibri"/>
          <w:sz w:val="17"/>
          <w:szCs w:val="17"/>
          <w:i w:val="1"/>
          <w:iCs w:val="1"/>
          <w:color w:val="auto"/>
        </w:rPr>
        <w:t>i.e</w:t>
      </w:r>
      <w:r>
        <w:rPr>
          <w:rFonts w:ascii="Calibri" w:cs="Calibri" w:eastAsia="Calibri" w:hAnsi="Calibri"/>
          <w:sz w:val="17"/>
          <w:szCs w:val="17"/>
          <w:color w:val="auto"/>
        </w:rPr>
        <w:t>., a likelihood of more than 50%) that a reportng unit’s fair value is higher than its carrying value, the Company is not required to perform any further goodwill impairment testng for that reportng unit. Otherwise, the Company proceeds to Step 1, and if a reportng unit’s fair value exceeds its carrying value, there is no impairment. A reportng unit with a carrying value in excess of its fair value results in an impairment charge equal to the diference. When the Company validates its conclusion by measuring fair value, it may resume performing a qualitatve assessment for a reportng unit in any subsequent period. The Company may bypass the qualitatve assessment for any reportng unit in any period and proceed directly with the quanttatve calculaton in Step 1. The Company performs a Step 1 analysis for all its reportng units every three years.</w:t>
      </w:r>
    </w:p>
    <w:p>
      <w:pPr>
        <w:spacing w:after="0" w:line="10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reviews the carrying values of goodwill and other indefnite-lived intangible assets for impairment as of October 1, which represents the annual evaluaton date. An interim review is performed between annual tests if facts and circumstances indicate potental impairment. The carrying value of other amortzable intangible assets is reviewed if facts and circumstances indicate potental impairment. If a review indicates the carrying value is impaired, a charge is recorded equal to the amount by which the carrying value exceeds the fair value.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Retrement Plans and Postretrement Benefts. </w:t>
      </w:r>
      <w:r>
        <w:rPr>
          <w:rFonts w:ascii="Calibri" w:cs="Calibri" w:eastAsia="Calibri" w:hAnsi="Calibri"/>
          <w:sz w:val="18"/>
          <w:szCs w:val="18"/>
          <w:color w:val="000000"/>
        </w:rPr>
        <w:t>The Company sponsors defned beneft retrement plans and provides other postretrement benefts. The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Company recognizes the funded status, defned as the diference between the fair value of plan assets and the beneft obligaton, of its pension plans and other postretrement benefts as an asset or liability on the consolidated balance sheets. The measurement date for the Company’s defned beneft plans and postretrement beneft plans is December 31. Actuarial gains or losses that arise during the year are recognized as a component of accumulated other comprehensive earnings or loss. Those amounts are amortzed over the partcipants’ average remaining service period and recognized as a component of net periodic beneft cost. The amount amortzed is determined on a plan-by-plan basis using a corridor approach and represents the excess over 10% of the greater of the projected beneft obligaton or pension plan assets.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Insurance Reserves. </w:t>
      </w:r>
      <w:r>
        <w:rPr>
          <w:rFonts w:ascii="Calibri" w:cs="Calibri" w:eastAsia="Calibri" w:hAnsi="Calibri"/>
          <w:sz w:val="18"/>
          <w:szCs w:val="18"/>
          <w:color w:val="000000"/>
        </w:rPr>
        <w:t>The Company has insurance coverage with large deductbles for workers’ compensaton, automobile liability, marine liability and general</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liability claims, and is also self-insured for health claims. The Company records insurance reserves based on an actuarially-determined analysis, which calculates development factors that are applied to total case reserves within the insurance programs. While the Company believes the assumptons used to calculate these liabilites are appropriate, signifcant diferences in actual experience and/or signifcant changes in these assumptons may materially afect insurance costs.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Stock-Based Compensaton. </w:t>
      </w:r>
      <w:r>
        <w:rPr>
          <w:rFonts w:ascii="Calibri" w:cs="Calibri" w:eastAsia="Calibri" w:hAnsi="Calibri"/>
          <w:sz w:val="18"/>
          <w:szCs w:val="18"/>
          <w:color w:val="000000"/>
        </w:rPr>
        <w:t>The Company has stock-based compensaton plans for employees and its Board of Directors. The Company recognizes all forms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of stock-based awards that vest as compensaton expense. The compensaton expense is the fair value of the awards at the measurement date and is recognized over the requisite service period. Forfeitures are recognized as they occur.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fair value of restricted stock awards, incentve compensaton stock awards and Board of Directors’ fees paid in the form of common stock are based on the closing price of the Company’s common stock on the grant dates. The fair value of performance stock awards as of the grant dates is determined using a Monte Carlo simulaton methodology.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Environmental Maters. </w:t>
      </w:r>
      <w:r>
        <w:rPr>
          <w:rFonts w:ascii="Calibri" w:cs="Calibri" w:eastAsia="Calibri" w:hAnsi="Calibri"/>
          <w:sz w:val="18"/>
          <w:szCs w:val="18"/>
          <w:color w:val="000000"/>
        </w:rPr>
        <w:t>The Company records a liability for an asset retrement obligaton at fair value in the period in which it is incurred. The asset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retrement obligaton is recorded at the acquisiton date of a long-lived tangible asset if the fair value can be reasonably estmated. A corresponding amount is capitalized as part of the asset’s carrying amount. The fair value is afected by management’s assumptons regarding the scope of the work, infaton rates and asset retrement dates.</w:t>
      </w:r>
    </w:p>
    <w:p>
      <w:pPr>
        <w:spacing w:after="0" w:line="11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Further, the Company records an accrual for other environmental remediaton liabilites in the period in which it is probable that a liability has been incurred and the appropriate amounts can be estmated reasonably. Such accruals are adjusted as further informaton develops or circumstances change. Generally, these costs are not discounted to their present value or ofset for potental insurance or other claims or potental gains from future alternatve uses for a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76200</wp:posOffset>
            </wp:positionV>
            <wp:extent cx="325755" cy="1968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7" w:name="page78"/>
    <w:bookmarkEnd w:id="77"/>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Income Taxes</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Company uses the liability method to determine its current and deferred incomes taxes. Deferred income taxes, net, on the consolidated</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balance sheets refect the net tax efects of temporary diferences between the carrying amounts of assets and liabilites for fnancial reportng purposes and the amounts used for income tax purposes. The efect of changes in enacted tax rates on deferred income tax assets and liabilites is charged or credited to income tax expense in the period of enactment.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applies the proportonal amortzaton method to equity investments in renewable energy tax credit (RETC) programs that meet the following specifed criteria: it is probable that the income tax credits allocable to the Company will be available; the Company does not have the ability to exercise signifcant infuence over the operatng and fnancial policies of the underlying project; substantally all of the projected benefts are from income tax credits and other income tax benefts, as determined on a discounted basis; the Company's projected yield based solely on the cash fows from the income tax credits and other income tax benefts is positve; and the Company is a limited liability investor in the limited liability entty for both legal and tax purposes and its liability is limited to its capital investment. Under the proportonal amortzaton method, the equity investment is amortzed in proporton to the income tax credits and other income tax benefts received, with the amortzaton expense and the income tax benefts presented on a net basis in the line item </w:t>
      </w:r>
      <w:r>
        <w:rPr>
          <w:rFonts w:ascii="Calibri" w:cs="Calibri" w:eastAsia="Calibri" w:hAnsi="Calibri"/>
          <w:sz w:val="18"/>
          <w:szCs w:val="18"/>
          <w:i w:val="1"/>
          <w:iCs w:val="1"/>
          <w:color w:val="auto"/>
        </w:rPr>
        <w:t>Income tax expense</w:t>
      </w:r>
      <w:r>
        <w:rPr>
          <w:rFonts w:ascii="Calibri" w:cs="Calibri" w:eastAsia="Calibri" w:hAnsi="Calibri"/>
          <w:sz w:val="18"/>
          <w:szCs w:val="18"/>
          <w:color w:val="auto"/>
        </w:rPr>
        <w:t xml:space="preserve"> in the consolidated statements of earnings. The RETC investments are included in the line item </w:t>
      </w:r>
      <w:r>
        <w:rPr>
          <w:rFonts w:ascii="Calibri" w:cs="Calibri" w:eastAsia="Calibri" w:hAnsi="Calibri"/>
          <w:sz w:val="18"/>
          <w:szCs w:val="18"/>
          <w:i w:val="1"/>
          <w:iCs w:val="1"/>
          <w:color w:val="auto"/>
        </w:rPr>
        <w:t>Other noncurrent assets</w:t>
      </w:r>
      <w:r>
        <w:rPr>
          <w:rFonts w:ascii="Calibri" w:cs="Calibri" w:eastAsia="Calibri" w:hAnsi="Calibri"/>
          <w:sz w:val="18"/>
          <w:szCs w:val="18"/>
          <w:color w:val="auto"/>
        </w:rPr>
        <w:t xml:space="preserve"> on the consolidated balance sheets and the line item </w:t>
      </w:r>
      <w:r>
        <w:rPr>
          <w:rFonts w:ascii="Calibri" w:cs="Calibri" w:eastAsia="Calibri" w:hAnsi="Calibri"/>
          <w:sz w:val="18"/>
          <w:szCs w:val="18"/>
          <w:i w:val="1"/>
          <w:iCs w:val="1"/>
          <w:color w:val="auto"/>
        </w:rPr>
        <w:t>Investments in limited liability company</w:t>
      </w:r>
      <w:r>
        <w:rPr>
          <w:rFonts w:ascii="Calibri" w:cs="Calibri" w:eastAsia="Calibri" w:hAnsi="Calibri"/>
          <w:sz w:val="18"/>
          <w:szCs w:val="18"/>
          <w:color w:val="auto"/>
        </w:rPr>
        <w:t xml:space="preserve"> on the consolidated statements of cash fow.</w:t>
      </w:r>
    </w:p>
    <w:p>
      <w:pPr>
        <w:spacing w:after="0" w:line="116"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b w:val="1"/>
          <w:bCs w:val="1"/>
          <w:i w:val="1"/>
          <w:iCs w:val="1"/>
          <w:color w:val="4EAD8A"/>
        </w:rPr>
        <w:t xml:space="preserve">Uncertain Tax Positons. </w:t>
      </w:r>
      <w:r>
        <w:rPr>
          <w:rFonts w:ascii="Calibri" w:cs="Calibri" w:eastAsia="Calibri" w:hAnsi="Calibri"/>
          <w:sz w:val="17"/>
          <w:szCs w:val="17"/>
          <w:color w:val="000000"/>
        </w:rPr>
        <w:t>The Company recognizes a tax beneft when it is more-likely-than-not, based on the technical merits, that a tax positon would be</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sustained upon examinaton by a taxing authority. The amount to be recognized is measured as the largest amount of tax beneft that is greater than 50% likely of being realized upon ultmate setlement with a taxing authority that has full knowledge of all relevant informaton. The Company’s unrecognized tax benefts are recorded in other liabilites on the consolidated balance sheets or as an ofset to the deferred tax asset for tax carryforwards where available.</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records interest accrued in relaton to unrecognized tax benefts as income tax expense. Penaltes, if incurred, are recorded as operatng expenses in the consolidated statements of earnings.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Sales Taxes. </w:t>
      </w:r>
      <w:r>
        <w:rPr>
          <w:rFonts w:ascii="Calibri" w:cs="Calibri" w:eastAsia="Calibri" w:hAnsi="Calibri"/>
          <w:sz w:val="18"/>
          <w:szCs w:val="18"/>
          <w:color w:val="000000"/>
        </w:rPr>
        <w:t>The Company is deemed to be an agent when collectng sales taxes from customers. Sales taxes collected from customers are recorded as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liabilites untl remited to taxing authorites and therefore are not refected in the consolidated statements of earnings as revenues and expenses.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 xml:space="preserve">Start-Up Costs. </w:t>
      </w:r>
      <w:r>
        <w:rPr>
          <w:rFonts w:ascii="Calibri" w:cs="Calibri" w:eastAsia="Calibri" w:hAnsi="Calibri"/>
          <w:sz w:val="18"/>
          <w:szCs w:val="18"/>
          <w:color w:val="000000"/>
        </w:rPr>
        <w:t>Noncapital start-up costs for new facilites and products are charged to operatons as incurred.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Consolidated Comprehensive Earnings and Accumulated Other Comprehensive Loss</w:t>
      </w:r>
      <w:r>
        <w:rPr>
          <w:rFonts w:ascii="Calibri" w:cs="Calibri" w:eastAsia="Calibri" w:hAnsi="Calibri"/>
          <w:sz w:val="18"/>
          <w:szCs w:val="18"/>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Consolidated comprehensive earnings consist of consolidated net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earnings, adjustments for the funded status of pension and postretrement beneft plans and foreign currency translaton adjustments and are presented in the Company’s consolidated statements of comprehensive earnings.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Accumulated other comprehensive loss consists of unrecognized gains and losses related to the funded status of the pension and postretrement beneft plans and foreign currency translaton and is presented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83820</wp:posOffset>
            </wp:positionV>
            <wp:extent cx="325755" cy="1968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8" w:name="page79"/>
    <w:bookmarkEnd w:id="78"/>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components of the changes in accumulated other comprehensive loss and related cumulatve noncurrent deferred tax assets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2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1400" w:type="dxa"/>
            <w:vAlign w:val="bottom"/>
            <w:tcBorders>
              <w:right w:val="single" w:sz="8" w:color="007CBA"/>
            </w:tcBorders>
            <w:shd w:val="clear" w:color="auto" w:fill="007CBA"/>
          </w:tcPr>
          <w:p>
            <w:pPr>
              <w:jc w:val="center"/>
              <w:ind w:right="190"/>
              <w:spacing w:after="0"/>
              <w:rPr>
                <w:sz w:val="20"/>
                <w:szCs w:val="20"/>
                <w:color w:val="auto"/>
              </w:rPr>
            </w:pPr>
            <w:r>
              <w:rPr>
                <w:rFonts w:ascii="Calibri" w:cs="Calibri" w:eastAsia="Calibri" w:hAnsi="Calibri"/>
                <w:sz w:val="18"/>
                <w:szCs w:val="18"/>
                <w:b w:val="1"/>
                <w:bCs w:val="1"/>
                <w:color w:val="FFFFFF"/>
                <w:w w:val="96"/>
              </w:rPr>
              <w:t>Pension and</w:t>
            </w:r>
          </w:p>
        </w:tc>
        <w:tc>
          <w:tcPr>
            <w:tcW w:w="400" w:type="dxa"/>
            <w:vAlign w:val="bottom"/>
            <w:shd w:val="clear" w:color="auto" w:fill="007CBA"/>
          </w:tcPr>
          <w:p>
            <w:pPr>
              <w:spacing w:after="0"/>
              <w:rPr>
                <w:sz w:val="19"/>
                <w:szCs w:val="19"/>
                <w:color w:val="auto"/>
              </w:rPr>
            </w:pPr>
          </w:p>
        </w:tc>
        <w:tc>
          <w:tcPr>
            <w:tcW w:w="12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200" w:type="dxa"/>
            <w:vAlign w:val="bottom"/>
            <w:shd w:val="clear" w:color="auto" w:fill="007CBA"/>
          </w:tcPr>
          <w:p>
            <w:pPr>
              <w:spacing w:after="0"/>
              <w:rPr>
                <w:sz w:val="19"/>
                <w:szCs w:val="19"/>
                <w:color w:val="auto"/>
              </w:rPr>
            </w:pPr>
          </w:p>
        </w:tc>
      </w:tr>
      <w:tr>
        <w:trPr>
          <w:trHeight w:val="215"/>
        </w:trPr>
        <w:tc>
          <w:tcPr>
            <w:tcW w:w="622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400" w:type="dxa"/>
            <w:vAlign w:val="bottom"/>
            <w:tcBorders>
              <w:right w:val="single" w:sz="8" w:color="007CBA"/>
            </w:tcBorders>
            <w:shd w:val="clear" w:color="auto" w:fill="007CBA"/>
          </w:tcPr>
          <w:p>
            <w:pPr>
              <w:jc w:val="center"/>
              <w:ind w:right="190"/>
              <w:spacing w:after="0" w:line="215" w:lineRule="exact"/>
              <w:rPr>
                <w:sz w:val="20"/>
                <w:szCs w:val="20"/>
                <w:color w:val="auto"/>
              </w:rPr>
            </w:pPr>
            <w:r>
              <w:rPr>
                <w:rFonts w:ascii="Calibri" w:cs="Calibri" w:eastAsia="Calibri" w:hAnsi="Calibri"/>
                <w:sz w:val="18"/>
                <w:szCs w:val="18"/>
                <w:b w:val="1"/>
                <w:bCs w:val="1"/>
                <w:color w:val="FFFFFF"/>
              </w:rPr>
              <w:t>Postretrement</w:t>
            </w:r>
          </w:p>
        </w:tc>
        <w:tc>
          <w:tcPr>
            <w:tcW w:w="400" w:type="dxa"/>
            <w:vAlign w:val="bottom"/>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jc w:val="center"/>
              <w:ind w:right="310"/>
              <w:spacing w:after="0" w:line="215" w:lineRule="exact"/>
              <w:rPr>
                <w:sz w:val="20"/>
                <w:szCs w:val="20"/>
                <w:color w:val="auto"/>
              </w:rPr>
            </w:pPr>
            <w:r>
              <w:rPr>
                <w:rFonts w:ascii="Calibri" w:cs="Calibri" w:eastAsia="Calibri" w:hAnsi="Calibri"/>
                <w:sz w:val="18"/>
                <w:szCs w:val="18"/>
                <w:b w:val="1"/>
                <w:bCs w:val="1"/>
                <w:color w:val="FFFFFF"/>
                <w:w w:val="96"/>
              </w:rPr>
              <w:t>Foreign</w:t>
            </w:r>
          </w:p>
        </w:tc>
        <w:tc>
          <w:tcPr>
            <w:tcW w:w="460" w:type="dxa"/>
            <w:vAlign w:val="bottom"/>
            <w:shd w:val="clear" w:color="auto" w:fill="007CBA"/>
          </w:tcPr>
          <w:p>
            <w:pPr>
              <w:spacing w:after="0"/>
              <w:rPr>
                <w:sz w:val="18"/>
                <w:szCs w:val="18"/>
                <w:color w:val="auto"/>
              </w:rPr>
            </w:pPr>
          </w:p>
        </w:tc>
        <w:tc>
          <w:tcPr>
            <w:tcW w:w="1200" w:type="dxa"/>
            <w:vAlign w:val="bottom"/>
            <w:shd w:val="clear" w:color="auto" w:fill="007CBA"/>
          </w:tcPr>
          <w:p>
            <w:pPr>
              <w:spacing w:after="0"/>
              <w:rPr>
                <w:sz w:val="18"/>
                <w:szCs w:val="18"/>
                <w:color w:val="auto"/>
              </w:rPr>
            </w:pPr>
          </w:p>
        </w:tc>
      </w:tr>
      <w:tr>
        <w:trPr>
          <w:trHeight w:val="229"/>
        </w:trPr>
        <w:tc>
          <w:tcPr>
            <w:tcW w:w="62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300" w:type="dxa"/>
            <w:vAlign w:val="bottom"/>
            <w:shd w:val="clear" w:color="auto" w:fill="007CBA"/>
          </w:tcPr>
          <w:p>
            <w:pPr>
              <w:spacing w:after="0"/>
              <w:rPr>
                <w:sz w:val="19"/>
                <w:szCs w:val="19"/>
                <w:color w:val="auto"/>
              </w:rPr>
            </w:pPr>
          </w:p>
        </w:tc>
        <w:tc>
          <w:tcPr>
            <w:tcW w:w="1400" w:type="dxa"/>
            <w:vAlign w:val="bottom"/>
            <w:tcBorders>
              <w:right w:val="single" w:sz="8" w:color="007CBA"/>
            </w:tcBorders>
            <w:shd w:val="clear" w:color="auto" w:fill="007CBA"/>
          </w:tcPr>
          <w:p>
            <w:pPr>
              <w:jc w:val="center"/>
              <w:ind w:right="150"/>
              <w:spacing w:after="0" w:line="216" w:lineRule="exact"/>
              <w:rPr>
                <w:sz w:val="20"/>
                <w:szCs w:val="20"/>
                <w:color w:val="auto"/>
              </w:rPr>
            </w:pPr>
            <w:r>
              <w:rPr>
                <w:rFonts w:ascii="Calibri" w:cs="Calibri" w:eastAsia="Calibri" w:hAnsi="Calibri"/>
                <w:sz w:val="18"/>
                <w:szCs w:val="18"/>
                <w:b w:val="1"/>
                <w:bCs w:val="1"/>
                <w:color w:val="FFFFFF"/>
              </w:rPr>
              <w:t>Beneft Plans</w:t>
            </w:r>
          </w:p>
        </w:tc>
        <w:tc>
          <w:tcPr>
            <w:tcW w:w="400" w:type="dxa"/>
            <w:vAlign w:val="bottom"/>
            <w:shd w:val="clear" w:color="auto" w:fill="007CBA"/>
          </w:tcPr>
          <w:p>
            <w:pPr>
              <w:spacing w:after="0"/>
              <w:rPr>
                <w:sz w:val="19"/>
                <w:szCs w:val="19"/>
                <w:color w:val="auto"/>
              </w:rPr>
            </w:pPr>
          </w:p>
        </w:tc>
        <w:tc>
          <w:tcPr>
            <w:tcW w:w="1260" w:type="dxa"/>
            <w:vAlign w:val="bottom"/>
            <w:tcBorders>
              <w:right w:val="single" w:sz="8" w:color="007CBA"/>
            </w:tcBorders>
            <w:shd w:val="clear" w:color="auto" w:fill="007CBA"/>
          </w:tcPr>
          <w:p>
            <w:pPr>
              <w:jc w:val="center"/>
              <w:ind w:right="270"/>
              <w:spacing w:after="0" w:line="216" w:lineRule="exact"/>
              <w:rPr>
                <w:sz w:val="20"/>
                <w:szCs w:val="20"/>
                <w:color w:val="auto"/>
              </w:rPr>
            </w:pPr>
            <w:r>
              <w:rPr>
                <w:rFonts w:ascii="Calibri" w:cs="Calibri" w:eastAsia="Calibri" w:hAnsi="Calibri"/>
                <w:sz w:val="18"/>
                <w:szCs w:val="18"/>
                <w:b w:val="1"/>
                <w:bCs w:val="1"/>
                <w:color w:val="FFFFFF"/>
                <w:w w:val="98"/>
              </w:rPr>
              <w:t>Currency</w:t>
            </w:r>
          </w:p>
        </w:tc>
        <w:tc>
          <w:tcPr>
            <w:tcW w:w="460" w:type="dxa"/>
            <w:vAlign w:val="bottom"/>
            <w:shd w:val="clear" w:color="auto" w:fill="007CBA"/>
          </w:tcPr>
          <w:p>
            <w:pPr>
              <w:spacing w:after="0"/>
              <w:rPr>
                <w:sz w:val="19"/>
                <w:szCs w:val="19"/>
                <w:color w:val="auto"/>
              </w:rPr>
            </w:pPr>
          </w:p>
        </w:tc>
        <w:tc>
          <w:tcPr>
            <w:tcW w:w="1200" w:type="dxa"/>
            <w:vAlign w:val="bottom"/>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Total</w:t>
            </w:r>
          </w:p>
        </w:tc>
      </w:tr>
      <w:tr>
        <w:trPr>
          <w:trHeight w:val="219"/>
        </w:trPr>
        <w:tc>
          <w:tcPr>
            <w:tcW w:w="622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w:t>
            </w:r>
          </w:p>
        </w:tc>
        <w:tc>
          <w:tcPr>
            <w:tcW w:w="300" w:type="dxa"/>
            <w:vAlign w:val="bottom"/>
            <w:tcBorders>
              <w:bottom w:val="single" w:sz="8" w:color="007CBA"/>
            </w:tcBorders>
            <w:shd w:val="clear" w:color="auto" w:fill="007CBA"/>
          </w:tcPr>
          <w:p>
            <w:pPr>
              <w:spacing w:after="0"/>
              <w:rPr>
                <w:sz w:val="19"/>
                <w:szCs w:val="19"/>
                <w:color w:val="auto"/>
              </w:rPr>
            </w:pPr>
          </w:p>
        </w:tc>
        <w:tc>
          <w:tcPr>
            <w:tcW w:w="1400" w:type="dxa"/>
            <w:vAlign w:val="bottom"/>
            <w:tcBorders>
              <w:bottom w:val="single" w:sz="8" w:color="007CBA"/>
              <w:right w:val="single" w:sz="8" w:color="007CBA"/>
            </w:tcBorders>
            <w:shd w:val="clear" w:color="auto" w:fill="007CBA"/>
          </w:tcPr>
          <w:p>
            <w:pPr>
              <w:spacing w:after="0"/>
              <w:rPr>
                <w:sz w:val="19"/>
                <w:szCs w:val="19"/>
                <w:color w:val="auto"/>
              </w:rPr>
            </w:pPr>
          </w:p>
        </w:tc>
        <w:tc>
          <w:tcPr>
            <w:tcW w:w="400" w:type="dxa"/>
            <w:vAlign w:val="bottom"/>
            <w:tcBorders>
              <w:bottom w:val="single" w:sz="8" w:color="007CBA"/>
            </w:tcBorders>
            <w:shd w:val="clear" w:color="auto" w:fill="007CBA"/>
          </w:tcPr>
          <w:p>
            <w:pPr>
              <w:spacing w:after="0"/>
              <w:rPr>
                <w:sz w:val="19"/>
                <w:szCs w:val="19"/>
                <w:color w:val="auto"/>
              </w:rPr>
            </w:pPr>
          </w:p>
        </w:tc>
        <w:tc>
          <w:tcPr>
            <w:tcW w:w="1260" w:type="dxa"/>
            <w:vAlign w:val="bottom"/>
            <w:tcBorders>
              <w:bottom w:val="single" w:sz="8" w:color="007CBA"/>
              <w:right w:val="single" w:sz="8" w:color="007CBA"/>
            </w:tcBorders>
            <w:shd w:val="clear" w:color="auto" w:fill="007CBA"/>
          </w:tcPr>
          <w:p>
            <w:pPr>
              <w:jc w:val="center"/>
              <w:ind w:right="290"/>
              <w:spacing w:after="0" w:line="216" w:lineRule="exact"/>
              <w:rPr>
                <w:sz w:val="20"/>
                <w:szCs w:val="20"/>
                <w:color w:val="auto"/>
              </w:rPr>
            </w:pPr>
            <w:r>
              <w:rPr>
                <w:rFonts w:ascii="Calibri" w:cs="Calibri" w:eastAsia="Calibri" w:hAnsi="Calibri"/>
                <w:sz w:val="18"/>
                <w:szCs w:val="18"/>
                <w:b w:val="1"/>
                <w:bCs w:val="1"/>
                <w:color w:val="FFFFFF"/>
                <w:w w:val="98"/>
              </w:rPr>
              <w:t>2024</w:t>
            </w:r>
          </w:p>
        </w:tc>
        <w:tc>
          <w:tcPr>
            <w:tcW w:w="460" w:type="dxa"/>
            <w:vAlign w:val="bottom"/>
            <w:tcBorders>
              <w:bottom w:val="single" w:sz="8" w:color="007CBA"/>
            </w:tcBorders>
            <w:shd w:val="clear" w:color="auto" w:fill="007CBA"/>
          </w:tcPr>
          <w:p>
            <w:pPr>
              <w:spacing w:after="0"/>
              <w:rPr>
                <w:sz w:val="19"/>
                <w:szCs w:val="19"/>
                <w:color w:val="auto"/>
              </w:rPr>
            </w:pPr>
          </w:p>
        </w:tc>
        <w:tc>
          <w:tcPr>
            <w:tcW w:w="1200" w:type="dxa"/>
            <w:vAlign w:val="bottom"/>
            <w:tcBorders>
              <w:bottom w:val="single" w:sz="8" w:color="007CBA"/>
            </w:tcBorders>
            <w:shd w:val="clear" w:color="auto" w:fill="007CBA"/>
          </w:tcPr>
          <w:p>
            <w:pPr>
              <w:spacing w:after="0"/>
              <w:rPr>
                <w:sz w:val="19"/>
                <w:szCs w:val="19"/>
                <w:color w:val="auto"/>
              </w:rPr>
            </w:pPr>
          </w:p>
        </w:tc>
      </w:tr>
      <w:tr>
        <w:trPr>
          <w:trHeight w:val="215"/>
        </w:trPr>
        <w:tc>
          <w:tcPr>
            <w:tcW w:w="62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Accumulated other comprehensive loss at beginning of period</w:t>
            </w:r>
          </w:p>
        </w:tc>
        <w:tc>
          <w:tcPr>
            <w:tcW w:w="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(48 )</w:t>
            </w:r>
          </w:p>
        </w:tc>
        <w:tc>
          <w:tcPr>
            <w:tcW w:w="40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(1 )</w:t>
            </w:r>
          </w:p>
        </w:tc>
        <w:tc>
          <w:tcPr>
            <w:tcW w:w="46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(49 )</w:t>
            </w:r>
          </w:p>
        </w:tc>
      </w:tr>
      <w:tr>
        <w:trPr>
          <w:trHeight w:val="188"/>
        </w:trPr>
        <w:tc>
          <w:tcPr>
            <w:tcW w:w="6220" w:type="dxa"/>
            <w:vAlign w:val="bottom"/>
            <w:tcBorders>
              <w:right w:val="single" w:sz="8" w:color="007CBA"/>
            </w:tcBorders>
            <w:shd w:val="clear" w:color="auto" w:fill="E5F1F8"/>
          </w:tcPr>
          <w:p>
            <w:pPr>
              <w:ind w:left="120"/>
              <w:spacing w:after="0" w:line="187" w:lineRule="exact"/>
              <w:rPr>
                <w:sz w:val="20"/>
                <w:szCs w:val="20"/>
                <w:color w:val="auto"/>
              </w:rPr>
            </w:pPr>
            <w:r>
              <w:rPr>
                <w:rFonts w:ascii="Calibri" w:cs="Calibri" w:eastAsia="Calibri" w:hAnsi="Calibri"/>
                <w:sz w:val="18"/>
                <w:szCs w:val="18"/>
                <w:color w:val="auto"/>
              </w:rPr>
              <w:t>Other comprehensive earnings (loss) before</w:t>
            </w:r>
          </w:p>
        </w:tc>
        <w:tc>
          <w:tcPr>
            <w:tcW w:w="300" w:type="dxa"/>
            <w:vAlign w:val="bottom"/>
            <w:shd w:val="clear" w:color="auto" w:fill="E5F1F8"/>
          </w:tcPr>
          <w:p>
            <w:pPr>
              <w:spacing w:after="0"/>
              <w:rPr>
                <w:sz w:val="16"/>
                <w:szCs w:val="16"/>
                <w:color w:val="auto"/>
              </w:rPr>
            </w:pPr>
          </w:p>
        </w:tc>
        <w:tc>
          <w:tcPr>
            <w:tcW w:w="1400" w:type="dxa"/>
            <w:vAlign w:val="bottom"/>
            <w:tcBorders>
              <w:right w:val="single" w:sz="8" w:color="007CBA"/>
            </w:tcBorders>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1260" w:type="dxa"/>
            <w:vAlign w:val="bottom"/>
            <w:tcBorders>
              <w:right w:val="single" w:sz="8" w:color="007CBA"/>
            </w:tcBorders>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1200" w:type="dxa"/>
            <w:vAlign w:val="bottom"/>
            <w:shd w:val="clear" w:color="auto" w:fill="E5F1F8"/>
          </w:tcPr>
          <w:p>
            <w:pPr>
              <w:spacing w:after="0"/>
              <w:rPr>
                <w:sz w:val="16"/>
                <w:szCs w:val="16"/>
                <w:color w:val="auto"/>
              </w:rPr>
            </w:pPr>
          </w:p>
        </w:tc>
      </w:tr>
      <w:tr>
        <w:trPr>
          <w:trHeight w:val="218"/>
        </w:trPr>
        <w:tc>
          <w:tcPr>
            <w:tcW w:w="622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reclassifcatons, net of tax</w:t>
            </w:r>
          </w:p>
        </w:tc>
        <w:tc>
          <w:tcPr>
            <w:tcW w:w="300" w:type="dxa"/>
            <w:vAlign w:val="bottom"/>
            <w:tcBorders>
              <w:bottom w:val="single" w:sz="8" w:color="E5F1F8"/>
            </w:tcBorders>
            <w:shd w:val="clear" w:color="auto" w:fill="E5F1F8"/>
          </w:tcPr>
          <w:p>
            <w:pPr>
              <w:spacing w:after="0"/>
              <w:rPr>
                <w:sz w:val="18"/>
                <w:szCs w:val="18"/>
                <w:color w:val="auto"/>
              </w:rPr>
            </w:pPr>
          </w:p>
        </w:tc>
        <w:tc>
          <w:tcPr>
            <w:tcW w:w="14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33</w:t>
            </w:r>
          </w:p>
        </w:tc>
        <w:tc>
          <w:tcPr>
            <w:tcW w:w="400" w:type="dxa"/>
            <w:vAlign w:val="bottom"/>
            <w:tcBorders>
              <w:bottom w:val="single" w:sz="8" w:color="E5F1F8"/>
            </w:tcBorders>
            <w:shd w:val="clear" w:color="auto" w:fill="E5F1F8"/>
          </w:tcPr>
          <w:p>
            <w:pPr>
              <w:spacing w:after="0"/>
              <w:rPr>
                <w:sz w:val="18"/>
                <w:szCs w:val="18"/>
                <w:color w:val="auto"/>
              </w:rPr>
            </w:pPr>
          </w:p>
        </w:tc>
        <w:tc>
          <w:tcPr>
            <w:tcW w:w="12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(3 )</w:t>
            </w:r>
          </w:p>
        </w:tc>
        <w:tc>
          <w:tcPr>
            <w:tcW w:w="460" w:type="dxa"/>
            <w:vAlign w:val="bottom"/>
            <w:tcBorders>
              <w:bottom w:val="single" w:sz="8" w:color="E5F1F8"/>
            </w:tcBorders>
            <w:shd w:val="clear" w:color="auto" w:fill="E5F1F8"/>
          </w:tcPr>
          <w:p>
            <w:pPr>
              <w:spacing w:after="0"/>
              <w:rPr>
                <w:sz w:val="18"/>
                <w:szCs w:val="18"/>
                <w:color w:val="auto"/>
              </w:rPr>
            </w:pPr>
          </w:p>
        </w:tc>
        <w:tc>
          <w:tcPr>
            <w:tcW w:w="120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30</w:t>
            </w:r>
          </w:p>
        </w:tc>
      </w:tr>
      <w:tr>
        <w:trPr>
          <w:trHeight w:val="194"/>
        </w:trPr>
        <w:tc>
          <w:tcPr>
            <w:tcW w:w="6220" w:type="dxa"/>
            <w:vAlign w:val="bottom"/>
          </w:tcPr>
          <w:p>
            <w:pPr>
              <w:ind w:left="120"/>
              <w:spacing w:after="0" w:line="194" w:lineRule="exact"/>
              <w:rPr>
                <w:sz w:val="20"/>
                <w:szCs w:val="20"/>
                <w:color w:val="auto"/>
              </w:rPr>
            </w:pPr>
            <w:r>
              <w:rPr>
                <w:rFonts w:ascii="Calibri" w:cs="Calibri" w:eastAsia="Calibri" w:hAnsi="Calibri"/>
                <w:sz w:val="18"/>
                <w:szCs w:val="18"/>
                <w:color w:val="auto"/>
              </w:rPr>
              <w:t>Amounts reclassifed from accumulated other</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6220" w:type="dxa"/>
            <w:vAlign w:val="bottom"/>
          </w:tcPr>
          <w:p>
            <w:pPr>
              <w:ind w:left="240"/>
              <w:spacing w:after="0" w:line="215" w:lineRule="exact"/>
              <w:rPr>
                <w:sz w:val="20"/>
                <w:szCs w:val="20"/>
                <w:color w:val="auto"/>
              </w:rPr>
            </w:pPr>
            <w:r>
              <w:rPr>
                <w:rFonts w:ascii="Calibri" w:cs="Calibri" w:eastAsia="Calibri" w:hAnsi="Calibri"/>
                <w:sz w:val="18"/>
                <w:szCs w:val="18"/>
                <w:color w:val="auto"/>
              </w:rPr>
              <w:t>comprehensive loss, net of tax</w:t>
            </w:r>
          </w:p>
        </w:tc>
        <w:tc>
          <w:tcPr>
            <w:tcW w:w="300" w:type="dxa"/>
            <w:vAlign w:val="bottom"/>
          </w:tcPr>
          <w:p>
            <w:pPr>
              <w:spacing w:after="0"/>
              <w:rPr>
                <w:sz w:val="18"/>
                <w:szCs w:val="18"/>
                <w:color w:val="auto"/>
              </w:rPr>
            </w:pPr>
          </w:p>
        </w:tc>
        <w:tc>
          <w:tcPr>
            <w:tcW w:w="14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6</w:t>
            </w:r>
          </w:p>
        </w:tc>
        <w:tc>
          <w:tcPr>
            <w:tcW w:w="400" w:type="dxa"/>
            <w:vAlign w:val="bottom"/>
          </w:tcPr>
          <w:p>
            <w:pPr>
              <w:spacing w:after="0"/>
              <w:rPr>
                <w:sz w:val="18"/>
                <w:szCs w:val="18"/>
                <w:color w:val="auto"/>
              </w:rPr>
            </w:pPr>
          </w:p>
        </w:tc>
        <w:tc>
          <w:tcPr>
            <w:tcW w:w="12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Pr>
          <w:p>
            <w:pPr>
              <w:spacing w:after="0"/>
              <w:rPr>
                <w:sz w:val="18"/>
                <w:szCs w:val="18"/>
                <w:color w:val="auto"/>
              </w:rPr>
            </w:pP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6</w:t>
            </w:r>
          </w:p>
        </w:tc>
      </w:tr>
      <w:tr>
        <w:trPr>
          <w:trHeight w:val="23"/>
        </w:trPr>
        <w:tc>
          <w:tcPr>
            <w:tcW w:w="6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2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Other comprehensive earnings (loss), net of tax</w:t>
            </w:r>
          </w:p>
        </w:tc>
        <w:tc>
          <w:tcPr>
            <w:tcW w:w="300" w:type="dxa"/>
            <w:vAlign w:val="bottom"/>
            <w:tcBorders>
              <w:bottom w:val="single" w:sz="8" w:color="auto"/>
            </w:tcBorders>
            <w:shd w:val="clear" w:color="auto" w:fill="E5F1F8"/>
          </w:tcPr>
          <w:p>
            <w:pPr>
              <w:spacing w:after="0"/>
              <w:rPr>
                <w:sz w:val="18"/>
                <w:szCs w:val="18"/>
                <w:color w:val="auto"/>
              </w:rPr>
            </w:pPr>
          </w:p>
        </w:tc>
        <w:tc>
          <w:tcPr>
            <w:tcW w:w="140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39</w:t>
            </w:r>
          </w:p>
        </w:tc>
        <w:tc>
          <w:tcPr>
            <w:tcW w:w="400" w:type="dxa"/>
            <w:vAlign w:val="bottom"/>
            <w:tcBorders>
              <w:bottom w:val="single" w:sz="8" w:color="auto"/>
            </w:tcBorders>
            <w:shd w:val="clear" w:color="auto" w:fill="E5F1F8"/>
          </w:tcPr>
          <w:p>
            <w:pPr>
              <w:spacing w:after="0"/>
              <w:rPr>
                <w:sz w:val="18"/>
                <w:szCs w:val="18"/>
                <w:color w:val="auto"/>
              </w:rPr>
            </w:pPr>
          </w:p>
        </w:tc>
        <w:tc>
          <w:tcPr>
            <w:tcW w:w="1260" w:type="dxa"/>
            <w:vAlign w:val="bottom"/>
            <w:tcBorders>
              <w:bottom w:val="single" w:sz="8" w:color="auto"/>
              <w:right w:val="single" w:sz="8" w:color="E5F1F8"/>
            </w:tcBorders>
            <w:shd w:val="clear" w:color="auto" w:fill="E5F1F8"/>
          </w:tcPr>
          <w:p>
            <w:pPr>
              <w:jc w:val="right"/>
              <w:spacing w:after="0" w:line="209" w:lineRule="exact"/>
              <w:rPr>
                <w:sz w:val="20"/>
                <w:szCs w:val="20"/>
                <w:color w:val="auto"/>
              </w:rPr>
            </w:pPr>
            <w:r>
              <w:rPr>
                <w:rFonts w:ascii="Calibri" w:cs="Calibri" w:eastAsia="Calibri" w:hAnsi="Calibri"/>
                <w:sz w:val="18"/>
                <w:szCs w:val="18"/>
                <w:b w:val="1"/>
                <w:bCs w:val="1"/>
                <w:color w:val="auto"/>
              </w:rPr>
              <w:t>(3 )</w:t>
            </w:r>
          </w:p>
        </w:tc>
        <w:tc>
          <w:tcPr>
            <w:tcW w:w="460" w:type="dxa"/>
            <w:vAlign w:val="bottom"/>
            <w:tcBorders>
              <w:bottom w:val="single" w:sz="8" w:color="auto"/>
            </w:tcBorders>
            <w:shd w:val="clear" w:color="auto" w:fill="E5F1F8"/>
          </w:tcPr>
          <w:p>
            <w:pPr>
              <w:spacing w:after="0"/>
              <w:rPr>
                <w:sz w:val="18"/>
                <w:szCs w:val="18"/>
                <w:color w:val="auto"/>
              </w:rPr>
            </w:pPr>
          </w:p>
        </w:tc>
        <w:tc>
          <w:tcPr>
            <w:tcW w:w="120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36</w:t>
            </w:r>
          </w:p>
        </w:tc>
      </w:tr>
      <w:tr>
        <w:trPr>
          <w:trHeight w:val="209"/>
        </w:trPr>
        <w:tc>
          <w:tcPr>
            <w:tcW w:w="622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Accumulated other comprehensive loss at end of period</w:t>
            </w:r>
          </w:p>
        </w:tc>
        <w:tc>
          <w:tcPr>
            <w:tcW w:w="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(9 )</w:t>
            </w:r>
          </w:p>
        </w:tc>
        <w:tc>
          <w:tcPr>
            <w:tcW w:w="40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(4 )</w:t>
            </w:r>
          </w:p>
        </w:tc>
        <w:tc>
          <w:tcPr>
            <w:tcW w:w="46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(13 )</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220" w:type="dxa"/>
            <w:vAlign w:val="bottom"/>
            <w:tcBorders>
              <w:bottom w:val="single" w:sz="8" w:color="auto"/>
              <w:right w:val="single" w:sz="8" w:color="E5F1F8"/>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Cumulatve noncurrent deferred tax assets at end of period</w:t>
            </w:r>
          </w:p>
        </w:tc>
        <w:tc>
          <w:tcPr>
            <w:tcW w:w="300" w:type="dxa"/>
            <w:vAlign w:val="bottom"/>
            <w:tcBorders>
              <w:bottom w:val="single" w:sz="8" w:color="auto"/>
            </w:tcBorders>
            <w:shd w:val="clear" w:color="auto" w:fill="E5F1F8"/>
          </w:tcPr>
          <w:p>
            <w:pPr>
              <w:jc w:val="right"/>
              <w:spacing w:after="0" w:line="196"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b w:val="1"/>
                <w:bCs w:val="1"/>
                <w:color w:val="auto"/>
              </w:rPr>
              <w:t>41</w:t>
            </w:r>
          </w:p>
        </w:tc>
        <w:tc>
          <w:tcPr>
            <w:tcW w:w="400" w:type="dxa"/>
            <w:vAlign w:val="bottom"/>
            <w:tcBorders>
              <w:bottom w:val="single" w:sz="8" w:color="auto"/>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auto"/>
            </w:tcBorders>
            <w:shd w:val="clear" w:color="auto" w:fill="E5F1F8"/>
          </w:tcPr>
          <w:p>
            <w:pPr>
              <w:jc w:val="right"/>
              <w:ind w:right="110"/>
              <w:spacing w:after="0" w:line="196"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bottom w:val="single" w:sz="8" w:color="auto"/>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b w:val="1"/>
                <w:bCs w:val="1"/>
                <w:color w:val="auto"/>
              </w:rPr>
              <w:t>41</w:t>
            </w:r>
          </w:p>
        </w:tc>
      </w:tr>
      <w:tr>
        <w:trPr>
          <w:trHeight w:val="210"/>
        </w:trPr>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22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400" w:type="dxa"/>
            <w:vAlign w:val="bottom"/>
            <w:tcBorders>
              <w:right w:val="single" w:sz="8" w:color="007CBA"/>
            </w:tcBorders>
            <w:shd w:val="clear" w:color="auto" w:fill="007CBA"/>
          </w:tcPr>
          <w:p>
            <w:pPr>
              <w:spacing w:after="0"/>
              <w:rPr>
                <w:sz w:val="18"/>
                <w:szCs w:val="18"/>
                <w:color w:val="auto"/>
              </w:rPr>
            </w:pPr>
          </w:p>
        </w:tc>
        <w:tc>
          <w:tcPr>
            <w:tcW w:w="400" w:type="dxa"/>
            <w:vAlign w:val="bottom"/>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jc w:val="center"/>
              <w:ind w:right="290"/>
              <w:spacing w:after="0" w:line="215" w:lineRule="exact"/>
              <w:rPr>
                <w:sz w:val="20"/>
                <w:szCs w:val="20"/>
                <w:color w:val="auto"/>
              </w:rPr>
            </w:pPr>
            <w:r>
              <w:rPr>
                <w:rFonts w:ascii="Calibri" w:cs="Calibri" w:eastAsia="Calibri" w:hAnsi="Calibri"/>
                <w:sz w:val="18"/>
                <w:szCs w:val="18"/>
                <w:color w:val="FFFFFF"/>
                <w:w w:val="98"/>
              </w:rPr>
              <w:t>2023</w:t>
            </w:r>
          </w:p>
        </w:tc>
        <w:tc>
          <w:tcPr>
            <w:tcW w:w="460" w:type="dxa"/>
            <w:vAlign w:val="bottom"/>
            <w:shd w:val="clear" w:color="auto" w:fill="007CBA"/>
          </w:tcPr>
          <w:p>
            <w:pPr>
              <w:spacing w:after="0"/>
              <w:rPr>
                <w:sz w:val="18"/>
                <w:szCs w:val="18"/>
                <w:color w:val="auto"/>
              </w:rPr>
            </w:pPr>
          </w:p>
        </w:tc>
        <w:tc>
          <w:tcPr>
            <w:tcW w:w="1200" w:type="dxa"/>
            <w:vAlign w:val="bottom"/>
            <w:shd w:val="clear" w:color="auto" w:fill="007CBA"/>
          </w:tcPr>
          <w:p>
            <w:pPr>
              <w:spacing w:after="0"/>
              <w:rPr>
                <w:sz w:val="18"/>
                <w:szCs w:val="18"/>
                <w:color w:val="auto"/>
              </w:rPr>
            </w:pPr>
          </w:p>
        </w:tc>
      </w:tr>
      <w:tr>
        <w:trPr>
          <w:trHeight w:val="215"/>
        </w:trPr>
        <w:tc>
          <w:tcPr>
            <w:tcW w:w="62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Accumulated other comprehensive loss at beginning of period</w:t>
            </w:r>
          </w:p>
        </w:tc>
        <w:tc>
          <w:tcPr>
            <w:tcW w:w="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(36 )</w:t>
            </w:r>
          </w:p>
        </w:tc>
        <w:tc>
          <w:tcPr>
            <w:tcW w:w="40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(2 )</w:t>
            </w:r>
          </w:p>
        </w:tc>
        <w:tc>
          <w:tcPr>
            <w:tcW w:w="46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(38 )</w:t>
            </w:r>
          </w:p>
        </w:tc>
      </w:tr>
      <w:tr>
        <w:trPr>
          <w:trHeight w:val="188"/>
        </w:trPr>
        <w:tc>
          <w:tcPr>
            <w:tcW w:w="6220" w:type="dxa"/>
            <w:vAlign w:val="bottom"/>
            <w:tcBorders>
              <w:right w:val="single" w:sz="8" w:color="007CBA"/>
            </w:tcBorders>
            <w:shd w:val="clear" w:color="auto" w:fill="E5F1F8"/>
          </w:tcPr>
          <w:p>
            <w:pPr>
              <w:ind w:left="120"/>
              <w:spacing w:after="0" w:line="187" w:lineRule="exact"/>
              <w:rPr>
                <w:sz w:val="20"/>
                <w:szCs w:val="20"/>
                <w:color w:val="auto"/>
              </w:rPr>
            </w:pPr>
            <w:r>
              <w:rPr>
                <w:rFonts w:ascii="Calibri" w:cs="Calibri" w:eastAsia="Calibri" w:hAnsi="Calibri"/>
                <w:sz w:val="18"/>
                <w:szCs w:val="18"/>
                <w:color w:val="auto"/>
              </w:rPr>
              <w:t>Other comprehensive (loss) earnings before</w:t>
            </w:r>
          </w:p>
        </w:tc>
        <w:tc>
          <w:tcPr>
            <w:tcW w:w="300" w:type="dxa"/>
            <w:vAlign w:val="bottom"/>
            <w:shd w:val="clear" w:color="auto" w:fill="E5F1F8"/>
          </w:tcPr>
          <w:p>
            <w:pPr>
              <w:spacing w:after="0"/>
              <w:rPr>
                <w:sz w:val="16"/>
                <w:szCs w:val="16"/>
                <w:color w:val="auto"/>
              </w:rPr>
            </w:pPr>
          </w:p>
        </w:tc>
        <w:tc>
          <w:tcPr>
            <w:tcW w:w="1400" w:type="dxa"/>
            <w:vAlign w:val="bottom"/>
            <w:tcBorders>
              <w:right w:val="single" w:sz="8" w:color="007CBA"/>
            </w:tcBorders>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1260" w:type="dxa"/>
            <w:vAlign w:val="bottom"/>
            <w:tcBorders>
              <w:right w:val="single" w:sz="8" w:color="007CBA"/>
            </w:tcBorders>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1200" w:type="dxa"/>
            <w:vAlign w:val="bottom"/>
            <w:shd w:val="clear" w:color="auto" w:fill="E5F1F8"/>
          </w:tcPr>
          <w:p>
            <w:pPr>
              <w:spacing w:after="0"/>
              <w:rPr>
                <w:sz w:val="16"/>
                <w:szCs w:val="16"/>
                <w:color w:val="auto"/>
              </w:rPr>
            </w:pPr>
          </w:p>
        </w:tc>
      </w:tr>
      <w:tr>
        <w:trPr>
          <w:trHeight w:val="218"/>
        </w:trPr>
        <w:tc>
          <w:tcPr>
            <w:tcW w:w="622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reclassifcatons, net of tax</w:t>
            </w:r>
          </w:p>
        </w:tc>
        <w:tc>
          <w:tcPr>
            <w:tcW w:w="300" w:type="dxa"/>
            <w:vAlign w:val="bottom"/>
            <w:tcBorders>
              <w:bottom w:val="single" w:sz="8" w:color="E5F1F8"/>
            </w:tcBorders>
            <w:shd w:val="clear" w:color="auto" w:fill="E5F1F8"/>
          </w:tcPr>
          <w:p>
            <w:pPr>
              <w:spacing w:after="0"/>
              <w:rPr>
                <w:sz w:val="18"/>
                <w:szCs w:val="18"/>
                <w:color w:val="auto"/>
              </w:rPr>
            </w:pPr>
          </w:p>
        </w:tc>
        <w:tc>
          <w:tcPr>
            <w:tcW w:w="140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(16 )</w:t>
            </w:r>
          </w:p>
        </w:tc>
        <w:tc>
          <w:tcPr>
            <w:tcW w:w="400" w:type="dxa"/>
            <w:vAlign w:val="bottom"/>
            <w:tcBorders>
              <w:bottom w:val="single" w:sz="8" w:color="E5F1F8"/>
            </w:tcBorders>
            <w:shd w:val="clear" w:color="auto" w:fill="E5F1F8"/>
          </w:tcPr>
          <w:p>
            <w:pPr>
              <w:spacing w:after="0"/>
              <w:rPr>
                <w:sz w:val="18"/>
                <w:szCs w:val="18"/>
                <w:color w:val="auto"/>
              </w:rPr>
            </w:pPr>
          </w:p>
        </w:tc>
        <w:tc>
          <w:tcPr>
            <w:tcW w:w="12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Borders>
              <w:bottom w:val="single" w:sz="8" w:color="E5F1F8"/>
            </w:tcBorders>
            <w:shd w:val="clear" w:color="auto" w:fill="E5F1F8"/>
          </w:tcPr>
          <w:p>
            <w:pPr>
              <w:spacing w:after="0"/>
              <w:rPr>
                <w:sz w:val="18"/>
                <w:szCs w:val="18"/>
                <w:color w:val="auto"/>
              </w:rPr>
            </w:pPr>
          </w:p>
        </w:tc>
        <w:tc>
          <w:tcPr>
            <w:tcW w:w="12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(15 )</w:t>
            </w:r>
          </w:p>
        </w:tc>
      </w:tr>
      <w:tr>
        <w:trPr>
          <w:trHeight w:val="194"/>
        </w:trPr>
        <w:tc>
          <w:tcPr>
            <w:tcW w:w="6220" w:type="dxa"/>
            <w:vAlign w:val="bottom"/>
          </w:tcPr>
          <w:p>
            <w:pPr>
              <w:ind w:left="120"/>
              <w:spacing w:after="0" w:line="194" w:lineRule="exact"/>
              <w:rPr>
                <w:sz w:val="20"/>
                <w:szCs w:val="20"/>
                <w:color w:val="auto"/>
              </w:rPr>
            </w:pPr>
            <w:r>
              <w:rPr>
                <w:rFonts w:ascii="Calibri" w:cs="Calibri" w:eastAsia="Calibri" w:hAnsi="Calibri"/>
                <w:sz w:val="18"/>
                <w:szCs w:val="18"/>
                <w:color w:val="auto"/>
              </w:rPr>
              <w:t>Amounts reclassifed from accumulated other</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6220" w:type="dxa"/>
            <w:vAlign w:val="bottom"/>
          </w:tcPr>
          <w:p>
            <w:pPr>
              <w:ind w:left="240"/>
              <w:spacing w:after="0" w:line="215" w:lineRule="exact"/>
              <w:rPr>
                <w:sz w:val="20"/>
                <w:szCs w:val="20"/>
                <w:color w:val="auto"/>
              </w:rPr>
            </w:pPr>
            <w:r>
              <w:rPr>
                <w:rFonts w:ascii="Calibri" w:cs="Calibri" w:eastAsia="Calibri" w:hAnsi="Calibri"/>
                <w:sz w:val="18"/>
                <w:szCs w:val="18"/>
                <w:color w:val="auto"/>
              </w:rPr>
              <w:t>comprehensive loss, net of tax</w:t>
            </w:r>
          </w:p>
        </w:tc>
        <w:tc>
          <w:tcPr>
            <w:tcW w:w="300" w:type="dxa"/>
            <w:vAlign w:val="bottom"/>
          </w:tcPr>
          <w:p>
            <w:pPr>
              <w:spacing w:after="0"/>
              <w:rPr>
                <w:sz w:val="18"/>
                <w:szCs w:val="18"/>
                <w:color w:val="auto"/>
              </w:rPr>
            </w:pPr>
          </w:p>
        </w:tc>
        <w:tc>
          <w:tcPr>
            <w:tcW w:w="14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4</w:t>
            </w:r>
          </w:p>
        </w:tc>
        <w:tc>
          <w:tcPr>
            <w:tcW w:w="400" w:type="dxa"/>
            <w:vAlign w:val="bottom"/>
          </w:tcPr>
          <w:p>
            <w:pPr>
              <w:spacing w:after="0"/>
              <w:rPr>
                <w:sz w:val="18"/>
                <w:szCs w:val="18"/>
                <w:color w:val="auto"/>
              </w:rPr>
            </w:pPr>
          </w:p>
        </w:tc>
        <w:tc>
          <w:tcPr>
            <w:tcW w:w="1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18"/>
                <w:szCs w:val="18"/>
                <w:color w:val="auto"/>
              </w:rPr>
            </w:pP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4</w:t>
            </w:r>
          </w:p>
        </w:tc>
      </w:tr>
      <w:tr>
        <w:trPr>
          <w:trHeight w:val="23"/>
        </w:trPr>
        <w:tc>
          <w:tcPr>
            <w:tcW w:w="6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2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Other comprehensive (loss) earnings, net of tax</w:t>
            </w:r>
          </w:p>
        </w:tc>
        <w:tc>
          <w:tcPr>
            <w:tcW w:w="300" w:type="dxa"/>
            <w:vAlign w:val="bottom"/>
            <w:tcBorders>
              <w:bottom w:val="single" w:sz="8" w:color="auto"/>
            </w:tcBorders>
            <w:shd w:val="clear" w:color="auto" w:fill="E5F1F8"/>
          </w:tcPr>
          <w:p>
            <w:pPr>
              <w:spacing w:after="0"/>
              <w:rPr>
                <w:sz w:val="18"/>
                <w:szCs w:val="18"/>
                <w:color w:val="auto"/>
              </w:rPr>
            </w:pPr>
          </w:p>
        </w:tc>
        <w:tc>
          <w:tcPr>
            <w:tcW w:w="1400" w:type="dxa"/>
            <w:vAlign w:val="bottom"/>
            <w:tcBorders>
              <w:bottom w:val="single" w:sz="8" w:color="auto"/>
              <w:right w:val="single" w:sz="8" w:color="E5F1F8"/>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(12 )</w:t>
            </w:r>
          </w:p>
        </w:tc>
        <w:tc>
          <w:tcPr>
            <w:tcW w:w="400" w:type="dxa"/>
            <w:vAlign w:val="bottom"/>
            <w:tcBorders>
              <w:bottom w:val="single" w:sz="8" w:color="auto"/>
            </w:tcBorders>
            <w:shd w:val="clear" w:color="auto" w:fill="E5F1F8"/>
          </w:tcPr>
          <w:p>
            <w:pPr>
              <w:spacing w:after="0"/>
              <w:rPr>
                <w:sz w:val="18"/>
                <w:szCs w:val="18"/>
                <w:color w:val="auto"/>
              </w:rPr>
            </w:pPr>
          </w:p>
        </w:tc>
        <w:tc>
          <w:tcPr>
            <w:tcW w:w="126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1</w:t>
            </w:r>
          </w:p>
        </w:tc>
        <w:tc>
          <w:tcPr>
            <w:tcW w:w="460" w:type="dxa"/>
            <w:vAlign w:val="bottom"/>
            <w:tcBorders>
              <w:bottom w:val="single" w:sz="8" w:color="auto"/>
            </w:tcBorders>
            <w:shd w:val="clear" w:color="auto" w:fill="E5F1F8"/>
          </w:tcPr>
          <w:p>
            <w:pPr>
              <w:spacing w:after="0"/>
              <w:rPr>
                <w:sz w:val="18"/>
                <w:szCs w:val="18"/>
                <w:color w:val="auto"/>
              </w:rPr>
            </w:pPr>
          </w:p>
        </w:tc>
        <w:tc>
          <w:tcPr>
            <w:tcW w:w="120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(11 )</w:t>
            </w:r>
          </w:p>
        </w:tc>
      </w:tr>
      <w:tr>
        <w:trPr>
          <w:trHeight w:val="210"/>
        </w:trPr>
        <w:tc>
          <w:tcPr>
            <w:tcW w:w="622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Accumulated other comprehensive loss at end of period</w:t>
            </w:r>
          </w:p>
        </w:tc>
        <w:tc>
          <w:tcPr>
            <w:tcW w:w="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(48 )</w:t>
            </w:r>
          </w:p>
        </w:tc>
        <w:tc>
          <w:tcPr>
            <w:tcW w:w="40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(1 )</w:t>
            </w:r>
          </w:p>
        </w:tc>
        <w:tc>
          <w:tcPr>
            <w:tcW w:w="46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(49 )</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220" w:type="dxa"/>
            <w:vAlign w:val="bottom"/>
            <w:tcBorders>
              <w:bottom w:val="single" w:sz="8" w:color="auto"/>
              <w:right w:val="single" w:sz="8" w:color="E5F1F8"/>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Cumulatve noncurrent deferred tax assets at end of period</w:t>
            </w:r>
          </w:p>
        </w:tc>
        <w:tc>
          <w:tcPr>
            <w:tcW w:w="300" w:type="dxa"/>
            <w:vAlign w:val="bottom"/>
            <w:tcBorders>
              <w:bottom w:val="single" w:sz="8" w:color="auto"/>
            </w:tcBorders>
            <w:shd w:val="clear" w:color="auto" w:fill="E5F1F8"/>
          </w:tcPr>
          <w:p>
            <w:pPr>
              <w:jc w:val="right"/>
              <w:spacing w:after="0" w:line="196"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54</w:t>
            </w:r>
          </w:p>
        </w:tc>
        <w:tc>
          <w:tcPr>
            <w:tcW w:w="400" w:type="dxa"/>
            <w:vAlign w:val="bottom"/>
            <w:tcBorders>
              <w:bottom w:val="single" w:sz="8" w:color="auto"/>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auto"/>
            </w:tcBorders>
            <w:shd w:val="clear" w:color="auto" w:fill="E5F1F8"/>
          </w:tcPr>
          <w:p>
            <w:pPr>
              <w:jc w:val="right"/>
              <w:ind w:right="110"/>
              <w:spacing w:after="0" w:line="196"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54</w:t>
            </w:r>
          </w:p>
        </w:tc>
      </w:tr>
      <w:tr>
        <w:trPr>
          <w:trHeight w:val="210"/>
        </w:trPr>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22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400" w:type="dxa"/>
            <w:vAlign w:val="bottom"/>
            <w:tcBorders>
              <w:right w:val="single" w:sz="8" w:color="007CBA"/>
            </w:tcBorders>
            <w:shd w:val="clear" w:color="auto" w:fill="007CBA"/>
          </w:tcPr>
          <w:p>
            <w:pPr>
              <w:spacing w:after="0"/>
              <w:rPr>
                <w:sz w:val="18"/>
                <w:szCs w:val="18"/>
                <w:color w:val="auto"/>
              </w:rPr>
            </w:pPr>
          </w:p>
        </w:tc>
        <w:tc>
          <w:tcPr>
            <w:tcW w:w="400" w:type="dxa"/>
            <w:vAlign w:val="bottom"/>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jc w:val="center"/>
              <w:ind w:right="290"/>
              <w:spacing w:after="0" w:line="215" w:lineRule="exact"/>
              <w:rPr>
                <w:sz w:val="20"/>
                <w:szCs w:val="20"/>
                <w:color w:val="auto"/>
              </w:rPr>
            </w:pPr>
            <w:r>
              <w:rPr>
                <w:rFonts w:ascii="Calibri" w:cs="Calibri" w:eastAsia="Calibri" w:hAnsi="Calibri"/>
                <w:sz w:val="18"/>
                <w:szCs w:val="18"/>
                <w:color w:val="FFFFFF"/>
                <w:w w:val="98"/>
              </w:rPr>
              <w:t>2022</w:t>
            </w:r>
          </w:p>
        </w:tc>
        <w:tc>
          <w:tcPr>
            <w:tcW w:w="460" w:type="dxa"/>
            <w:vAlign w:val="bottom"/>
            <w:shd w:val="clear" w:color="auto" w:fill="007CBA"/>
          </w:tcPr>
          <w:p>
            <w:pPr>
              <w:spacing w:after="0"/>
              <w:rPr>
                <w:sz w:val="18"/>
                <w:szCs w:val="18"/>
                <w:color w:val="auto"/>
              </w:rPr>
            </w:pPr>
          </w:p>
        </w:tc>
        <w:tc>
          <w:tcPr>
            <w:tcW w:w="1200" w:type="dxa"/>
            <w:vAlign w:val="bottom"/>
            <w:shd w:val="clear" w:color="auto" w:fill="007CBA"/>
          </w:tcPr>
          <w:p>
            <w:pPr>
              <w:spacing w:after="0"/>
              <w:rPr>
                <w:sz w:val="18"/>
                <w:szCs w:val="18"/>
                <w:color w:val="auto"/>
              </w:rPr>
            </w:pPr>
          </w:p>
        </w:tc>
      </w:tr>
      <w:tr>
        <w:trPr>
          <w:trHeight w:val="215"/>
        </w:trPr>
        <w:tc>
          <w:tcPr>
            <w:tcW w:w="62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Accumulated other comprehensive loss at beginning of period</w:t>
            </w:r>
          </w:p>
        </w:tc>
        <w:tc>
          <w:tcPr>
            <w:tcW w:w="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(98 )</w:t>
            </w:r>
          </w:p>
        </w:tc>
        <w:tc>
          <w:tcPr>
            <w:tcW w:w="40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(98 )</w:t>
            </w:r>
          </w:p>
        </w:tc>
      </w:tr>
      <w:tr>
        <w:trPr>
          <w:trHeight w:val="188"/>
        </w:trPr>
        <w:tc>
          <w:tcPr>
            <w:tcW w:w="6220" w:type="dxa"/>
            <w:vAlign w:val="bottom"/>
            <w:tcBorders>
              <w:right w:val="single" w:sz="8" w:color="007CBA"/>
            </w:tcBorders>
            <w:shd w:val="clear" w:color="auto" w:fill="E5F1F8"/>
          </w:tcPr>
          <w:p>
            <w:pPr>
              <w:ind w:left="120"/>
              <w:spacing w:after="0" w:line="187" w:lineRule="exact"/>
              <w:rPr>
                <w:sz w:val="20"/>
                <w:szCs w:val="20"/>
                <w:color w:val="auto"/>
              </w:rPr>
            </w:pPr>
            <w:r>
              <w:rPr>
                <w:rFonts w:ascii="Calibri" w:cs="Calibri" w:eastAsia="Calibri" w:hAnsi="Calibri"/>
                <w:sz w:val="18"/>
                <w:szCs w:val="18"/>
                <w:color w:val="auto"/>
              </w:rPr>
              <w:t>Other comprehensive earnings (loss) before reclassifcatons,</w:t>
            </w:r>
          </w:p>
        </w:tc>
        <w:tc>
          <w:tcPr>
            <w:tcW w:w="300" w:type="dxa"/>
            <w:vAlign w:val="bottom"/>
            <w:shd w:val="clear" w:color="auto" w:fill="E5F1F8"/>
          </w:tcPr>
          <w:p>
            <w:pPr>
              <w:spacing w:after="0"/>
              <w:rPr>
                <w:sz w:val="16"/>
                <w:szCs w:val="16"/>
                <w:color w:val="auto"/>
              </w:rPr>
            </w:pPr>
          </w:p>
        </w:tc>
        <w:tc>
          <w:tcPr>
            <w:tcW w:w="1400" w:type="dxa"/>
            <w:vAlign w:val="bottom"/>
            <w:tcBorders>
              <w:right w:val="single" w:sz="8" w:color="007CBA"/>
            </w:tcBorders>
            <w:shd w:val="clear" w:color="auto" w:fill="E5F1F8"/>
          </w:tcPr>
          <w:p>
            <w:pPr>
              <w:spacing w:after="0"/>
              <w:rPr>
                <w:sz w:val="16"/>
                <w:szCs w:val="16"/>
                <w:color w:val="auto"/>
              </w:rPr>
            </w:pPr>
          </w:p>
        </w:tc>
        <w:tc>
          <w:tcPr>
            <w:tcW w:w="400" w:type="dxa"/>
            <w:vAlign w:val="bottom"/>
            <w:shd w:val="clear" w:color="auto" w:fill="E5F1F8"/>
          </w:tcPr>
          <w:p>
            <w:pPr>
              <w:spacing w:after="0"/>
              <w:rPr>
                <w:sz w:val="16"/>
                <w:szCs w:val="16"/>
                <w:color w:val="auto"/>
              </w:rPr>
            </w:pPr>
          </w:p>
        </w:tc>
        <w:tc>
          <w:tcPr>
            <w:tcW w:w="1260" w:type="dxa"/>
            <w:vAlign w:val="bottom"/>
            <w:tcBorders>
              <w:right w:val="single" w:sz="8" w:color="007CBA"/>
            </w:tcBorders>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1200" w:type="dxa"/>
            <w:vAlign w:val="bottom"/>
            <w:shd w:val="clear" w:color="auto" w:fill="E5F1F8"/>
          </w:tcPr>
          <w:p>
            <w:pPr>
              <w:spacing w:after="0"/>
              <w:rPr>
                <w:sz w:val="16"/>
                <w:szCs w:val="16"/>
                <w:color w:val="auto"/>
              </w:rPr>
            </w:pPr>
          </w:p>
        </w:tc>
      </w:tr>
      <w:tr>
        <w:trPr>
          <w:trHeight w:val="218"/>
        </w:trPr>
        <w:tc>
          <w:tcPr>
            <w:tcW w:w="622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net of tax</w:t>
            </w:r>
          </w:p>
        </w:tc>
        <w:tc>
          <w:tcPr>
            <w:tcW w:w="300" w:type="dxa"/>
            <w:vAlign w:val="bottom"/>
            <w:tcBorders>
              <w:bottom w:val="single" w:sz="8" w:color="E5F1F8"/>
            </w:tcBorders>
            <w:shd w:val="clear" w:color="auto" w:fill="E5F1F8"/>
          </w:tcPr>
          <w:p>
            <w:pPr>
              <w:spacing w:after="0"/>
              <w:rPr>
                <w:sz w:val="18"/>
                <w:szCs w:val="18"/>
                <w:color w:val="auto"/>
              </w:rPr>
            </w:pPr>
          </w:p>
        </w:tc>
        <w:tc>
          <w:tcPr>
            <w:tcW w:w="14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52</w:t>
            </w:r>
          </w:p>
        </w:tc>
        <w:tc>
          <w:tcPr>
            <w:tcW w:w="400" w:type="dxa"/>
            <w:vAlign w:val="bottom"/>
            <w:tcBorders>
              <w:bottom w:val="single" w:sz="8" w:color="E5F1F8"/>
            </w:tcBorders>
            <w:shd w:val="clear" w:color="auto" w:fill="E5F1F8"/>
          </w:tcPr>
          <w:p>
            <w:pPr>
              <w:spacing w:after="0"/>
              <w:rPr>
                <w:sz w:val="18"/>
                <w:szCs w:val="18"/>
                <w:color w:val="auto"/>
              </w:rPr>
            </w:pPr>
          </w:p>
        </w:tc>
        <w:tc>
          <w:tcPr>
            <w:tcW w:w="12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(2 )</w:t>
            </w:r>
          </w:p>
        </w:tc>
        <w:tc>
          <w:tcPr>
            <w:tcW w:w="460" w:type="dxa"/>
            <w:vAlign w:val="bottom"/>
            <w:tcBorders>
              <w:bottom w:val="single" w:sz="8" w:color="E5F1F8"/>
            </w:tcBorders>
            <w:shd w:val="clear" w:color="auto" w:fill="E5F1F8"/>
          </w:tcPr>
          <w:p>
            <w:pPr>
              <w:spacing w:after="0"/>
              <w:rPr>
                <w:sz w:val="18"/>
                <w:szCs w:val="18"/>
                <w:color w:val="auto"/>
              </w:rPr>
            </w:pPr>
          </w:p>
        </w:tc>
        <w:tc>
          <w:tcPr>
            <w:tcW w:w="120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50</w:t>
            </w:r>
          </w:p>
        </w:tc>
      </w:tr>
      <w:tr>
        <w:trPr>
          <w:trHeight w:val="194"/>
        </w:trPr>
        <w:tc>
          <w:tcPr>
            <w:tcW w:w="6220" w:type="dxa"/>
            <w:vAlign w:val="bottom"/>
          </w:tcPr>
          <w:p>
            <w:pPr>
              <w:ind w:left="120"/>
              <w:spacing w:after="0" w:line="194" w:lineRule="exact"/>
              <w:rPr>
                <w:sz w:val="20"/>
                <w:szCs w:val="20"/>
                <w:color w:val="auto"/>
              </w:rPr>
            </w:pPr>
            <w:r>
              <w:rPr>
                <w:rFonts w:ascii="Calibri" w:cs="Calibri" w:eastAsia="Calibri" w:hAnsi="Calibri"/>
                <w:sz w:val="18"/>
                <w:szCs w:val="18"/>
                <w:color w:val="auto"/>
              </w:rPr>
              <w:t>Amounts reclassifed from accumulated other</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6220" w:type="dxa"/>
            <w:vAlign w:val="bottom"/>
          </w:tcPr>
          <w:p>
            <w:pPr>
              <w:ind w:left="240"/>
              <w:spacing w:after="0" w:line="215" w:lineRule="exact"/>
              <w:rPr>
                <w:sz w:val="20"/>
                <w:szCs w:val="20"/>
                <w:color w:val="auto"/>
              </w:rPr>
            </w:pPr>
            <w:r>
              <w:rPr>
                <w:rFonts w:ascii="Calibri" w:cs="Calibri" w:eastAsia="Calibri" w:hAnsi="Calibri"/>
                <w:sz w:val="18"/>
                <w:szCs w:val="18"/>
                <w:color w:val="auto"/>
              </w:rPr>
              <w:t>comprehensive loss, net of tax</w:t>
            </w:r>
          </w:p>
        </w:tc>
        <w:tc>
          <w:tcPr>
            <w:tcW w:w="300" w:type="dxa"/>
            <w:vAlign w:val="bottom"/>
          </w:tcPr>
          <w:p>
            <w:pPr>
              <w:spacing w:after="0"/>
              <w:rPr>
                <w:sz w:val="18"/>
                <w:szCs w:val="18"/>
                <w:color w:val="auto"/>
              </w:rPr>
            </w:pPr>
          </w:p>
        </w:tc>
        <w:tc>
          <w:tcPr>
            <w:tcW w:w="14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10</w:t>
            </w:r>
          </w:p>
        </w:tc>
        <w:tc>
          <w:tcPr>
            <w:tcW w:w="400" w:type="dxa"/>
            <w:vAlign w:val="bottom"/>
          </w:tcPr>
          <w:p>
            <w:pPr>
              <w:spacing w:after="0"/>
              <w:rPr>
                <w:sz w:val="18"/>
                <w:szCs w:val="18"/>
                <w:color w:val="auto"/>
              </w:rPr>
            </w:pPr>
          </w:p>
        </w:tc>
        <w:tc>
          <w:tcPr>
            <w:tcW w:w="1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18"/>
                <w:szCs w:val="18"/>
                <w:color w:val="auto"/>
              </w:rPr>
            </w:pP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10</w:t>
            </w:r>
          </w:p>
        </w:tc>
      </w:tr>
      <w:tr>
        <w:trPr>
          <w:trHeight w:val="23"/>
        </w:trPr>
        <w:tc>
          <w:tcPr>
            <w:tcW w:w="6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2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Other comprehensive earnings (loss), net of tax</w:t>
            </w:r>
          </w:p>
        </w:tc>
        <w:tc>
          <w:tcPr>
            <w:tcW w:w="300" w:type="dxa"/>
            <w:vAlign w:val="bottom"/>
            <w:tcBorders>
              <w:bottom w:val="single" w:sz="8" w:color="auto"/>
            </w:tcBorders>
            <w:shd w:val="clear" w:color="auto" w:fill="E5F1F8"/>
          </w:tcPr>
          <w:p>
            <w:pPr>
              <w:spacing w:after="0"/>
              <w:rPr>
                <w:sz w:val="18"/>
                <w:szCs w:val="18"/>
                <w:color w:val="auto"/>
              </w:rPr>
            </w:pPr>
          </w:p>
        </w:tc>
        <w:tc>
          <w:tcPr>
            <w:tcW w:w="140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62</w:t>
            </w:r>
          </w:p>
        </w:tc>
        <w:tc>
          <w:tcPr>
            <w:tcW w:w="400" w:type="dxa"/>
            <w:vAlign w:val="bottom"/>
            <w:tcBorders>
              <w:bottom w:val="single" w:sz="8" w:color="auto"/>
            </w:tcBorders>
            <w:shd w:val="clear" w:color="auto" w:fill="E5F1F8"/>
          </w:tcPr>
          <w:p>
            <w:pPr>
              <w:spacing w:after="0"/>
              <w:rPr>
                <w:sz w:val="18"/>
                <w:szCs w:val="18"/>
                <w:color w:val="auto"/>
              </w:rPr>
            </w:pPr>
          </w:p>
        </w:tc>
        <w:tc>
          <w:tcPr>
            <w:tcW w:w="1260" w:type="dxa"/>
            <w:vAlign w:val="bottom"/>
            <w:tcBorders>
              <w:bottom w:val="single" w:sz="8" w:color="auto"/>
              <w:right w:val="single" w:sz="8" w:color="E5F1F8"/>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(2 )</w:t>
            </w:r>
          </w:p>
        </w:tc>
        <w:tc>
          <w:tcPr>
            <w:tcW w:w="460" w:type="dxa"/>
            <w:vAlign w:val="bottom"/>
            <w:tcBorders>
              <w:bottom w:val="single" w:sz="8" w:color="auto"/>
            </w:tcBorders>
            <w:shd w:val="clear" w:color="auto" w:fill="E5F1F8"/>
          </w:tcPr>
          <w:p>
            <w:pPr>
              <w:spacing w:after="0"/>
              <w:rPr>
                <w:sz w:val="18"/>
                <w:szCs w:val="18"/>
                <w:color w:val="auto"/>
              </w:rPr>
            </w:pPr>
          </w:p>
        </w:tc>
        <w:tc>
          <w:tcPr>
            <w:tcW w:w="120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60</w:t>
            </w:r>
          </w:p>
        </w:tc>
      </w:tr>
      <w:tr>
        <w:trPr>
          <w:trHeight w:val="209"/>
        </w:trPr>
        <w:tc>
          <w:tcPr>
            <w:tcW w:w="622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Accumulated other comprehensive loss at end of period</w:t>
            </w:r>
          </w:p>
        </w:tc>
        <w:tc>
          <w:tcPr>
            <w:tcW w:w="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(36 )</w:t>
            </w:r>
          </w:p>
        </w:tc>
        <w:tc>
          <w:tcPr>
            <w:tcW w:w="40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(2 )</w:t>
            </w:r>
          </w:p>
        </w:tc>
        <w:tc>
          <w:tcPr>
            <w:tcW w:w="46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(38 )</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6220" w:type="dxa"/>
            <w:vAlign w:val="bottom"/>
            <w:tcBorders>
              <w:bottom w:val="single" w:sz="8" w:color="auto"/>
              <w:right w:val="single" w:sz="8" w:color="E5F1F8"/>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Cumulatve noncurrent deferred tax assets at end of period</w:t>
            </w:r>
          </w:p>
        </w:tc>
        <w:tc>
          <w:tcPr>
            <w:tcW w:w="300" w:type="dxa"/>
            <w:vAlign w:val="bottom"/>
            <w:tcBorders>
              <w:bottom w:val="single" w:sz="8" w:color="auto"/>
            </w:tcBorders>
            <w:shd w:val="clear" w:color="auto" w:fill="E5F1F8"/>
          </w:tcPr>
          <w:p>
            <w:pPr>
              <w:jc w:val="right"/>
              <w:spacing w:after="0" w:line="196"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50</w:t>
            </w:r>
          </w:p>
        </w:tc>
        <w:tc>
          <w:tcPr>
            <w:tcW w:w="400" w:type="dxa"/>
            <w:vAlign w:val="bottom"/>
            <w:tcBorders>
              <w:bottom w:val="single" w:sz="8" w:color="auto"/>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auto"/>
            </w:tcBorders>
            <w:shd w:val="clear" w:color="auto" w:fill="E5F1F8"/>
          </w:tcPr>
          <w:p>
            <w:pPr>
              <w:jc w:val="right"/>
              <w:ind w:right="110"/>
              <w:spacing w:after="0" w:line="196"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-4165600</wp:posOffset>
            </wp:positionV>
            <wp:extent cx="31889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3188970"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-4032250</wp:posOffset>
            </wp:positionV>
            <wp:extent cx="33655"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-4032250</wp:posOffset>
            </wp:positionV>
            <wp:extent cx="33655"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-4032250</wp:posOffset>
            </wp:positionV>
            <wp:extent cx="33655"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-3612515</wp:posOffset>
            </wp:positionV>
            <wp:extent cx="33655" cy="7626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33655" cy="76263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-3612515</wp:posOffset>
            </wp:positionV>
            <wp:extent cx="33655" cy="7626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33655" cy="76263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-3612515</wp:posOffset>
            </wp:positionV>
            <wp:extent cx="33655" cy="7626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33655" cy="76263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-2600960</wp:posOffset>
            </wp:positionV>
            <wp:extent cx="33655" cy="1708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-2600960</wp:posOffset>
            </wp:positionV>
            <wp:extent cx="33655" cy="1708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-2600960</wp:posOffset>
            </wp:positionV>
            <wp:extent cx="33655" cy="1708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-2180590</wp:posOffset>
            </wp:positionV>
            <wp:extent cx="33655" cy="7626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33655" cy="76263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-2180590</wp:posOffset>
            </wp:positionV>
            <wp:extent cx="33655" cy="7626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33655" cy="76263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-2180590</wp:posOffset>
            </wp:positionV>
            <wp:extent cx="33655" cy="7626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33655" cy="76263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-1169035</wp:posOffset>
            </wp:positionV>
            <wp:extent cx="33655" cy="1708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-1169035</wp:posOffset>
            </wp:positionV>
            <wp:extent cx="33655" cy="1708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-1169035</wp:posOffset>
            </wp:positionV>
            <wp:extent cx="33655" cy="1708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-749300</wp:posOffset>
            </wp:positionV>
            <wp:extent cx="33655" cy="7626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3655" cy="76263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-749300</wp:posOffset>
            </wp:positionV>
            <wp:extent cx="33655" cy="7626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3655" cy="76263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-749300</wp:posOffset>
            </wp:positionV>
            <wp:extent cx="33655" cy="7626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3655" cy="76263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Reclassifcatons out of accumulated other comprehensive loss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320" w:type="dxa"/>
            <w:vAlign w:val="bottom"/>
            <w:shd w:val="clear" w:color="auto" w:fill="007CBA"/>
          </w:tcPr>
          <w:p>
            <w:pPr>
              <w:spacing w:after="0"/>
              <w:rPr>
                <w:sz w:val="19"/>
                <w:szCs w:val="19"/>
                <w:color w:val="auto"/>
              </w:rPr>
            </w:pPr>
          </w:p>
        </w:tc>
        <w:tc>
          <w:tcPr>
            <w:tcW w:w="84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82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800" w:type="dxa"/>
            <w:vAlign w:val="bottom"/>
            <w:tcBorders>
              <w:right w:val="single" w:sz="8" w:color="007CBA"/>
            </w:tcBorders>
            <w:shd w:val="clear" w:color="auto" w:fill="007CBA"/>
          </w:tcPr>
          <w:p>
            <w:pPr>
              <w:spacing w:after="0"/>
              <w:rPr>
                <w:sz w:val="19"/>
                <w:szCs w:val="19"/>
                <w:color w:val="auto"/>
              </w:rPr>
            </w:pPr>
          </w:p>
        </w:tc>
        <w:tc>
          <w:tcPr>
            <w:tcW w:w="3120" w:type="dxa"/>
            <w:vAlign w:val="bottom"/>
            <w:shd w:val="clear" w:color="auto" w:fill="007CBA"/>
          </w:tcPr>
          <w:p>
            <w:pPr>
              <w:jc w:val="center"/>
              <w:ind w:left="30"/>
              <w:spacing w:after="0"/>
              <w:rPr>
                <w:sz w:val="20"/>
                <w:szCs w:val="20"/>
                <w:color w:val="auto"/>
              </w:rPr>
            </w:pPr>
            <w:r>
              <w:rPr>
                <w:rFonts w:ascii="Calibri" w:cs="Calibri" w:eastAsia="Calibri" w:hAnsi="Calibri"/>
                <w:sz w:val="18"/>
                <w:szCs w:val="18"/>
                <w:b w:val="1"/>
                <w:bCs w:val="1"/>
                <w:color w:val="FFFFFF"/>
              </w:rPr>
              <w:t>Afected line items in the</w:t>
            </w:r>
          </w:p>
        </w:tc>
      </w:tr>
      <w:tr>
        <w:trPr>
          <w:trHeight w:val="218"/>
        </w:trPr>
        <w:tc>
          <w:tcPr>
            <w:tcW w:w="47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320" w:type="dxa"/>
            <w:vAlign w:val="bottom"/>
            <w:tcBorders>
              <w:bottom w:val="single" w:sz="8" w:color="007CBA"/>
            </w:tcBorders>
            <w:shd w:val="clear" w:color="auto" w:fill="007CBA"/>
          </w:tcPr>
          <w:p>
            <w:pPr>
              <w:spacing w:after="0"/>
              <w:rPr>
                <w:sz w:val="18"/>
                <w:szCs w:val="18"/>
                <w:color w:val="auto"/>
              </w:rPr>
            </w:pPr>
          </w:p>
        </w:tc>
        <w:tc>
          <w:tcPr>
            <w:tcW w:w="840" w:type="dxa"/>
            <w:vAlign w:val="bottom"/>
            <w:tcBorders>
              <w:bottom w:val="single" w:sz="8" w:color="007CBA"/>
              <w:right w:val="single" w:sz="8" w:color="007CBA"/>
            </w:tcBorders>
            <w:shd w:val="clear" w:color="auto" w:fill="007CBA"/>
          </w:tcPr>
          <w:p>
            <w:pPr>
              <w:jc w:val="right"/>
              <w:ind w:right="310"/>
              <w:spacing w:after="0" w:line="215" w:lineRule="exact"/>
              <w:rPr>
                <w:sz w:val="20"/>
                <w:szCs w:val="20"/>
                <w:color w:val="auto"/>
              </w:rPr>
            </w:pPr>
            <w:r>
              <w:rPr>
                <w:rFonts w:ascii="Calibri" w:cs="Calibri" w:eastAsia="Calibri" w:hAnsi="Calibri"/>
                <w:sz w:val="18"/>
                <w:szCs w:val="18"/>
                <w:b w:val="1"/>
                <w:bCs w:val="1"/>
                <w:color w:val="FFFFFF"/>
              </w:rPr>
              <w:t>2024</w:t>
            </w:r>
          </w:p>
        </w:tc>
        <w:tc>
          <w:tcPr>
            <w:tcW w:w="300" w:type="dxa"/>
            <w:vAlign w:val="bottom"/>
            <w:tcBorders>
              <w:bottom w:val="single" w:sz="8" w:color="007CBA"/>
            </w:tcBorders>
            <w:shd w:val="clear" w:color="auto" w:fill="007CBA"/>
          </w:tcPr>
          <w:p>
            <w:pPr>
              <w:spacing w:after="0"/>
              <w:rPr>
                <w:sz w:val="18"/>
                <w:szCs w:val="18"/>
                <w:color w:val="auto"/>
              </w:rPr>
            </w:pPr>
          </w:p>
        </w:tc>
        <w:tc>
          <w:tcPr>
            <w:tcW w:w="820" w:type="dxa"/>
            <w:vAlign w:val="bottom"/>
            <w:tcBorders>
              <w:bottom w:val="single" w:sz="8" w:color="007CBA"/>
              <w:right w:val="single" w:sz="8" w:color="007CBA"/>
            </w:tcBorders>
            <w:shd w:val="clear" w:color="auto" w:fill="007CBA"/>
          </w:tcPr>
          <w:p>
            <w:pPr>
              <w:jc w:val="right"/>
              <w:ind w:right="290"/>
              <w:spacing w:after="0" w:line="215" w:lineRule="exact"/>
              <w:rPr>
                <w:sz w:val="20"/>
                <w:szCs w:val="20"/>
                <w:color w:val="auto"/>
              </w:rPr>
            </w:pPr>
            <w:r>
              <w:rPr>
                <w:rFonts w:ascii="Calibri" w:cs="Calibri" w:eastAsia="Calibri" w:hAnsi="Calibri"/>
                <w:sz w:val="18"/>
                <w:szCs w:val="18"/>
                <w:color w:val="FFFFFF"/>
              </w:rPr>
              <w:t>2023</w:t>
            </w:r>
          </w:p>
        </w:tc>
        <w:tc>
          <w:tcPr>
            <w:tcW w:w="300" w:type="dxa"/>
            <w:vAlign w:val="bottom"/>
            <w:tcBorders>
              <w:bottom w:val="single" w:sz="8" w:color="007CBA"/>
            </w:tcBorders>
            <w:shd w:val="clear" w:color="auto" w:fill="007CBA"/>
          </w:tcPr>
          <w:p>
            <w:pPr>
              <w:spacing w:after="0"/>
              <w:rPr>
                <w:sz w:val="18"/>
                <w:szCs w:val="18"/>
                <w:color w:val="auto"/>
              </w:rPr>
            </w:pPr>
          </w:p>
        </w:tc>
        <w:tc>
          <w:tcPr>
            <w:tcW w:w="800" w:type="dxa"/>
            <w:vAlign w:val="bottom"/>
            <w:tcBorders>
              <w:bottom w:val="single" w:sz="8" w:color="007CBA"/>
              <w:right w:val="single" w:sz="8" w:color="007CBA"/>
            </w:tcBorders>
            <w:shd w:val="clear" w:color="auto" w:fill="007CBA"/>
          </w:tcPr>
          <w:p>
            <w:pPr>
              <w:jc w:val="right"/>
              <w:ind w:right="290"/>
              <w:spacing w:after="0" w:line="215" w:lineRule="exact"/>
              <w:rPr>
                <w:sz w:val="20"/>
                <w:szCs w:val="20"/>
                <w:color w:val="auto"/>
              </w:rPr>
            </w:pPr>
            <w:r>
              <w:rPr>
                <w:rFonts w:ascii="Calibri" w:cs="Calibri" w:eastAsia="Calibri" w:hAnsi="Calibri"/>
                <w:sz w:val="18"/>
                <w:szCs w:val="18"/>
                <w:color w:val="FFFFFF"/>
              </w:rPr>
              <w:t>2022</w:t>
            </w:r>
          </w:p>
        </w:tc>
        <w:tc>
          <w:tcPr>
            <w:tcW w:w="3120" w:type="dxa"/>
            <w:vAlign w:val="bottom"/>
            <w:tcBorders>
              <w:bottom w:val="single" w:sz="8" w:color="007CBA"/>
            </w:tcBorders>
            <w:shd w:val="clear" w:color="auto" w:fill="007CBA"/>
          </w:tcPr>
          <w:p>
            <w:pPr>
              <w:jc w:val="center"/>
              <w:ind w:left="30"/>
              <w:spacing w:after="0" w:line="215" w:lineRule="exact"/>
              <w:rPr>
                <w:sz w:val="20"/>
                <w:szCs w:val="20"/>
                <w:color w:val="auto"/>
              </w:rPr>
            </w:pPr>
            <w:r>
              <w:rPr>
                <w:rFonts w:ascii="Calibri" w:cs="Calibri" w:eastAsia="Calibri" w:hAnsi="Calibri"/>
                <w:sz w:val="18"/>
                <w:szCs w:val="18"/>
                <w:b w:val="1"/>
                <w:bCs w:val="1"/>
                <w:color w:val="FFFFFF"/>
                <w:w w:val="97"/>
              </w:rPr>
              <w:t>consolidated statements of earnings</w:t>
            </w:r>
          </w:p>
        </w:tc>
      </w:tr>
      <w:tr>
        <w:trPr>
          <w:trHeight w:val="215"/>
        </w:trPr>
        <w:tc>
          <w:tcPr>
            <w:tcW w:w="4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Pension and postretrement beneft plans:</w:t>
            </w:r>
          </w:p>
        </w:tc>
        <w:tc>
          <w:tcPr>
            <w:tcW w:w="320" w:type="dxa"/>
            <w:vAlign w:val="bottom"/>
          </w:tcPr>
          <w:p>
            <w:pPr>
              <w:spacing w:after="0"/>
              <w:rPr>
                <w:sz w:val="18"/>
                <w:szCs w:val="18"/>
                <w:color w:val="auto"/>
              </w:rPr>
            </w:pPr>
          </w:p>
        </w:tc>
        <w:tc>
          <w:tcPr>
            <w:tcW w:w="840" w:type="dxa"/>
            <w:vAlign w:val="bottom"/>
            <w:tcBorders>
              <w:right w:val="single" w:sz="8" w:color="007CBA"/>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right w:val="single" w:sz="8" w:color="007CBA"/>
            </w:tcBorders>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right w:val="single" w:sz="8" w:color="007CBA"/>
            </w:tcBorders>
          </w:tcPr>
          <w:p>
            <w:pPr>
              <w:spacing w:after="0"/>
              <w:rPr>
                <w:sz w:val="18"/>
                <w:szCs w:val="18"/>
                <w:color w:val="auto"/>
              </w:rPr>
            </w:pPr>
          </w:p>
        </w:tc>
        <w:tc>
          <w:tcPr>
            <w:tcW w:w="3120" w:type="dxa"/>
            <w:vAlign w:val="bottom"/>
          </w:tcPr>
          <w:p>
            <w:pPr>
              <w:spacing w:after="0"/>
              <w:rPr>
                <w:sz w:val="18"/>
                <w:szCs w:val="18"/>
                <w:color w:val="auto"/>
              </w:rPr>
            </w:pPr>
          </w:p>
        </w:tc>
      </w:tr>
      <w:tr>
        <w:trPr>
          <w:trHeight w:val="217"/>
        </w:trPr>
        <w:tc>
          <w:tcPr>
            <w:tcW w:w="4740" w:type="dxa"/>
            <w:vAlign w:val="bottom"/>
            <w:tcBorders>
              <w:right w:val="single" w:sz="8" w:color="007CBA"/>
            </w:tcBorders>
            <w:shd w:val="clear" w:color="auto" w:fill="E5F1F8"/>
          </w:tcPr>
          <w:p>
            <w:pPr>
              <w:ind w:left="200"/>
              <w:spacing w:after="0" w:line="216" w:lineRule="exact"/>
              <w:rPr>
                <w:sz w:val="20"/>
                <w:szCs w:val="20"/>
                <w:color w:val="auto"/>
              </w:rPr>
            </w:pPr>
            <w:r>
              <w:rPr>
                <w:rFonts w:ascii="Calibri" w:cs="Calibri" w:eastAsia="Calibri" w:hAnsi="Calibri"/>
                <w:sz w:val="18"/>
                <w:szCs w:val="18"/>
                <w:color w:val="auto"/>
              </w:rPr>
              <w:t>Setlement charge</w:t>
            </w:r>
          </w:p>
        </w:tc>
        <w:tc>
          <w:tcPr>
            <w:tcW w:w="32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w:t>
            </w:r>
          </w:p>
        </w:tc>
        <w:tc>
          <w:tcPr>
            <w:tcW w:w="30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w:t>
            </w:r>
          </w:p>
        </w:tc>
        <w:tc>
          <w:tcPr>
            <w:tcW w:w="8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w:t>
            </w:r>
          </w:p>
        </w:tc>
        <w:tc>
          <w:tcPr>
            <w:tcW w:w="80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color w:val="auto"/>
              </w:rPr>
              <w:t>5</w:t>
            </w:r>
          </w:p>
        </w:tc>
        <w:tc>
          <w:tcPr>
            <w:tcW w:w="3120" w:type="dxa"/>
            <w:vAlign w:val="bottom"/>
            <w:shd w:val="clear" w:color="auto" w:fill="E5F1F8"/>
          </w:tcPr>
          <w:p>
            <w:pPr>
              <w:spacing w:after="0"/>
              <w:rPr>
                <w:sz w:val="18"/>
                <w:szCs w:val="18"/>
                <w:color w:val="auto"/>
              </w:rPr>
            </w:pPr>
          </w:p>
        </w:tc>
      </w:tr>
      <w:tr>
        <w:trPr>
          <w:trHeight w:val="215"/>
        </w:trPr>
        <w:tc>
          <w:tcPr>
            <w:tcW w:w="474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Amortzaton of:</w:t>
            </w:r>
          </w:p>
        </w:tc>
        <w:tc>
          <w:tcPr>
            <w:tcW w:w="320" w:type="dxa"/>
            <w:vAlign w:val="bottom"/>
          </w:tcPr>
          <w:p>
            <w:pPr>
              <w:spacing w:after="0"/>
              <w:rPr>
                <w:sz w:val="18"/>
                <w:szCs w:val="18"/>
                <w:color w:val="auto"/>
              </w:rPr>
            </w:pPr>
          </w:p>
        </w:tc>
        <w:tc>
          <w:tcPr>
            <w:tcW w:w="840" w:type="dxa"/>
            <w:vAlign w:val="bottom"/>
            <w:tcBorders>
              <w:right w:val="single" w:sz="8" w:color="007CBA"/>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right w:val="single" w:sz="8" w:color="007CBA"/>
            </w:tcBorders>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right w:val="single" w:sz="8" w:color="007CBA"/>
            </w:tcBorders>
          </w:tcPr>
          <w:p>
            <w:pPr>
              <w:spacing w:after="0"/>
              <w:rPr>
                <w:sz w:val="18"/>
                <w:szCs w:val="18"/>
                <w:color w:val="auto"/>
              </w:rPr>
            </w:pPr>
          </w:p>
        </w:tc>
        <w:tc>
          <w:tcPr>
            <w:tcW w:w="3120" w:type="dxa"/>
            <w:vAlign w:val="bottom"/>
          </w:tcPr>
          <w:p>
            <w:pPr>
              <w:spacing w:after="0"/>
              <w:rPr>
                <w:sz w:val="18"/>
                <w:szCs w:val="18"/>
                <w:color w:val="auto"/>
              </w:rPr>
            </w:pPr>
          </w:p>
        </w:tc>
      </w:tr>
      <w:tr>
        <w:trPr>
          <w:trHeight w:val="217"/>
        </w:trPr>
        <w:tc>
          <w:tcPr>
            <w:tcW w:w="4740" w:type="dxa"/>
            <w:vAlign w:val="bottom"/>
            <w:tcBorders>
              <w:right w:val="single" w:sz="8" w:color="007CBA"/>
            </w:tcBorders>
            <w:shd w:val="clear" w:color="auto" w:fill="E5F1F8"/>
          </w:tcPr>
          <w:p>
            <w:pPr>
              <w:ind w:left="380"/>
              <w:spacing w:after="0" w:line="216" w:lineRule="exact"/>
              <w:rPr>
                <w:sz w:val="20"/>
                <w:szCs w:val="20"/>
                <w:color w:val="auto"/>
              </w:rPr>
            </w:pPr>
            <w:r>
              <w:rPr>
                <w:rFonts w:ascii="Calibri" w:cs="Calibri" w:eastAsia="Calibri" w:hAnsi="Calibri"/>
                <w:sz w:val="18"/>
                <w:szCs w:val="18"/>
                <w:color w:val="auto"/>
              </w:rPr>
              <w:t>Prior service cost</w:t>
            </w:r>
          </w:p>
        </w:tc>
        <w:tc>
          <w:tcPr>
            <w:tcW w:w="320" w:type="dxa"/>
            <w:vAlign w:val="bottom"/>
            <w:shd w:val="clear" w:color="auto" w:fill="E5F1F8"/>
          </w:tcPr>
          <w:p>
            <w:pPr>
              <w:spacing w:after="0"/>
              <w:rPr>
                <w:sz w:val="18"/>
                <w:szCs w:val="18"/>
                <w:color w:val="auto"/>
              </w:rPr>
            </w:pPr>
          </w:p>
        </w:tc>
        <w:tc>
          <w:tcPr>
            <w:tcW w:w="840" w:type="dxa"/>
            <w:vAlign w:val="bottom"/>
            <w:tcBorders>
              <w:right w:val="single" w:sz="8" w:color="007CBA"/>
            </w:tcBorders>
            <w:shd w:val="clear" w:color="auto" w:fill="E5F1F8"/>
          </w:tcPr>
          <w:p>
            <w:pPr>
              <w:jc w:val="right"/>
              <w:ind w:right="70"/>
              <w:spacing w:after="0" w:line="216" w:lineRule="exact"/>
              <w:rPr>
                <w:sz w:val="20"/>
                <w:szCs w:val="20"/>
                <w:color w:val="auto"/>
              </w:rPr>
            </w:pPr>
            <w:r>
              <w:rPr>
                <w:rFonts w:ascii="Calibri" w:cs="Calibri" w:eastAsia="Calibri" w:hAnsi="Calibri"/>
                <w:sz w:val="18"/>
                <w:szCs w:val="18"/>
                <w:b w:val="1"/>
                <w:bCs w:val="1"/>
                <w:color w:val="auto"/>
              </w:rPr>
              <w:t>6</w:t>
            </w:r>
          </w:p>
        </w:tc>
        <w:tc>
          <w:tcPr>
            <w:tcW w:w="300" w:type="dxa"/>
            <w:vAlign w:val="bottom"/>
            <w:shd w:val="clear" w:color="auto" w:fill="E5F1F8"/>
          </w:tcPr>
          <w:p>
            <w:pPr>
              <w:spacing w:after="0"/>
              <w:rPr>
                <w:sz w:val="18"/>
                <w:szCs w:val="18"/>
                <w:color w:val="auto"/>
              </w:rPr>
            </w:pPr>
          </w:p>
        </w:tc>
        <w:tc>
          <w:tcPr>
            <w:tcW w:w="8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6</w:t>
            </w:r>
          </w:p>
        </w:tc>
        <w:tc>
          <w:tcPr>
            <w:tcW w:w="300" w:type="dxa"/>
            <w:vAlign w:val="bottom"/>
            <w:shd w:val="clear" w:color="auto" w:fill="E5F1F8"/>
          </w:tcPr>
          <w:p>
            <w:pPr>
              <w:spacing w:after="0"/>
              <w:rPr>
                <w:sz w:val="18"/>
                <w:szCs w:val="18"/>
                <w:color w:val="auto"/>
              </w:rPr>
            </w:pPr>
          </w:p>
        </w:tc>
        <w:tc>
          <w:tcPr>
            <w:tcW w:w="80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color w:val="auto"/>
              </w:rPr>
              <w:t>4</w:t>
            </w:r>
          </w:p>
        </w:tc>
        <w:tc>
          <w:tcPr>
            <w:tcW w:w="3120" w:type="dxa"/>
            <w:vAlign w:val="bottom"/>
            <w:shd w:val="clear" w:color="auto" w:fill="E5F1F8"/>
          </w:tcPr>
          <w:p>
            <w:pPr>
              <w:spacing w:after="0"/>
              <w:rPr>
                <w:sz w:val="18"/>
                <w:szCs w:val="18"/>
                <w:color w:val="auto"/>
              </w:rPr>
            </w:pPr>
          </w:p>
        </w:tc>
      </w:tr>
      <w:tr>
        <w:trPr>
          <w:trHeight w:val="215"/>
        </w:trPr>
        <w:tc>
          <w:tcPr>
            <w:tcW w:w="4740" w:type="dxa"/>
            <w:vAlign w:val="bottom"/>
            <w:tcBorders>
              <w:bottom w:val="single" w:sz="8" w:color="auto"/>
            </w:tcBorders>
          </w:tcPr>
          <w:p>
            <w:pPr>
              <w:ind w:left="380"/>
              <w:spacing w:after="0" w:line="215" w:lineRule="exact"/>
              <w:rPr>
                <w:sz w:val="20"/>
                <w:szCs w:val="20"/>
                <w:color w:val="auto"/>
              </w:rPr>
            </w:pPr>
            <w:r>
              <w:rPr>
                <w:rFonts w:ascii="Calibri" w:cs="Calibri" w:eastAsia="Calibri" w:hAnsi="Calibri"/>
                <w:sz w:val="18"/>
                <w:szCs w:val="18"/>
                <w:color w:val="auto"/>
              </w:rPr>
              <w:t>Actuarial loss</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1</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4</w:t>
            </w:r>
          </w:p>
        </w:tc>
        <w:tc>
          <w:tcPr>
            <w:tcW w:w="3120" w:type="dxa"/>
            <w:vAlign w:val="bottom"/>
          </w:tcPr>
          <w:p>
            <w:pPr>
              <w:spacing w:after="0"/>
              <w:rPr>
                <w:sz w:val="18"/>
                <w:szCs w:val="18"/>
                <w:color w:val="auto"/>
              </w:rPr>
            </w:pPr>
          </w:p>
        </w:tc>
      </w:tr>
      <w:tr>
        <w:trPr>
          <w:trHeight w:val="210"/>
        </w:trPr>
        <w:tc>
          <w:tcPr>
            <w:tcW w:w="4740" w:type="dxa"/>
            <w:vAlign w:val="bottom"/>
            <w:tcBorders>
              <w:right w:val="single" w:sz="8" w:color="007CBA"/>
            </w:tcBorders>
            <w:shd w:val="clear" w:color="auto" w:fill="E5F1F8"/>
          </w:tcPr>
          <w:p>
            <w:pPr>
              <w:spacing w:after="0"/>
              <w:rPr>
                <w:sz w:val="18"/>
                <w:szCs w:val="18"/>
                <w:color w:val="auto"/>
              </w:rPr>
            </w:pPr>
          </w:p>
        </w:tc>
        <w:tc>
          <w:tcPr>
            <w:tcW w:w="320" w:type="dxa"/>
            <w:vAlign w:val="bottom"/>
            <w:shd w:val="clear" w:color="auto" w:fill="E5F1F8"/>
          </w:tcPr>
          <w:p>
            <w:pPr>
              <w:spacing w:after="0"/>
              <w:rPr>
                <w:sz w:val="18"/>
                <w:szCs w:val="18"/>
                <w:color w:val="auto"/>
              </w:rPr>
            </w:pPr>
          </w:p>
        </w:tc>
        <w:tc>
          <w:tcPr>
            <w:tcW w:w="840" w:type="dxa"/>
            <w:vAlign w:val="bottom"/>
            <w:tcBorders>
              <w:right w:val="single" w:sz="8" w:color="007CBA"/>
            </w:tcBorders>
            <w:shd w:val="clear" w:color="auto" w:fill="E5F1F8"/>
          </w:tcPr>
          <w:p>
            <w:pPr>
              <w:jc w:val="right"/>
              <w:ind w:right="70"/>
              <w:spacing w:after="0" w:line="210" w:lineRule="exact"/>
              <w:rPr>
                <w:sz w:val="20"/>
                <w:szCs w:val="20"/>
                <w:color w:val="auto"/>
              </w:rPr>
            </w:pPr>
            <w:r>
              <w:rPr>
                <w:rFonts w:ascii="Calibri" w:cs="Calibri" w:eastAsia="Calibri" w:hAnsi="Calibri"/>
                <w:sz w:val="18"/>
                <w:szCs w:val="18"/>
                <w:b w:val="1"/>
                <w:bCs w:val="1"/>
                <w:color w:val="auto"/>
              </w:rPr>
              <w:t>7</w:t>
            </w:r>
          </w:p>
        </w:tc>
        <w:tc>
          <w:tcPr>
            <w:tcW w:w="300" w:type="dxa"/>
            <w:vAlign w:val="bottom"/>
            <w:shd w:val="clear" w:color="auto" w:fill="E5F1F8"/>
          </w:tcPr>
          <w:p>
            <w:pPr>
              <w:spacing w:after="0"/>
              <w:rPr>
                <w:sz w:val="18"/>
                <w:szCs w:val="18"/>
                <w:color w:val="auto"/>
              </w:rPr>
            </w:pPr>
          </w:p>
        </w:tc>
        <w:tc>
          <w:tcPr>
            <w:tcW w:w="82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6</w:t>
            </w:r>
          </w:p>
        </w:tc>
        <w:tc>
          <w:tcPr>
            <w:tcW w:w="300" w:type="dxa"/>
            <w:vAlign w:val="bottom"/>
            <w:shd w:val="clear" w:color="auto" w:fill="E5F1F8"/>
          </w:tcPr>
          <w:p>
            <w:pPr>
              <w:spacing w:after="0"/>
              <w:rPr>
                <w:sz w:val="18"/>
                <w:szCs w:val="18"/>
                <w:color w:val="auto"/>
              </w:rPr>
            </w:pPr>
          </w:p>
        </w:tc>
        <w:tc>
          <w:tcPr>
            <w:tcW w:w="800" w:type="dxa"/>
            <w:vAlign w:val="bottom"/>
            <w:tcBorders>
              <w:right w:val="single" w:sz="8" w:color="007CBA"/>
            </w:tcBorders>
            <w:shd w:val="clear" w:color="auto" w:fill="E5F1F8"/>
          </w:tcPr>
          <w:p>
            <w:pPr>
              <w:jc w:val="right"/>
              <w:ind w:right="30"/>
              <w:spacing w:after="0" w:line="210" w:lineRule="exact"/>
              <w:rPr>
                <w:sz w:val="20"/>
                <w:szCs w:val="20"/>
                <w:color w:val="auto"/>
              </w:rPr>
            </w:pPr>
            <w:r>
              <w:rPr>
                <w:rFonts w:ascii="Calibri" w:cs="Calibri" w:eastAsia="Calibri" w:hAnsi="Calibri"/>
                <w:sz w:val="18"/>
                <w:szCs w:val="18"/>
                <w:color w:val="auto"/>
              </w:rPr>
              <w:t>13</w:t>
            </w:r>
          </w:p>
        </w:tc>
        <w:tc>
          <w:tcPr>
            <w:tcW w:w="3120" w:type="dxa"/>
            <w:vAlign w:val="bottom"/>
            <w:shd w:val="clear" w:color="auto" w:fill="E5F1F8"/>
          </w:tcPr>
          <w:p>
            <w:pPr>
              <w:ind w:left="140"/>
              <w:spacing w:after="0" w:line="210" w:lineRule="exact"/>
              <w:rPr>
                <w:sz w:val="20"/>
                <w:szCs w:val="20"/>
                <w:color w:val="auto"/>
              </w:rPr>
            </w:pPr>
            <w:r>
              <w:rPr>
                <w:rFonts w:ascii="Calibri" w:cs="Calibri" w:eastAsia="Calibri" w:hAnsi="Calibri"/>
                <w:sz w:val="18"/>
                <w:szCs w:val="18"/>
                <w:color w:val="auto"/>
              </w:rPr>
              <w:t>Other nonoperatng income, net</w:t>
            </w:r>
          </w:p>
        </w:tc>
      </w:tr>
      <w:tr>
        <w:trPr>
          <w:trHeight w:val="215"/>
        </w:trPr>
        <w:tc>
          <w:tcPr>
            <w:tcW w:w="4740" w:type="dxa"/>
            <w:vAlign w:val="bottom"/>
            <w:tcBorders>
              <w:bottom w:val="single" w:sz="8" w:color="auto"/>
            </w:tcBorders>
          </w:tcPr>
          <w:p>
            <w:pPr>
              <w:ind w:left="200"/>
              <w:spacing w:after="0" w:line="215" w:lineRule="exact"/>
              <w:rPr>
                <w:sz w:val="20"/>
                <w:szCs w:val="20"/>
                <w:color w:val="auto"/>
              </w:rPr>
            </w:pPr>
            <w:r>
              <w:rPr>
                <w:rFonts w:ascii="Calibri" w:cs="Calibri" w:eastAsia="Calibri" w:hAnsi="Calibri"/>
                <w:sz w:val="18"/>
                <w:szCs w:val="18"/>
                <w:color w:val="auto"/>
              </w:rPr>
              <w:t>Tax efect</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(1 )</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(2 )</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(3 )</w:t>
            </w:r>
          </w:p>
        </w:tc>
        <w:tc>
          <w:tcPr>
            <w:tcW w:w="3120" w:type="dxa"/>
            <w:vAlign w:val="bottom"/>
          </w:tcPr>
          <w:p>
            <w:pPr>
              <w:ind w:left="140"/>
              <w:spacing w:after="0" w:line="215" w:lineRule="exact"/>
              <w:rPr>
                <w:sz w:val="20"/>
                <w:szCs w:val="20"/>
                <w:color w:val="auto"/>
              </w:rPr>
            </w:pPr>
            <w:r>
              <w:rPr>
                <w:rFonts w:ascii="Calibri" w:cs="Calibri" w:eastAsia="Calibri" w:hAnsi="Calibri"/>
                <w:sz w:val="18"/>
                <w:szCs w:val="18"/>
                <w:color w:val="auto"/>
              </w:rPr>
              <w:t>Income tax expense</w:t>
            </w:r>
          </w:p>
        </w:tc>
      </w:tr>
      <w:tr>
        <w:trPr>
          <w:trHeight w:val="249"/>
        </w:trPr>
        <w:tc>
          <w:tcPr>
            <w:tcW w:w="474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w:t>
            </w:r>
          </w:p>
        </w:tc>
        <w:tc>
          <w:tcPr>
            <w:tcW w:w="32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auto"/>
              <w:right w:val="single" w:sz="8" w:color="E5F1F8"/>
            </w:tcBorders>
            <w:shd w:val="clear" w:color="auto" w:fill="E5F1F8"/>
          </w:tcPr>
          <w:p>
            <w:pPr>
              <w:jc w:val="right"/>
              <w:ind w:right="70"/>
              <w:spacing w:after="0" w:line="209" w:lineRule="exact"/>
              <w:rPr>
                <w:sz w:val="20"/>
                <w:szCs w:val="20"/>
                <w:color w:val="auto"/>
              </w:rPr>
            </w:pPr>
            <w:r>
              <w:rPr>
                <w:rFonts w:ascii="Calibri" w:cs="Calibri" w:eastAsia="Calibri" w:hAnsi="Calibri"/>
                <w:sz w:val="18"/>
                <w:szCs w:val="18"/>
                <w:b w:val="1"/>
                <w:bCs w:val="1"/>
                <w:color w:val="auto"/>
              </w:rPr>
              <w:t>6</w:t>
            </w:r>
          </w:p>
        </w:tc>
        <w:tc>
          <w:tcPr>
            <w:tcW w:w="30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4</w:t>
            </w:r>
          </w:p>
        </w:tc>
        <w:tc>
          <w:tcPr>
            <w:tcW w:w="30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auto"/>
              <w:right w:val="single" w:sz="8" w:color="E5F1F8"/>
            </w:tcBorders>
            <w:shd w:val="clear" w:color="auto" w:fill="E5F1F8"/>
          </w:tcPr>
          <w:p>
            <w:pPr>
              <w:jc w:val="right"/>
              <w:ind w:right="30"/>
              <w:spacing w:after="0" w:line="209" w:lineRule="exact"/>
              <w:rPr>
                <w:sz w:val="20"/>
                <w:szCs w:val="20"/>
                <w:color w:val="auto"/>
              </w:rPr>
            </w:pPr>
            <w:r>
              <w:rPr>
                <w:rFonts w:ascii="Calibri" w:cs="Calibri" w:eastAsia="Calibri" w:hAnsi="Calibri"/>
                <w:sz w:val="18"/>
                <w:szCs w:val="18"/>
                <w:color w:val="auto"/>
              </w:rPr>
              <w:t>10</w:t>
            </w:r>
          </w:p>
        </w:tc>
        <w:tc>
          <w:tcPr>
            <w:tcW w:w="3120" w:type="dxa"/>
            <w:vAlign w:val="bottom"/>
            <w:tcBorders>
              <w:bottom w:val="single" w:sz="8" w:color="E5F1F8"/>
            </w:tcBorders>
            <w:shd w:val="clear" w:color="auto" w:fill="E5F1F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205740</wp:posOffset>
            </wp:positionV>
            <wp:extent cx="325755" cy="1968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-603250</wp:posOffset>
            </wp:positionV>
            <wp:extent cx="34290" cy="1708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-603250</wp:posOffset>
            </wp:positionV>
            <wp:extent cx="33655" cy="1708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-603250</wp:posOffset>
            </wp:positionV>
            <wp:extent cx="33655" cy="1708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-603250</wp:posOffset>
            </wp:positionV>
            <wp:extent cx="98425" cy="1708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98425" cy="170815"/>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-320675</wp:posOffset>
            </wp:positionV>
            <wp:extent cx="34290" cy="3340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-320675</wp:posOffset>
            </wp:positionV>
            <wp:extent cx="33655" cy="3340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-320675</wp:posOffset>
            </wp:positionV>
            <wp:extent cx="33655" cy="3340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-320675</wp:posOffset>
            </wp:positionV>
            <wp:extent cx="98425" cy="3340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98425" cy="33401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9" w:name="page80"/>
    <w:bookmarkEnd w:id="79"/>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Earnings Per Common Share</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numerator for basic and diluted earnings per common share is net earnings atributable to Martn Marieta. The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issued to employees and nonemployee members of the Company’s Board of Directors under certain stock-based compensaton arrangements if the conversion is dilutve.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reconciles the denominator for basic and diluted earnings from contnuing operatons per common share: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600" w:type="dxa"/>
            <w:vAlign w:val="bottom"/>
            <w:tcBorders>
              <w:right w:val="single" w:sz="8" w:color="007CBA"/>
            </w:tcBorders>
            <w:shd w:val="clear" w:color="auto" w:fill="007CBA"/>
          </w:tcPr>
          <w:p>
            <w:pPr>
              <w:spacing w:after="0"/>
              <w:rPr>
                <w:sz w:val="19"/>
                <w:szCs w:val="19"/>
                <w:color w:val="auto"/>
              </w:rPr>
            </w:pPr>
          </w:p>
        </w:tc>
        <w:tc>
          <w:tcPr>
            <w:tcW w:w="15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spacing w:after="0"/>
              <w:rPr>
                <w:sz w:val="19"/>
                <w:szCs w:val="19"/>
                <w:color w:val="auto"/>
              </w:rPr>
            </w:pPr>
          </w:p>
        </w:tc>
      </w:tr>
      <w:tr>
        <w:trPr>
          <w:trHeight w:val="218"/>
        </w:trPr>
        <w:tc>
          <w:tcPr>
            <w:tcW w:w="64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600" w:type="dxa"/>
            <w:vAlign w:val="bottom"/>
            <w:tcBorders>
              <w:bottom w:val="single" w:sz="8" w:color="007CBA"/>
              <w:right w:val="single" w:sz="8" w:color="007CBA"/>
            </w:tcBorders>
            <w:shd w:val="clear" w:color="auto" w:fill="007CBA"/>
          </w:tcPr>
          <w:p>
            <w:pPr>
              <w:jc w:val="right"/>
              <w:ind w:right="530"/>
              <w:spacing w:after="0" w:line="215" w:lineRule="exact"/>
              <w:rPr>
                <w:sz w:val="20"/>
                <w:szCs w:val="20"/>
                <w:color w:val="auto"/>
              </w:rPr>
            </w:pPr>
            <w:r>
              <w:rPr>
                <w:rFonts w:ascii="Calibri" w:cs="Calibri" w:eastAsia="Calibri" w:hAnsi="Calibri"/>
                <w:sz w:val="18"/>
                <w:szCs w:val="18"/>
                <w:b w:val="1"/>
                <w:bCs w:val="1"/>
                <w:color w:val="FFFFFF"/>
              </w:rPr>
              <w:t>2024</w:t>
            </w:r>
          </w:p>
        </w:tc>
        <w:tc>
          <w:tcPr>
            <w:tcW w:w="158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2023</w:t>
            </w:r>
          </w:p>
        </w:tc>
        <w:tc>
          <w:tcPr>
            <w:tcW w:w="1620" w:type="dxa"/>
            <w:vAlign w:val="bottom"/>
            <w:tcBorders>
              <w:bottom w:val="single" w:sz="8" w:color="007CBA"/>
            </w:tcBorders>
            <w:shd w:val="clear" w:color="auto" w:fill="007CBA"/>
          </w:tcPr>
          <w:p>
            <w:pPr>
              <w:jc w:val="right"/>
              <w:ind w:right="530"/>
              <w:spacing w:after="0" w:line="215" w:lineRule="exact"/>
              <w:rPr>
                <w:sz w:val="20"/>
                <w:szCs w:val="20"/>
                <w:color w:val="auto"/>
              </w:rPr>
            </w:pPr>
            <w:r>
              <w:rPr>
                <w:rFonts w:ascii="Calibri" w:cs="Calibri" w:eastAsia="Calibri" w:hAnsi="Calibri"/>
                <w:sz w:val="18"/>
                <w:szCs w:val="18"/>
                <w:color w:val="FFFFFF"/>
              </w:rPr>
              <w:t>2022</w:t>
            </w:r>
          </w:p>
        </w:tc>
      </w:tr>
      <w:tr>
        <w:trPr>
          <w:trHeight w:val="216"/>
        </w:trPr>
        <w:tc>
          <w:tcPr>
            <w:tcW w:w="644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Basic weighted-average common shares outstanding</w:t>
            </w:r>
          </w:p>
        </w:tc>
        <w:tc>
          <w:tcPr>
            <w:tcW w:w="160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61.4</w:t>
            </w:r>
          </w:p>
        </w:tc>
        <w:tc>
          <w:tcPr>
            <w:tcW w:w="158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61.9</w:t>
            </w:r>
          </w:p>
        </w:tc>
        <w:tc>
          <w:tcPr>
            <w:tcW w:w="162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62.3</w:t>
            </w:r>
          </w:p>
        </w:tc>
      </w:tr>
      <w:tr>
        <w:trPr>
          <w:trHeight w:val="215"/>
        </w:trPr>
        <w:tc>
          <w:tcPr>
            <w:tcW w:w="644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Efect of dilutve employee and director awards</w:t>
            </w:r>
          </w:p>
        </w:tc>
        <w:tc>
          <w:tcPr>
            <w:tcW w:w="160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0.2</w:t>
            </w:r>
          </w:p>
        </w:tc>
        <w:tc>
          <w:tcPr>
            <w:tcW w:w="158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0.2</w:t>
            </w:r>
          </w:p>
        </w:tc>
        <w:tc>
          <w:tcPr>
            <w:tcW w:w="16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0.2</w:t>
            </w:r>
          </w:p>
        </w:tc>
      </w:tr>
      <w:tr>
        <w:trPr>
          <w:trHeight w:val="249"/>
        </w:trPr>
        <w:tc>
          <w:tcPr>
            <w:tcW w:w="644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Diluted weighted-average common shares outstanding</w:t>
            </w:r>
          </w:p>
        </w:tc>
        <w:tc>
          <w:tcPr>
            <w:tcW w:w="160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61.6</w:t>
            </w:r>
          </w:p>
        </w:tc>
        <w:tc>
          <w:tcPr>
            <w:tcW w:w="158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62.1</w:t>
            </w:r>
          </w:p>
        </w:tc>
        <w:tc>
          <w:tcPr>
            <w:tcW w:w="162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-320675</wp:posOffset>
            </wp:positionV>
            <wp:extent cx="33655" cy="3340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-320675</wp:posOffset>
            </wp:positionV>
            <wp:extent cx="33655" cy="3340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-320675</wp:posOffset>
            </wp:positionV>
            <wp:extent cx="33655" cy="3340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Reclassifcatons. </w:t>
      </w:r>
      <w:r>
        <w:rPr>
          <w:rFonts w:ascii="Calibri" w:cs="Calibri" w:eastAsia="Calibri" w:hAnsi="Calibri"/>
          <w:sz w:val="18"/>
          <w:szCs w:val="18"/>
          <w:color w:val="000000"/>
        </w:rPr>
        <w:t>Certain reclassifcatons have been made in the Company's fnancial statements of the prior years to conform to the current-year</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presentaton. The reclassifcatons had no impact on the Company's previously reported results of operatons, fnancial conditon or cash fows.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New Accountng Pronouncements. </w:t>
      </w:r>
      <w:r>
        <w:rPr>
          <w:rFonts w:ascii="Calibri" w:cs="Calibri" w:eastAsia="Calibri" w:hAnsi="Calibri"/>
          <w:sz w:val="18"/>
          <w:szCs w:val="18"/>
          <w:color w:val="000000"/>
        </w:rPr>
        <w:t>In November 2023, the FASB issued ASU 2023-07,</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i w:val="1"/>
          <w:iCs w:val="1"/>
          <w:color w:val="000000"/>
        </w:rPr>
        <w:t>Segment Reportng (Topic 280): Improvements to Reportable Segment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i w:val="1"/>
          <w:iCs w:val="1"/>
          <w:color w:val="000000"/>
        </w:rPr>
        <w:t>Disclosures</w:t>
      </w:r>
      <w:r>
        <w:rPr>
          <w:rFonts w:ascii="Calibri" w:cs="Calibri" w:eastAsia="Calibri" w:hAnsi="Calibri"/>
          <w:sz w:val="18"/>
          <w:szCs w:val="18"/>
          <w:color w:val="000000"/>
        </w:rPr>
        <w:t>, which requires a public entty to disclose signifcant segment expenses and other segment items on an annual and interim basis and provide in</w:t>
      </w:r>
      <w:r>
        <w:rPr>
          <w:rFonts w:ascii="Calibri" w:cs="Calibri" w:eastAsia="Calibri" w:hAnsi="Calibri"/>
          <w:sz w:val="18"/>
          <w:szCs w:val="18"/>
          <w:i w:val="1"/>
          <w:iCs w:val="1"/>
          <w:color w:val="000000"/>
        </w:rPr>
        <w:t xml:space="preserve"> </w:t>
      </w:r>
      <w:r>
        <w:rPr>
          <w:rFonts w:ascii="Calibri" w:cs="Calibri" w:eastAsia="Calibri" w:hAnsi="Calibri"/>
          <w:sz w:val="18"/>
          <w:szCs w:val="18"/>
          <w:color w:val="000000"/>
        </w:rPr>
        <w:t>interim periods all disclosures about a reportable segment’s proft or loss and assets that are currently required annually. Additonally, the ASU requires a public entty to disclose the ttle and positon of the Chief Operatng Decision Maker. The ASU does not change how a public entty identfes its operatng segments, aggregates them, or applies the quanttatve thresholds to determine its reportable segments. The Company adopted ASU 2023-07 as of December 31, 2024 and applied the disclosure requirements retrospectvely to all prior periods presented in the fnancial statements included in the 2024 Annual Report on Form 10-K (see Note O). The adopton had no impact on its results of operatons, cash fows or fnancial conditon.</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December 2023, the FASB issued ASU 2023-09, </w:t>
      </w:r>
      <w:r>
        <w:rPr>
          <w:rFonts w:ascii="Calibri" w:cs="Calibri" w:eastAsia="Calibri" w:hAnsi="Calibri"/>
          <w:sz w:val="18"/>
          <w:szCs w:val="18"/>
          <w:i w:val="1"/>
          <w:iCs w:val="1"/>
          <w:color w:val="auto"/>
        </w:rPr>
        <w:t>Income Taxes (Topic 740): Improvements to Income Tax Disclosures</w:t>
      </w:r>
      <w:r>
        <w:rPr>
          <w:rFonts w:ascii="Calibri" w:cs="Calibri" w:eastAsia="Calibri" w:hAnsi="Calibri"/>
          <w:sz w:val="18"/>
          <w:szCs w:val="18"/>
          <w:color w:val="auto"/>
        </w:rPr>
        <w:t>, which focuses on the rate reconciliaton and income taxes paid. ASU 2023-09 requires public enttes to disclose, on an annual basis, a tabular tax rate reconciliaton using both percentages and currency amounts, broken out into specifed categories. Certain reconciling items are further broken out by nature and jurisdicton to the extent those items exceed a specifed threshold. Additonally, all enttes are required to disclose income taxes paid, net of refunds received, disaggregated by federal, state/local, and foreign taxes and by individual jurisdicton if the amount is at least 5% of total income tax payments, net of refunds received. The ASU also requires additonal qualitatve disclosures. ASU 2023-09 is efectve prospectvely for annual periods beginning afer December 15, 2024, and early adopton and retrospectve applicaton are permited. The ASU will impact the Company's income tax disclosures beginning with the fnancial statements included in the 2025 Annual Report on Form 10-K, but will have no impact on its results of operatons, cash fows or fnancial conditon.</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2024, the FASB issued ASU 2024-03, </w:t>
      </w:r>
      <w:r>
        <w:rPr>
          <w:rFonts w:ascii="Calibri" w:cs="Calibri" w:eastAsia="Calibri" w:hAnsi="Calibri"/>
          <w:sz w:val="18"/>
          <w:szCs w:val="18"/>
          <w:i w:val="1"/>
          <w:iCs w:val="1"/>
          <w:color w:val="auto"/>
        </w:rPr>
        <w:t xml:space="preserve">Income Statement - Reportng Comprehensive Income - Expense Disaggregaton Disclosures (Subtopic 220-40): Disaggregaton of Income Statement Expenses </w:t>
      </w:r>
      <w:r>
        <w:rPr>
          <w:rFonts w:ascii="Calibri" w:cs="Calibri" w:eastAsia="Calibri" w:hAnsi="Calibri"/>
          <w:sz w:val="18"/>
          <w:szCs w:val="18"/>
          <w:color w:val="auto"/>
        </w:rPr>
        <w:t>(DISE), which requires public enttes to disaggregate any relevant expense capton presented on the face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of the income statement within contnuing operatons into the following required natural expense categories, as applicable: (1) purchases of inventory, (2) employee compensaton, (3) depreciaton, (4) intangible asset amortzaton, and (5) depreciaton, depleton and amortzaton recognized as part of oil- and gas-producing actvites or other depleton expenses. These disclosures must be made in a tabular format in the footnotes to the fnancial statements. The new standard does not change the requirements for the presentaton of expenses on the face of the statement of earnings. The ASU is efectve prospectvely for annual reportng periods beginning afer December 15, 2026 and interim reportng periods beginning afer December 15, 2027, and early adopton and retrospectve applicaton are permited. The ASU will impact the Company's expense disclosures beginning with the fnancial statements included in the 2027 Annual Report on Form 10-K, but will have no impact on its results of operatons, cash fows or fnancial conditon.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87630</wp:posOffset>
            </wp:positionV>
            <wp:extent cx="325755" cy="1968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0" w:name="page81"/>
    <w:bookmarkEnd w:id="80"/>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B: Business Combinatons, Divesttures, Discontnued Operatons and Assets and Liabilites Held for Sale</w:t>
      </w:r>
    </w:p>
    <w:p>
      <w:pPr>
        <w:spacing w:after="0" w:line="5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Business Combinatons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Revenues and pretax earnings atributable to operatons acquired in 2024 (as subsequently described) included in the Company's consolidated statement of earnings were $261 million and $38 million, respectvely, for the year ended December 31, 2024. Pretax earnings atributable to acquired operatons for 2024 refect the impact of selling acquired inventory afer its markup to fair value as part of acquisiton accountng, including $20 million related to the Blue Water Industries LLC transacton.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Blue Water Industries LLC. </w:t>
      </w:r>
      <w:r>
        <w:rPr>
          <w:rFonts w:ascii="Calibri" w:cs="Calibri" w:eastAsia="Calibri" w:hAnsi="Calibri"/>
          <w:sz w:val="18"/>
          <w:szCs w:val="18"/>
          <w:color w:val="000000"/>
        </w:rPr>
        <w:t>On April 5, 2024, the Company completed the acquisiton of 20 actve aggregates operatons in Alabama, South Carolina, South</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Florida, Tennessee, and Virginia from afliates of Blue Water Industries LLC (BWI Southeast) for $2.05 billion in cash. The BWI Southeast acquisiton complements Martn Marieta’s existng geographic footprint in the southeast region by allowing the Company to expand into new growth platorms in target markets, including Tennessee and South Florida. The results from the acquired operatons are reported in the Company's East Group.</w:t>
      </w:r>
    </w:p>
    <w:p>
      <w:pPr>
        <w:spacing w:after="0" w:line="111" w:lineRule="exact"/>
        <w:rPr>
          <w:sz w:val="20"/>
          <w:szCs w:val="20"/>
          <w:color w:val="auto"/>
        </w:rPr>
      </w:pPr>
    </w:p>
    <w:p>
      <w:pPr>
        <w:jc w:val="both"/>
        <w:spacing w:after="0" w:line="239" w:lineRule="auto"/>
        <w:rPr>
          <w:sz w:val="20"/>
          <w:szCs w:val="20"/>
          <w:color w:val="auto"/>
        </w:rPr>
      </w:pPr>
      <w:r>
        <w:rPr>
          <w:rFonts w:ascii="Calibri" w:cs="Calibri" w:eastAsia="Calibri" w:hAnsi="Calibri"/>
          <w:sz w:val="18"/>
          <w:szCs w:val="18"/>
          <w:color w:val="auto"/>
        </w:rPr>
        <w:t>The Company determined the acquisiton-date fair values of assets acquired and liabilites assumed. The Company has recorded preliminary fair values of the assets acquired and liabilites assumed, which are subject to additonal reviews that are not yet complete. As such, these amounts are subject to change during the measurement period, which extends no longer than one year from the consummaton date, and remains open as of December 31, 2024. Notably, during the measurement period, the Company increased the acquisiton-date fair value of property, plant and equipment by $91 million and reduced goodwill by $82 million. Specifc accounts subject to ongoing purchase accountng adjustments include, but are not limited to, property, plant and equipment; goodwill; other assets; other liabilites; and deferred income taxes. The goodwill generated by the transacton is not deductble for income tax purposes.</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summary of the preliminary estmated fair values of the assets acquired and liabilites assumed as of April 5,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020" w:type="dxa"/>
            <w:vAlign w:val="bottom"/>
            <w:shd w:val="clear" w:color="auto" w:fill="007CBA"/>
          </w:tcPr>
          <w:p>
            <w:pPr>
              <w:spacing w:after="0"/>
              <w:rPr>
                <w:sz w:val="19"/>
                <w:szCs w:val="19"/>
                <w:color w:val="auto"/>
              </w:rPr>
            </w:pPr>
          </w:p>
        </w:tc>
        <w:tc>
          <w:tcPr>
            <w:tcW w:w="1220" w:type="dxa"/>
            <w:vAlign w:val="bottom"/>
            <w:shd w:val="clear" w:color="auto" w:fill="007CBA"/>
          </w:tcPr>
          <w:p>
            <w:pPr>
              <w:spacing w:after="0"/>
              <w:rPr>
                <w:sz w:val="19"/>
                <w:szCs w:val="19"/>
                <w:color w:val="auto"/>
              </w:rPr>
            </w:pP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Assets:</w:t>
            </w: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0"/>
        </w:trPr>
        <w:tc>
          <w:tcPr>
            <w:tcW w:w="9000" w:type="dxa"/>
            <w:vAlign w:val="bottom"/>
            <w:tcBorders>
              <w:right w:val="single" w:sz="8" w:color="007CBA"/>
            </w:tcBorders>
          </w:tcPr>
          <w:p>
            <w:pPr>
              <w:ind w:left="120"/>
              <w:spacing w:after="0" w:line="170" w:lineRule="exact"/>
              <w:rPr>
                <w:sz w:val="20"/>
                <w:szCs w:val="20"/>
                <w:color w:val="auto"/>
              </w:rPr>
            </w:pPr>
            <w:r>
              <w:rPr>
                <w:rFonts w:ascii="Calibri" w:cs="Calibri" w:eastAsia="Calibri" w:hAnsi="Calibri"/>
                <w:sz w:val="18"/>
                <w:szCs w:val="18"/>
                <w:color w:val="auto"/>
              </w:rPr>
              <w:t>Inventories</w:t>
            </w:r>
          </w:p>
        </w:tc>
        <w:tc>
          <w:tcPr>
            <w:tcW w:w="1020" w:type="dxa"/>
            <w:vAlign w:val="bottom"/>
          </w:tcPr>
          <w:p>
            <w:pPr>
              <w:jc w:val="right"/>
              <w:ind w:right="590"/>
              <w:spacing w:after="0" w:line="170"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50"/>
              <w:spacing w:after="0" w:line="170" w:lineRule="exact"/>
              <w:rPr>
                <w:sz w:val="20"/>
                <w:szCs w:val="20"/>
                <w:color w:val="auto"/>
              </w:rPr>
            </w:pPr>
            <w:r>
              <w:rPr>
                <w:rFonts w:ascii="Calibri" w:cs="Calibri" w:eastAsia="Calibri" w:hAnsi="Calibri"/>
                <w:sz w:val="18"/>
                <w:szCs w:val="18"/>
                <w:color w:val="auto"/>
              </w:rPr>
              <w:t>47</w:t>
            </w:r>
          </w:p>
        </w:tc>
      </w:tr>
      <w:tr>
        <w:trPr>
          <w:trHeight w:val="263"/>
        </w:trPr>
        <w:tc>
          <w:tcPr>
            <w:tcW w:w="9000" w:type="dxa"/>
            <w:vAlign w:val="bottom"/>
            <w:tcBorders>
              <w:right w:val="single" w:sz="8" w:color="007CBA"/>
            </w:tcBorders>
          </w:tcPr>
          <w:p>
            <w:pPr>
              <w:ind w:left="120"/>
              <w:spacing w:after="0" w:line="263" w:lineRule="exact"/>
              <w:rPr>
                <w:sz w:val="20"/>
                <w:szCs w:val="20"/>
                <w:color w:val="auto"/>
              </w:rPr>
            </w:pPr>
            <w:r>
              <w:rPr>
                <w:rFonts w:ascii="Calibri" w:cs="Calibri" w:eastAsia="Calibri" w:hAnsi="Calibri"/>
                <w:sz w:val="18"/>
                <w:szCs w:val="18"/>
                <w:color w:val="auto"/>
              </w:rPr>
              <w:t>Property, plant and equipment</w:t>
            </w:r>
            <w:r>
              <w:rPr>
                <w:rFonts w:ascii="Calibri" w:cs="Calibri" w:eastAsia="Calibri" w:hAnsi="Calibri"/>
                <w:sz w:val="24"/>
                <w:szCs w:val="24"/>
                <w:color w:val="auto"/>
                <w:vertAlign w:val="superscript"/>
              </w:rPr>
              <w:t>1</w:t>
            </w:r>
          </w:p>
        </w:tc>
        <w:tc>
          <w:tcPr>
            <w:tcW w:w="1020" w:type="dxa"/>
            <w:vAlign w:val="bottom"/>
          </w:tcPr>
          <w:p>
            <w:pPr>
              <w:spacing w:after="0"/>
              <w:rPr>
                <w:sz w:val="22"/>
                <w:szCs w:val="22"/>
                <w:color w:val="auto"/>
              </w:rPr>
            </w:pPr>
          </w:p>
        </w:tc>
        <w:tc>
          <w:tcPr>
            <w:tcW w:w="1220" w:type="dxa"/>
            <w:vAlign w:val="bottom"/>
          </w:tcPr>
          <w:p>
            <w:pPr>
              <w:jc w:val="right"/>
              <w:ind w:right="50"/>
              <w:spacing w:after="0"/>
              <w:rPr>
                <w:sz w:val="20"/>
                <w:szCs w:val="20"/>
                <w:color w:val="auto"/>
              </w:rPr>
            </w:pPr>
            <w:r>
              <w:rPr>
                <w:rFonts w:ascii="Calibri" w:cs="Calibri" w:eastAsia="Calibri" w:hAnsi="Calibri"/>
                <w:sz w:val="18"/>
                <w:szCs w:val="18"/>
                <w:color w:val="auto"/>
              </w:rPr>
              <w:t>2,052</w:t>
            </w:r>
          </w:p>
        </w:tc>
      </w:tr>
      <w:tr>
        <w:trPr>
          <w:trHeight w:val="216"/>
        </w:trPr>
        <w:tc>
          <w:tcPr>
            <w:tcW w:w="900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Intangible assets, other than goodwill</w:t>
            </w:r>
          </w:p>
        </w:tc>
        <w:tc>
          <w:tcPr>
            <w:tcW w:w="1020" w:type="dxa"/>
            <w:vAlign w:val="bottom"/>
            <w:shd w:val="clear" w:color="auto" w:fill="E5F1F8"/>
          </w:tcPr>
          <w:p>
            <w:pPr>
              <w:spacing w:after="0"/>
              <w:rPr>
                <w:sz w:val="18"/>
                <w:szCs w:val="18"/>
                <w:color w:val="auto"/>
              </w:rPr>
            </w:pPr>
          </w:p>
        </w:tc>
        <w:tc>
          <w:tcPr>
            <w:tcW w:w="122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19</w:t>
            </w:r>
          </w:p>
        </w:tc>
      </w:tr>
      <w:tr>
        <w:trPr>
          <w:trHeight w:val="215"/>
        </w:trPr>
        <w:tc>
          <w:tcPr>
            <w:tcW w:w="900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Other assets</w:t>
            </w:r>
          </w:p>
        </w:tc>
        <w:tc>
          <w:tcPr>
            <w:tcW w:w="10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2</w:t>
            </w:r>
          </w:p>
        </w:tc>
      </w:tr>
      <w:tr>
        <w:trPr>
          <w:trHeight w:val="210"/>
        </w:trPr>
        <w:tc>
          <w:tcPr>
            <w:tcW w:w="900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 assets</w:t>
            </w:r>
          </w:p>
        </w:tc>
        <w:tc>
          <w:tcPr>
            <w:tcW w:w="1020" w:type="dxa"/>
            <w:vAlign w:val="bottom"/>
            <w:tcBorders>
              <w:bottom w:val="single" w:sz="8" w:color="auto"/>
            </w:tcBorders>
            <w:shd w:val="clear" w:color="auto" w:fill="E5F1F8"/>
          </w:tcPr>
          <w:p>
            <w:pPr>
              <w:spacing w:after="0"/>
              <w:rPr>
                <w:sz w:val="18"/>
                <w:szCs w:val="18"/>
                <w:color w:val="auto"/>
              </w:rPr>
            </w:pPr>
          </w:p>
        </w:tc>
        <w:tc>
          <w:tcPr>
            <w:tcW w:w="122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2,120</w:t>
            </w:r>
          </w:p>
        </w:tc>
      </w:tr>
      <w:tr>
        <w:trPr>
          <w:trHeight w:val="210"/>
        </w:trPr>
        <w:tc>
          <w:tcPr>
            <w:tcW w:w="9000" w:type="dxa"/>
            <w:vAlign w:val="bottom"/>
            <w:tcBorders>
              <w:right w:val="single" w:sz="8" w:color="007CBA"/>
            </w:tcBorders>
          </w:tcPr>
          <w:p>
            <w:pPr>
              <w:ind w:left="120"/>
              <w:spacing w:after="0" w:line="209" w:lineRule="exact"/>
              <w:rPr>
                <w:sz w:val="20"/>
                <w:szCs w:val="20"/>
                <w:color w:val="auto"/>
              </w:rPr>
            </w:pPr>
            <w:r>
              <w:rPr>
                <w:rFonts w:ascii="Calibri" w:cs="Calibri" w:eastAsia="Calibri" w:hAnsi="Calibri"/>
                <w:sz w:val="18"/>
                <w:szCs w:val="18"/>
                <w:color w:val="auto"/>
              </w:rPr>
              <w:t>Liabilites:</w:t>
            </w: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900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Deferred income taxes</w:t>
            </w:r>
          </w:p>
        </w:tc>
        <w:tc>
          <w:tcPr>
            <w:tcW w:w="1020" w:type="dxa"/>
            <w:vAlign w:val="bottom"/>
            <w:shd w:val="clear" w:color="auto" w:fill="E5F1F8"/>
          </w:tcPr>
          <w:p>
            <w:pPr>
              <w:spacing w:after="0"/>
              <w:rPr>
                <w:sz w:val="18"/>
                <w:szCs w:val="18"/>
                <w:color w:val="auto"/>
              </w:rPr>
            </w:pPr>
          </w:p>
        </w:tc>
        <w:tc>
          <w:tcPr>
            <w:tcW w:w="122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234</w:t>
            </w:r>
          </w:p>
        </w:tc>
      </w:tr>
      <w:tr>
        <w:trPr>
          <w:trHeight w:val="216"/>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Asset retrement obligatons</w:t>
            </w:r>
          </w:p>
        </w:tc>
        <w:tc>
          <w:tcPr>
            <w:tcW w:w="1020" w:type="dxa"/>
            <w:vAlign w:val="bottom"/>
          </w:tcPr>
          <w:p>
            <w:pPr>
              <w:spacing w:after="0"/>
              <w:rPr>
                <w:sz w:val="18"/>
                <w:szCs w:val="18"/>
                <w:color w:val="auto"/>
              </w:rPr>
            </w:pPr>
          </w:p>
        </w:tc>
        <w:tc>
          <w:tcPr>
            <w:tcW w:w="12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w:t>
            </w:r>
          </w:p>
        </w:tc>
      </w:tr>
      <w:tr>
        <w:trPr>
          <w:trHeight w:val="215"/>
        </w:trPr>
        <w:tc>
          <w:tcPr>
            <w:tcW w:w="900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liabilites</w:t>
            </w:r>
          </w:p>
        </w:tc>
        <w:tc>
          <w:tcPr>
            <w:tcW w:w="1020" w:type="dxa"/>
            <w:vAlign w:val="bottom"/>
            <w:tcBorders>
              <w:bottom w:val="single" w:sz="8" w:color="auto"/>
            </w:tcBorders>
            <w:shd w:val="clear" w:color="auto" w:fill="E5F1F8"/>
          </w:tcPr>
          <w:p>
            <w:pPr>
              <w:spacing w:after="0"/>
              <w:rPr>
                <w:sz w:val="18"/>
                <w:szCs w:val="18"/>
                <w:color w:val="auto"/>
              </w:rPr>
            </w:pPr>
          </w:p>
        </w:tc>
        <w:tc>
          <w:tcPr>
            <w:tcW w:w="122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96</w:t>
            </w:r>
          </w:p>
        </w:tc>
      </w:tr>
      <w:tr>
        <w:trPr>
          <w:trHeight w:val="209"/>
        </w:trPr>
        <w:tc>
          <w:tcPr>
            <w:tcW w:w="900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 liabilites</w:t>
            </w:r>
          </w:p>
        </w:tc>
        <w:tc>
          <w:tcPr>
            <w:tcW w:w="10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333</w:t>
            </w:r>
          </w:p>
        </w:tc>
      </w:tr>
      <w:tr>
        <w:trPr>
          <w:trHeight w:val="210"/>
        </w:trPr>
        <w:tc>
          <w:tcPr>
            <w:tcW w:w="9000" w:type="dxa"/>
            <w:vAlign w:val="bottom"/>
            <w:tcBorders>
              <w:right w:val="single" w:sz="8" w:color="007CBA"/>
            </w:tcBorders>
            <w:shd w:val="clear" w:color="auto" w:fill="E5F1F8"/>
          </w:tcPr>
          <w:p>
            <w:pPr>
              <w:ind w:left="120"/>
              <w:spacing w:after="0" w:line="210" w:lineRule="exact"/>
              <w:rPr>
                <w:sz w:val="20"/>
                <w:szCs w:val="20"/>
                <w:color w:val="auto"/>
              </w:rPr>
            </w:pPr>
            <w:r>
              <w:rPr>
                <w:rFonts w:ascii="Calibri" w:cs="Calibri" w:eastAsia="Calibri" w:hAnsi="Calibri"/>
                <w:sz w:val="18"/>
                <w:szCs w:val="18"/>
                <w:color w:val="auto"/>
              </w:rPr>
              <w:t>Net identfable assets acquired</w:t>
            </w:r>
          </w:p>
        </w:tc>
        <w:tc>
          <w:tcPr>
            <w:tcW w:w="1020" w:type="dxa"/>
            <w:vAlign w:val="bottom"/>
            <w:shd w:val="clear" w:color="auto" w:fill="E5F1F8"/>
          </w:tcPr>
          <w:p>
            <w:pPr>
              <w:spacing w:after="0"/>
              <w:rPr>
                <w:sz w:val="18"/>
                <w:szCs w:val="18"/>
                <w:color w:val="auto"/>
              </w:rPr>
            </w:pPr>
          </w:p>
        </w:tc>
        <w:tc>
          <w:tcPr>
            <w:tcW w:w="1220" w:type="dxa"/>
            <w:vAlign w:val="bottom"/>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1,787</w:t>
            </w:r>
          </w:p>
        </w:tc>
      </w:tr>
      <w:tr>
        <w:trPr>
          <w:trHeight w:val="215"/>
        </w:trPr>
        <w:tc>
          <w:tcPr>
            <w:tcW w:w="900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Goodwill</w:t>
            </w:r>
          </w:p>
        </w:tc>
        <w:tc>
          <w:tcPr>
            <w:tcW w:w="10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263</w:t>
            </w:r>
          </w:p>
        </w:tc>
      </w:tr>
      <w:tr>
        <w:trPr>
          <w:trHeight w:val="250"/>
        </w:trPr>
        <w:tc>
          <w:tcPr>
            <w:tcW w:w="900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 consideraton</w:t>
            </w:r>
          </w:p>
        </w:tc>
        <w:tc>
          <w:tcPr>
            <w:tcW w:w="1020" w:type="dxa"/>
            <w:vAlign w:val="bottom"/>
            <w:tcBorders>
              <w:bottom w:val="single" w:sz="8" w:color="auto"/>
            </w:tcBorders>
            <w:shd w:val="clear" w:color="auto" w:fill="E5F1F8"/>
          </w:tcPr>
          <w:p>
            <w:pPr>
              <w:jc w:val="right"/>
              <w:ind w:right="590"/>
              <w:spacing w:after="0" w:line="209"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2,050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-1452245</wp:posOffset>
            </wp:positionV>
            <wp:extent cx="34290" cy="3168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-749300</wp:posOffset>
            </wp:positionV>
            <wp:extent cx="34290" cy="3168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-320675</wp:posOffset>
            </wp:positionV>
            <wp:extent cx="34290" cy="3340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106" w:lineRule="exact"/>
        <w:rPr>
          <w:sz w:val="20"/>
          <w:szCs w:val="20"/>
          <w:color w:val="auto"/>
        </w:rPr>
      </w:pPr>
    </w:p>
    <w:p>
      <w:pPr>
        <w:ind w:left="80" w:hanging="72"/>
        <w:spacing w:after="0"/>
        <w:tabs>
          <w:tab w:leader="none" w:pos="80" w:val="left"/>
        </w:tabs>
        <w:numPr>
          <w:ilvl w:val="0"/>
          <w:numId w:val="21"/>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mineral reserves of $1.9 billion.</w:t>
      </w:r>
    </w:p>
    <w:p>
      <w:pPr>
        <w:spacing w:after="0" w:line="18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unaudited pro forma fnancial informaton summarizes the combined results of operatons for the Company and BWI Southeast as though the companies were combined as of January 1, 2023. The unaudited pro forma fnancial informaton does not purport to project the future fnancial positon or operatng results of the combined company. Consistent with the assumed acquisiton date of January 1, 2023, the pro forma fnancial results include acquisiton and integraton expenses of $23 million and a $20 million charge for selling inventory afer its markup to fair value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85725</wp:posOffset>
            </wp:positionV>
            <wp:extent cx="325755" cy="1968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1" w:name="page82"/>
    <w:bookmarkEnd w:id="81"/>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pro forma fnancial informaton is for informatonal purposes only and is not indicatve of the results of operatons that would have been achieved if the acquisiton had taken place as of January 1,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6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380" w:type="dxa"/>
            <w:vAlign w:val="bottom"/>
            <w:shd w:val="clear" w:color="auto" w:fill="007CBA"/>
          </w:tcPr>
          <w:p>
            <w:pPr>
              <w:spacing w:after="0"/>
              <w:rPr>
                <w:sz w:val="19"/>
                <w:szCs w:val="19"/>
                <w:color w:val="auto"/>
              </w:rPr>
            </w:pPr>
          </w:p>
        </w:tc>
      </w:tr>
      <w:tr>
        <w:trPr>
          <w:trHeight w:val="216"/>
        </w:trPr>
        <w:tc>
          <w:tcPr>
            <w:tcW w:w="73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shd w:val="clear" w:color="auto" w:fill="007CBA"/>
          </w:tcPr>
          <w:p>
            <w:pPr>
              <w:spacing w:after="0"/>
              <w:rPr>
                <w:sz w:val="18"/>
                <w:szCs w:val="18"/>
                <w:color w:val="auto"/>
              </w:rPr>
            </w:pPr>
          </w:p>
        </w:tc>
        <w:tc>
          <w:tcPr>
            <w:tcW w:w="1380" w:type="dxa"/>
            <w:vAlign w:val="bottom"/>
            <w:tcBorders>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shd w:val="clear" w:color="auto" w:fill="007CBA"/>
          </w:tcPr>
          <w:p>
            <w:pPr>
              <w:spacing w:after="0"/>
              <w:rPr>
                <w:sz w:val="18"/>
                <w:szCs w:val="18"/>
                <w:color w:val="auto"/>
              </w:rPr>
            </w:pPr>
          </w:p>
        </w:tc>
        <w:tc>
          <w:tcPr>
            <w:tcW w:w="1380" w:type="dxa"/>
            <w:vAlign w:val="bottom"/>
            <w:shd w:val="clear" w:color="auto" w:fill="007CBA"/>
          </w:tcPr>
          <w:p>
            <w:pPr>
              <w:jc w:val="right"/>
              <w:ind w:right="670"/>
              <w:spacing w:after="0" w:line="215" w:lineRule="exact"/>
              <w:rPr>
                <w:sz w:val="20"/>
                <w:szCs w:val="20"/>
                <w:color w:val="auto"/>
              </w:rPr>
            </w:pPr>
            <w:r>
              <w:rPr>
                <w:rFonts w:ascii="Calibri" w:cs="Calibri" w:eastAsia="Calibri" w:hAnsi="Calibri"/>
                <w:sz w:val="18"/>
                <w:szCs w:val="18"/>
                <w:color w:val="FFFFFF"/>
              </w:rPr>
              <w:t>2023</w:t>
            </w:r>
          </w:p>
        </w:tc>
      </w:tr>
      <w:tr>
        <w:trPr>
          <w:trHeight w:val="215"/>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Revenues</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6,588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7,003</w:t>
            </w:r>
          </w:p>
        </w:tc>
      </w:tr>
      <w:tr>
        <w:trPr>
          <w:trHeight w:val="217"/>
        </w:trPr>
        <w:tc>
          <w:tcPr>
            <w:tcW w:w="73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Net earnings from contnuing operatons atributable to Martn Marieta</w:t>
            </w:r>
          </w:p>
        </w:tc>
        <w:tc>
          <w:tcPr>
            <w:tcW w:w="560" w:type="dxa"/>
            <w:vAlign w:val="bottom"/>
            <w:shd w:val="clear" w:color="auto" w:fill="E5F1F8"/>
          </w:tcPr>
          <w:p>
            <w:pPr>
              <w:jc w:val="right"/>
              <w:ind w:right="190"/>
              <w:spacing w:after="0" w:line="216"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2,028</w:t>
            </w:r>
          </w:p>
        </w:tc>
        <w:tc>
          <w:tcPr>
            <w:tcW w:w="560" w:type="dxa"/>
            <w:vAlign w:val="bottom"/>
            <w:shd w:val="clear" w:color="auto" w:fill="E5F1F8"/>
          </w:tcPr>
          <w:p>
            <w:pPr>
              <w:jc w:val="right"/>
              <w:ind w:right="190"/>
              <w:spacing w:after="0" w:line="216"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1,117</w:t>
            </w:r>
          </w:p>
        </w:tc>
      </w:tr>
    </w:tbl>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Other Business Combinatons. </w:t>
      </w:r>
      <w:r>
        <w:rPr>
          <w:rFonts w:ascii="Calibri" w:cs="Calibri" w:eastAsia="Calibri" w:hAnsi="Calibri"/>
          <w:sz w:val="18"/>
          <w:szCs w:val="18"/>
          <w:color w:val="000000"/>
        </w:rPr>
        <w:t>On January 12, 2024, the Company acquired Albert Frei &amp; Sons, Inc. (AFS), a leading aggregates producer in Colorado. This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acquisiton provides more than 60 years (at current producton levels) of high-quality, hard rock reserves to beter serve new and existng customers and enhances the Company's aggregates platorm in the Denver metropolitan area. The Company determined the acquisiton-date fair values of the assets acquired and liabilites assumed. As of December 31, 2024, the measurement period is closed. The goodwill generated by the transacton is not deductble for income tax purposes. The acquisiton is reported in the Company's West Group and is immaterial for pro-forma fnancial statement disclosures.</w:t>
      </w:r>
    </w:p>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October 25, 2024, the Company completed the acquisiton of Youngquist Brothers Rock, LLC (YBR), a leading aggregates supplier in the Fort Myers, Florida area. This acquisiton allows the Company to serve new and existng customers and enhances the Company's aggregates platorm in South Florida. The acquisiton was fnanced through short-term borrowings, which were repaid upon a public debt ofering completed on November 4, 2024 (see Note G). The Company has recorded preliminary fair values of the assets acquired and liabilites assumed, which are subject to additonal reviews that are not yet complete. Thus, these amounts are subject to change during the measurement period, which extends no longer than one year from the consummaton date, and remains open as of December 31, 2024. Specifc accounts subject to ongoing purchase accountng adjustments, include, but are not limited to, property, plant and equipment; goodwill; other assets; and other liabilites. The goodwill generated by the transacton is deductble for income tax purposes. The acquisiton is reported in the Company's East Group and is immaterial for pro-forma fnancial statement disclosures.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December 13, 2024, the Company acquired R.E. Janes Gravel Co. (RE Janes), an aggregates bolt-on in Texas. The Company has recorded preliminary fair values of the assets acquired and liabilites assumed, which are subject to additonal reviews that are not yet complete. Thus, these amounts are subject to change during the measurement period, which extends no longer than one year from the consummaton date, and remains open as of December 31, 2024. Specifc accounts subject to ongoing purchase accountng adjustments, include, but are not limited to, property, plant and equipment; goodwill; other assets; and other liabilites. The goodwill generated by the transacton is deductble for income tax purposes. The acquisiton is reported in the Company's West Group and is immaterial for pro-forma fnancial statement disclosures.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2024, the Company completed acquisitons for total consideraton of $1.6 billion, excluding the BWI Southeast transacton. On a combined preliminary basis, these acquisitons (excluding BWI Southeast) included $1.5 billion of property, plant and equipment (including $1.3 billion in mineral reserves), $115 million of goodwill, $27 million of other intangibles and $92 million of deferred income taxes. Individually and on a combined basis, these acquisitons are immaterial for pro-forma fnancial statement disclosures.</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Divesttures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February 9, 2024, the Company completed the sale of its South Texas cement business and certain of its related ready mixed concrete operatons to CRH Americas Materials, Inc., a subsidiary of CRH plc, for $2.1 billion in cash plus normal customary closing adjustments. Specifcally, the divested facilites included the Hunter cement plant in New Braunfels, Texas, related cement distributon terminals and 20 ready mixed concrete plants that served the Austn and San Antonio region, all of which were classifed as assets held for sale as of December 31, 2023. The divestture provided proceeds the Company used to consummate the BWI Southeast acquisiton. The transacton resulted in a pretax gain of $1.3 billion, which is included in </w:t>
      </w:r>
      <w:r>
        <w:rPr>
          <w:rFonts w:ascii="Calibri" w:cs="Calibri" w:eastAsia="Calibri" w:hAnsi="Calibri"/>
          <w:sz w:val="18"/>
          <w:szCs w:val="18"/>
          <w:i w:val="1"/>
          <w:iCs w:val="1"/>
          <w:color w:val="auto"/>
        </w:rPr>
        <w:t>Other operatng income, net</w:t>
      </w:r>
      <w:r>
        <w:rPr>
          <w:rFonts w:ascii="Calibri" w:cs="Calibri" w:eastAsia="Calibri" w:hAnsi="Calibri"/>
          <w:sz w:val="18"/>
          <w:szCs w:val="18"/>
          <w:color w:val="auto"/>
        </w:rPr>
        <w:t>, in the Company's consolidated statement of earnings for the year ended December 31, 2024 and is exclusive of transacton expenses incurred due to the divestture. The divested operatons and the gain on divestture are reported in the West Group.</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October 31, 2023, the Company completed the sale of its Tehachapi, California cement plant to UNACEM Corp S.A.A. for $315 million in cash. In connecton with the divestture, the Company recorded a $26 million pretax loss in discontnued operatons.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In May 2023, the Company divested its Stockton cement import terminal 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83185</wp:posOffset>
            </wp:positionV>
            <wp:extent cx="325755" cy="1968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2" w:name="page83"/>
    <w:bookmarkEnd w:id="82"/>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Discontnued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associated fnancial results for the Company's California cement and ready mixed concrete operatons, which were part of the Company's West Group, were reported as discontnued operatons on the consolidated statements of earnings through their respectve divestture dates. As of December 31, 2024 and 2023, no operatons were classifed as discontnued operatons.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80" w:type="dxa"/>
            <w:vAlign w:val="bottom"/>
          </w:tcPr>
          <w:p>
            <w:pPr>
              <w:spacing w:after="0"/>
              <w:rPr>
                <w:sz w:val="20"/>
                <w:szCs w:val="20"/>
                <w:color w:val="auto"/>
              </w:rPr>
            </w:pPr>
            <w:r>
              <w:rPr>
                <w:rFonts w:ascii="Calibri" w:cs="Calibri" w:eastAsia="Calibri" w:hAnsi="Calibri"/>
                <w:sz w:val="18"/>
                <w:szCs w:val="18"/>
                <w:color w:val="auto"/>
              </w:rPr>
              <w:t>Financial results for the Company's discontnued operatons are as follows:</w:t>
            </w: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31"/>
        </w:trPr>
        <w:tc>
          <w:tcPr>
            <w:tcW w:w="7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94"/>
        </w:trPr>
        <w:tc>
          <w:tcPr>
            <w:tcW w:w="758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540" w:type="dxa"/>
            <w:vAlign w:val="bottom"/>
            <w:shd w:val="clear" w:color="auto" w:fill="007CBA"/>
          </w:tcPr>
          <w:p>
            <w:pPr>
              <w:spacing w:after="0"/>
              <w:rPr>
                <w:sz w:val="16"/>
                <w:szCs w:val="16"/>
                <w:color w:val="auto"/>
              </w:rPr>
            </w:pPr>
          </w:p>
        </w:tc>
        <w:tc>
          <w:tcPr>
            <w:tcW w:w="1340" w:type="dxa"/>
            <w:vAlign w:val="bottom"/>
            <w:tcBorders>
              <w:right w:val="single" w:sz="8" w:color="007CBA"/>
            </w:tcBorders>
            <w:shd w:val="clear" w:color="auto" w:fill="007CBA"/>
          </w:tcPr>
          <w:p>
            <w:pPr>
              <w:spacing w:after="0"/>
              <w:rPr>
                <w:sz w:val="16"/>
                <w:szCs w:val="16"/>
                <w:color w:val="auto"/>
              </w:rPr>
            </w:pPr>
          </w:p>
        </w:tc>
        <w:tc>
          <w:tcPr>
            <w:tcW w:w="520" w:type="dxa"/>
            <w:vAlign w:val="bottom"/>
            <w:shd w:val="clear" w:color="auto" w:fill="007CBA"/>
          </w:tcPr>
          <w:p>
            <w:pPr>
              <w:spacing w:after="0"/>
              <w:rPr>
                <w:sz w:val="16"/>
                <w:szCs w:val="16"/>
                <w:color w:val="auto"/>
              </w:rPr>
            </w:pPr>
          </w:p>
        </w:tc>
        <w:tc>
          <w:tcPr>
            <w:tcW w:w="1260" w:type="dxa"/>
            <w:vAlign w:val="bottom"/>
            <w:shd w:val="clear" w:color="auto" w:fill="007CBA"/>
          </w:tcPr>
          <w:p>
            <w:pPr>
              <w:spacing w:after="0"/>
              <w:rPr>
                <w:sz w:val="16"/>
                <w:szCs w:val="16"/>
                <w:color w:val="auto"/>
              </w:rPr>
            </w:pPr>
          </w:p>
        </w:tc>
      </w:tr>
      <w:tr>
        <w:trPr>
          <w:trHeight w:val="218"/>
        </w:trPr>
        <w:tc>
          <w:tcPr>
            <w:tcW w:w="75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40" w:type="dxa"/>
            <w:vAlign w:val="bottom"/>
            <w:tcBorders>
              <w:bottom w:val="single" w:sz="8" w:color="007CBA"/>
            </w:tcBorders>
            <w:shd w:val="clear" w:color="auto" w:fill="007CBA"/>
          </w:tcPr>
          <w:p>
            <w:pPr>
              <w:spacing w:after="0"/>
              <w:rPr>
                <w:sz w:val="18"/>
                <w:szCs w:val="18"/>
                <w:color w:val="auto"/>
              </w:rPr>
            </w:pPr>
          </w:p>
        </w:tc>
        <w:tc>
          <w:tcPr>
            <w:tcW w:w="1340" w:type="dxa"/>
            <w:vAlign w:val="bottom"/>
            <w:tcBorders>
              <w:bottom w:val="single" w:sz="8" w:color="007CBA"/>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b w:val="1"/>
                <w:bCs w:val="1"/>
                <w:color w:val="FFFFFF"/>
              </w:rPr>
              <w:t>2023</w:t>
            </w:r>
          </w:p>
        </w:tc>
        <w:tc>
          <w:tcPr>
            <w:tcW w:w="520" w:type="dxa"/>
            <w:vAlign w:val="bottom"/>
            <w:tcBorders>
              <w:bottom w:val="single" w:sz="8" w:color="007CBA"/>
            </w:tcBorders>
            <w:shd w:val="clear" w:color="auto" w:fill="007CBA"/>
          </w:tcPr>
          <w:p>
            <w:pPr>
              <w:spacing w:after="0"/>
              <w:rPr>
                <w:sz w:val="18"/>
                <w:szCs w:val="18"/>
                <w:color w:val="auto"/>
              </w:rPr>
            </w:pPr>
          </w:p>
        </w:tc>
        <w:tc>
          <w:tcPr>
            <w:tcW w:w="1260" w:type="dxa"/>
            <w:vAlign w:val="bottom"/>
            <w:tcBorders>
              <w:bottom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b w:val="1"/>
                <w:bCs w:val="1"/>
                <w:color w:val="FFFFFF"/>
              </w:rPr>
              <w:t>2022</w:t>
            </w:r>
          </w:p>
        </w:tc>
      </w:tr>
      <w:tr>
        <w:trPr>
          <w:trHeight w:val="215"/>
        </w:trPr>
        <w:tc>
          <w:tcPr>
            <w:tcW w:w="758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Revenues</w:t>
            </w:r>
          </w:p>
        </w:tc>
        <w:tc>
          <w:tcPr>
            <w:tcW w:w="54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94</w:t>
            </w:r>
          </w:p>
        </w:tc>
        <w:tc>
          <w:tcPr>
            <w:tcW w:w="5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309</w:t>
            </w: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7580" w:type="dxa"/>
            <w:vAlign w:val="bottom"/>
            <w:tcBorders>
              <w:right w:val="single" w:sz="8" w:color="007CBA"/>
            </w:tcBorders>
            <w:shd w:val="clear" w:color="auto" w:fill="E5F1F8"/>
          </w:tcPr>
          <w:p>
            <w:pPr>
              <w:spacing w:after="0"/>
              <w:rPr>
                <w:sz w:val="17"/>
                <w:szCs w:val="17"/>
                <w:color w:val="auto"/>
              </w:rPr>
            </w:pPr>
          </w:p>
        </w:tc>
        <w:tc>
          <w:tcPr>
            <w:tcW w:w="540" w:type="dxa"/>
            <w:vAlign w:val="bottom"/>
            <w:shd w:val="clear" w:color="auto" w:fill="E5F1F8"/>
          </w:tcPr>
          <w:p>
            <w:pPr>
              <w:spacing w:after="0"/>
              <w:rPr>
                <w:sz w:val="17"/>
                <w:szCs w:val="17"/>
                <w:color w:val="auto"/>
              </w:rPr>
            </w:pPr>
          </w:p>
        </w:tc>
        <w:tc>
          <w:tcPr>
            <w:tcW w:w="1340" w:type="dxa"/>
            <w:vAlign w:val="bottom"/>
            <w:tcBorders>
              <w:right w:val="single" w:sz="8" w:color="007CBA"/>
            </w:tcBorders>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1260" w:type="dxa"/>
            <w:vAlign w:val="bottom"/>
            <w:shd w:val="clear" w:color="auto" w:fill="E5F1F8"/>
          </w:tcPr>
          <w:p>
            <w:pPr>
              <w:spacing w:after="0"/>
              <w:rPr>
                <w:sz w:val="17"/>
                <w:szCs w:val="17"/>
                <w:color w:val="auto"/>
              </w:rPr>
            </w:pPr>
          </w:p>
        </w:tc>
      </w:tr>
      <w:tr>
        <w:trPr>
          <w:trHeight w:val="216"/>
        </w:trPr>
        <w:tc>
          <w:tcPr>
            <w:tcW w:w="7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Pretax (loss) earnings from operatons</w:t>
            </w:r>
          </w:p>
        </w:tc>
        <w:tc>
          <w:tcPr>
            <w:tcW w:w="5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(16 )</w:t>
            </w:r>
          </w:p>
        </w:tc>
        <w:tc>
          <w:tcPr>
            <w:tcW w:w="5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16</w:t>
            </w:r>
          </w:p>
        </w:tc>
      </w:tr>
      <w:tr>
        <w:trPr>
          <w:trHeight w:val="215"/>
        </w:trPr>
        <w:tc>
          <w:tcPr>
            <w:tcW w:w="75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Pretax loss on divesttures and sales of assets</w:t>
            </w:r>
          </w:p>
        </w:tc>
        <w:tc>
          <w:tcPr>
            <w:tcW w:w="540" w:type="dxa"/>
            <w:vAlign w:val="bottom"/>
            <w:tcBorders>
              <w:bottom w:val="single" w:sz="8" w:color="auto"/>
            </w:tcBorders>
            <w:shd w:val="clear" w:color="auto" w:fill="E5F1F8"/>
          </w:tcPr>
          <w:p>
            <w:pPr>
              <w:spacing w:after="0"/>
              <w:rPr>
                <w:sz w:val="18"/>
                <w:szCs w:val="18"/>
                <w:color w:val="auto"/>
              </w:rPr>
            </w:pPr>
          </w:p>
        </w:tc>
        <w:tc>
          <w:tcPr>
            <w:tcW w:w="134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(24 )</w:t>
            </w:r>
          </w:p>
        </w:tc>
        <w:tc>
          <w:tcPr>
            <w:tcW w:w="520" w:type="dxa"/>
            <w:vAlign w:val="bottom"/>
            <w:tcBorders>
              <w:bottom w:val="single" w:sz="8" w:color="auto"/>
            </w:tcBorders>
            <w:shd w:val="clear" w:color="auto" w:fill="E5F1F8"/>
          </w:tcPr>
          <w:p>
            <w:pPr>
              <w:spacing w:after="0"/>
              <w:rPr>
                <w:sz w:val="18"/>
                <w:szCs w:val="18"/>
                <w:color w:val="auto"/>
              </w:rPr>
            </w:pPr>
          </w:p>
        </w:tc>
        <w:tc>
          <w:tcPr>
            <w:tcW w:w="1260" w:type="dxa"/>
            <w:vAlign w:val="bottom"/>
            <w:tcBorders>
              <w:bottom w:val="single" w:sz="8" w:color="auto"/>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0"/>
        </w:trPr>
        <w:tc>
          <w:tcPr>
            <w:tcW w:w="7580" w:type="dxa"/>
            <w:vAlign w:val="bottom"/>
            <w:tcBorders>
              <w:right w:val="single" w:sz="8" w:color="007CBA"/>
            </w:tcBorders>
          </w:tcPr>
          <w:p>
            <w:pPr>
              <w:ind w:left="120"/>
              <w:spacing w:after="0" w:line="210" w:lineRule="exact"/>
              <w:rPr>
                <w:sz w:val="20"/>
                <w:szCs w:val="20"/>
                <w:color w:val="auto"/>
              </w:rPr>
            </w:pPr>
            <w:r>
              <w:rPr>
                <w:rFonts w:ascii="Calibri" w:cs="Calibri" w:eastAsia="Calibri" w:hAnsi="Calibri"/>
                <w:sz w:val="18"/>
                <w:szCs w:val="18"/>
                <w:color w:val="auto"/>
              </w:rPr>
              <w:t>Pretax (loss) earnings</w:t>
            </w:r>
          </w:p>
        </w:tc>
        <w:tc>
          <w:tcPr>
            <w:tcW w:w="540" w:type="dxa"/>
            <w:vAlign w:val="bottom"/>
          </w:tcPr>
          <w:p>
            <w:pPr>
              <w:spacing w:after="0"/>
              <w:rPr>
                <w:sz w:val="18"/>
                <w:szCs w:val="18"/>
                <w:color w:val="auto"/>
              </w:rPr>
            </w:pPr>
          </w:p>
        </w:tc>
        <w:tc>
          <w:tcPr>
            <w:tcW w:w="1340" w:type="dxa"/>
            <w:vAlign w:val="bottom"/>
            <w:tcBorders>
              <w:right w:val="single" w:sz="8" w:color="007CBA"/>
            </w:tcBorders>
          </w:tcPr>
          <w:p>
            <w:pPr>
              <w:jc w:val="right"/>
              <w:spacing w:after="0" w:line="210" w:lineRule="exact"/>
              <w:rPr>
                <w:sz w:val="20"/>
                <w:szCs w:val="20"/>
                <w:color w:val="auto"/>
              </w:rPr>
            </w:pPr>
            <w:r>
              <w:rPr>
                <w:rFonts w:ascii="Calibri" w:cs="Calibri" w:eastAsia="Calibri" w:hAnsi="Calibri"/>
                <w:sz w:val="18"/>
                <w:szCs w:val="18"/>
                <w:color w:val="auto"/>
              </w:rPr>
              <w:t>(40 )</w:t>
            </w:r>
          </w:p>
        </w:tc>
        <w:tc>
          <w:tcPr>
            <w:tcW w:w="520" w:type="dxa"/>
            <w:vAlign w:val="bottom"/>
          </w:tcPr>
          <w:p>
            <w:pPr>
              <w:spacing w:after="0"/>
              <w:rPr>
                <w:sz w:val="18"/>
                <w:szCs w:val="18"/>
                <w:color w:val="auto"/>
              </w:rPr>
            </w:pPr>
          </w:p>
        </w:tc>
        <w:tc>
          <w:tcPr>
            <w:tcW w:w="126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rPr>
              <w:t>16</w:t>
            </w:r>
          </w:p>
        </w:tc>
      </w:tr>
      <w:tr>
        <w:trPr>
          <w:trHeight w:val="215"/>
        </w:trPr>
        <w:tc>
          <w:tcPr>
            <w:tcW w:w="75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Income tax (beneft) expense</w:t>
            </w:r>
          </w:p>
        </w:tc>
        <w:tc>
          <w:tcPr>
            <w:tcW w:w="540" w:type="dxa"/>
            <w:vAlign w:val="bottom"/>
            <w:tcBorders>
              <w:bottom w:val="single" w:sz="8" w:color="auto"/>
            </w:tcBorders>
            <w:shd w:val="clear" w:color="auto" w:fill="E5F1F8"/>
          </w:tcPr>
          <w:p>
            <w:pPr>
              <w:spacing w:after="0"/>
              <w:rPr>
                <w:sz w:val="18"/>
                <w:szCs w:val="18"/>
                <w:color w:val="auto"/>
              </w:rPr>
            </w:pPr>
          </w:p>
        </w:tc>
        <w:tc>
          <w:tcPr>
            <w:tcW w:w="134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(10 )</w:t>
            </w:r>
          </w:p>
        </w:tc>
        <w:tc>
          <w:tcPr>
            <w:tcW w:w="520" w:type="dxa"/>
            <w:vAlign w:val="bottom"/>
            <w:tcBorders>
              <w:bottom w:val="single" w:sz="8" w:color="auto"/>
            </w:tcBorders>
            <w:shd w:val="clear" w:color="auto" w:fill="E5F1F8"/>
          </w:tcPr>
          <w:p>
            <w:pPr>
              <w:spacing w:after="0"/>
              <w:rPr>
                <w:sz w:val="18"/>
                <w:szCs w:val="18"/>
                <w:color w:val="auto"/>
              </w:rPr>
            </w:pPr>
          </w:p>
        </w:tc>
        <w:tc>
          <w:tcPr>
            <w:tcW w:w="126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w:t>
            </w:r>
          </w:p>
        </w:tc>
      </w:tr>
      <w:tr>
        <w:trPr>
          <w:trHeight w:val="188"/>
        </w:trPr>
        <w:tc>
          <w:tcPr>
            <w:tcW w:w="7580" w:type="dxa"/>
            <w:vAlign w:val="bottom"/>
          </w:tcPr>
          <w:p>
            <w:pPr>
              <w:ind w:left="120"/>
              <w:spacing w:after="0" w:line="187" w:lineRule="exact"/>
              <w:rPr>
                <w:sz w:val="20"/>
                <w:szCs w:val="20"/>
                <w:color w:val="auto"/>
              </w:rPr>
            </w:pPr>
            <w:r>
              <w:rPr>
                <w:rFonts w:ascii="Calibri" w:cs="Calibri" w:eastAsia="Calibri" w:hAnsi="Calibri"/>
                <w:sz w:val="18"/>
                <w:szCs w:val="18"/>
                <w:color w:val="auto"/>
              </w:rPr>
              <w:t>(Loss) Earnings from discontnued operatons, net of income tax</w:t>
            </w: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7580" w:type="dxa"/>
            <w:vAlign w:val="bottom"/>
          </w:tcPr>
          <w:p>
            <w:pPr>
              <w:ind w:left="240"/>
              <w:spacing w:after="0" w:line="215" w:lineRule="exact"/>
              <w:rPr>
                <w:sz w:val="20"/>
                <w:szCs w:val="20"/>
                <w:color w:val="auto"/>
              </w:rPr>
            </w:pPr>
            <w:r>
              <w:rPr>
                <w:rFonts w:ascii="Calibri" w:cs="Calibri" w:eastAsia="Calibri" w:hAnsi="Calibri"/>
                <w:sz w:val="18"/>
                <w:szCs w:val="18"/>
                <w:color w:val="auto"/>
              </w:rPr>
              <w:t>(beneft) expense</w:t>
            </w:r>
          </w:p>
        </w:tc>
        <w:tc>
          <w:tcPr>
            <w:tcW w:w="5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(30 )</w:t>
            </w:r>
          </w:p>
        </w:tc>
        <w:tc>
          <w:tcPr>
            <w:tcW w:w="5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11</w:t>
            </w:r>
          </w:p>
        </w:tc>
      </w:tr>
      <w:tr>
        <w:trPr>
          <w:trHeight w:val="23"/>
        </w:trPr>
        <w:tc>
          <w:tcPr>
            <w:tcW w:w="7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49"/>
        </w:trPr>
        <w:tc>
          <w:tcPr>
            <w:tcW w:w="7580" w:type="dxa"/>
            <w:vAlign w:val="bottom"/>
          </w:tcPr>
          <w:p>
            <w:pPr>
              <w:spacing w:after="0"/>
              <w:rPr>
                <w:sz w:val="20"/>
                <w:szCs w:val="20"/>
                <w:color w:val="auto"/>
              </w:rPr>
            </w:pPr>
            <w:r>
              <w:rPr>
                <w:rFonts w:ascii="Calibri" w:cs="Calibri" w:eastAsia="Calibri" w:hAnsi="Calibri"/>
                <w:sz w:val="18"/>
                <w:szCs w:val="18"/>
                <w:color w:val="auto"/>
              </w:rPr>
              <w:t>Cash fow informaton for the Company's discontnued operatons is as follows:</w:t>
            </w: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91"/>
        </w:trPr>
        <w:tc>
          <w:tcPr>
            <w:tcW w:w="7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194"/>
        </w:trPr>
        <w:tc>
          <w:tcPr>
            <w:tcW w:w="758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540" w:type="dxa"/>
            <w:vAlign w:val="bottom"/>
            <w:shd w:val="clear" w:color="auto" w:fill="007CBA"/>
          </w:tcPr>
          <w:p>
            <w:pPr>
              <w:spacing w:after="0"/>
              <w:rPr>
                <w:sz w:val="16"/>
                <w:szCs w:val="16"/>
                <w:color w:val="auto"/>
              </w:rPr>
            </w:pPr>
          </w:p>
        </w:tc>
        <w:tc>
          <w:tcPr>
            <w:tcW w:w="1340" w:type="dxa"/>
            <w:vAlign w:val="bottom"/>
            <w:tcBorders>
              <w:right w:val="single" w:sz="8" w:color="007CBA"/>
            </w:tcBorders>
            <w:shd w:val="clear" w:color="auto" w:fill="007CBA"/>
          </w:tcPr>
          <w:p>
            <w:pPr>
              <w:spacing w:after="0"/>
              <w:rPr>
                <w:sz w:val="16"/>
                <w:szCs w:val="16"/>
                <w:color w:val="auto"/>
              </w:rPr>
            </w:pPr>
          </w:p>
        </w:tc>
        <w:tc>
          <w:tcPr>
            <w:tcW w:w="520" w:type="dxa"/>
            <w:vAlign w:val="bottom"/>
            <w:shd w:val="clear" w:color="auto" w:fill="007CBA"/>
          </w:tcPr>
          <w:p>
            <w:pPr>
              <w:spacing w:after="0"/>
              <w:rPr>
                <w:sz w:val="16"/>
                <w:szCs w:val="16"/>
                <w:color w:val="auto"/>
              </w:rPr>
            </w:pPr>
          </w:p>
        </w:tc>
        <w:tc>
          <w:tcPr>
            <w:tcW w:w="1260" w:type="dxa"/>
            <w:vAlign w:val="bottom"/>
            <w:shd w:val="clear" w:color="auto" w:fill="007CBA"/>
          </w:tcPr>
          <w:p>
            <w:pPr>
              <w:spacing w:after="0"/>
              <w:rPr>
                <w:sz w:val="16"/>
                <w:szCs w:val="16"/>
                <w:color w:val="auto"/>
              </w:rPr>
            </w:pPr>
          </w:p>
        </w:tc>
      </w:tr>
      <w:tr>
        <w:trPr>
          <w:trHeight w:val="218"/>
        </w:trPr>
        <w:tc>
          <w:tcPr>
            <w:tcW w:w="75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40" w:type="dxa"/>
            <w:vAlign w:val="bottom"/>
            <w:tcBorders>
              <w:bottom w:val="single" w:sz="8" w:color="007CBA"/>
            </w:tcBorders>
            <w:shd w:val="clear" w:color="auto" w:fill="007CBA"/>
          </w:tcPr>
          <w:p>
            <w:pPr>
              <w:spacing w:after="0"/>
              <w:rPr>
                <w:sz w:val="18"/>
                <w:szCs w:val="18"/>
                <w:color w:val="auto"/>
              </w:rPr>
            </w:pPr>
          </w:p>
        </w:tc>
        <w:tc>
          <w:tcPr>
            <w:tcW w:w="1340" w:type="dxa"/>
            <w:vAlign w:val="bottom"/>
            <w:tcBorders>
              <w:bottom w:val="single" w:sz="8" w:color="007CBA"/>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b w:val="1"/>
                <w:bCs w:val="1"/>
                <w:color w:val="FFFFFF"/>
              </w:rPr>
              <w:t>2023</w:t>
            </w:r>
          </w:p>
        </w:tc>
        <w:tc>
          <w:tcPr>
            <w:tcW w:w="520" w:type="dxa"/>
            <w:vAlign w:val="bottom"/>
            <w:tcBorders>
              <w:bottom w:val="single" w:sz="8" w:color="007CBA"/>
            </w:tcBorders>
            <w:shd w:val="clear" w:color="auto" w:fill="007CBA"/>
          </w:tcPr>
          <w:p>
            <w:pPr>
              <w:spacing w:after="0"/>
              <w:rPr>
                <w:sz w:val="18"/>
                <w:szCs w:val="18"/>
                <w:color w:val="auto"/>
              </w:rPr>
            </w:pPr>
          </w:p>
        </w:tc>
        <w:tc>
          <w:tcPr>
            <w:tcW w:w="1260" w:type="dxa"/>
            <w:vAlign w:val="bottom"/>
            <w:tcBorders>
              <w:bottom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b w:val="1"/>
                <w:bCs w:val="1"/>
                <w:color w:val="FFFFFF"/>
              </w:rPr>
              <w:t>2022</w:t>
            </w:r>
          </w:p>
        </w:tc>
      </w:tr>
      <w:tr>
        <w:trPr>
          <w:trHeight w:val="255"/>
        </w:trPr>
        <w:tc>
          <w:tcPr>
            <w:tcW w:w="75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Net cash provided by (used for) operatng actvites</w:t>
            </w:r>
          </w:p>
        </w:tc>
        <w:tc>
          <w:tcPr>
            <w:tcW w:w="540" w:type="dxa"/>
            <w:vAlign w:val="bottom"/>
            <w:tcBorders>
              <w:bottom w:val="single" w:sz="8" w:color="auto"/>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w:t>
            </w:r>
          </w:p>
        </w:tc>
        <w:tc>
          <w:tcPr>
            <w:tcW w:w="520" w:type="dxa"/>
            <w:vAlign w:val="bottom"/>
            <w:tcBorders>
              <w:bottom w:val="single" w:sz="8" w:color="auto"/>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(32 )</w:t>
            </w:r>
          </w:p>
        </w:tc>
      </w:tr>
      <w:tr>
        <w:trPr>
          <w:trHeight w:val="197"/>
        </w:trPr>
        <w:tc>
          <w:tcPr>
            <w:tcW w:w="7580" w:type="dxa"/>
            <w:vAlign w:val="bottom"/>
            <w:tcBorders>
              <w:right w:val="single" w:sz="8" w:color="007CBA"/>
            </w:tcBorders>
          </w:tcPr>
          <w:p>
            <w:pPr>
              <w:ind w:left="120"/>
              <w:spacing w:after="0" w:line="197" w:lineRule="exact"/>
              <w:rPr>
                <w:sz w:val="20"/>
                <w:szCs w:val="20"/>
                <w:color w:val="auto"/>
              </w:rPr>
            </w:pPr>
            <w:r>
              <w:rPr>
                <w:rFonts w:ascii="Calibri" w:cs="Calibri" w:eastAsia="Calibri" w:hAnsi="Calibri"/>
                <w:sz w:val="18"/>
                <w:szCs w:val="18"/>
                <w:color w:val="auto"/>
              </w:rPr>
              <w:t>Additons to property, plant and equipment</w:t>
            </w:r>
          </w:p>
        </w:tc>
        <w:tc>
          <w:tcPr>
            <w:tcW w:w="540" w:type="dxa"/>
            <w:vAlign w:val="bottom"/>
          </w:tcPr>
          <w:p>
            <w:pPr>
              <w:jc w:val="right"/>
              <w:ind w:right="150"/>
              <w:spacing w:after="0" w:line="197"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007CBA"/>
            </w:tcBorders>
          </w:tcPr>
          <w:p>
            <w:pPr>
              <w:jc w:val="right"/>
              <w:spacing w:after="0" w:line="197" w:lineRule="exact"/>
              <w:rPr>
                <w:sz w:val="20"/>
                <w:szCs w:val="20"/>
                <w:color w:val="auto"/>
              </w:rPr>
            </w:pPr>
            <w:r>
              <w:rPr>
                <w:rFonts w:ascii="Calibri" w:cs="Calibri" w:eastAsia="Calibri" w:hAnsi="Calibri"/>
                <w:sz w:val="18"/>
                <w:szCs w:val="18"/>
                <w:color w:val="auto"/>
              </w:rPr>
              <w:t>(3 )</w:t>
            </w:r>
          </w:p>
        </w:tc>
        <w:tc>
          <w:tcPr>
            <w:tcW w:w="520" w:type="dxa"/>
            <w:vAlign w:val="bottom"/>
          </w:tcPr>
          <w:p>
            <w:pPr>
              <w:jc w:val="right"/>
              <w:ind w:right="130"/>
              <w:spacing w:after="0" w:line="197"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197" w:lineRule="exact"/>
              <w:rPr>
                <w:sz w:val="20"/>
                <w:szCs w:val="20"/>
                <w:color w:val="auto"/>
              </w:rPr>
            </w:pPr>
            <w:r>
              <w:rPr>
                <w:rFonts w:ascii="Calibri" w:cs="Calibri" w:eastAsia="Calibri" w:hAnsi="Calibri"/>
                <w:sz w:val="18"/>
                <w:szCs w:val="18"/>
                <w:color w:val="auto"/>
              </w:rPr>
              <w:t>(16 )</w:t>
            </w:r>
          </w:p>
        </w:tc>
      </w:tr>
      <w:tr>
        <w:trPr>
          <w:trHeight w:val="215"/>
        </w:trPr>
        <w:tc>
          <w:tcPr>
            <w:tcW w:w="75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Proceeds from divesttures and sales of assets</w:t>
            </w:r>
          </w:p>
        </w:tc>
        <w:tc>
          <w:tcPr>
            <w:tcW w:w="540" w:type="dxa"/>
            <w:vAlign w:val="bottom"/>
            <w:tcBorders>
              <w:bottom w:val="single" w:sz="8" w:color="auto"/>
            </w:tcBorders>
            <w:shd w:val="clear" w:color="auto" w:fill="E5F1F8"/>
          </w:tcPr>
          <w:p>
            <w:pPr>
              <w:spacing w:after="0"/>
              <w:rPr>
                <w:sz w:val="18"/>
                <w:szCs w:val="18"/>
                <w:color w:val="auto"/>
              </w:rPr>
            </w:pPr>
          </w:p>
        </w:tc>
        <w:tc>
          <w:tcPr>
            <w:tcW w:w="134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372</w:t>
            </w:r>
          </w:p>
        </w:tc>
        <w:tc>
          <w:tcPr>
            <w:tcW w:w="520" w:type="dxa"/>
            <w:vAlign w:val="bottom"/>
            <w:tcBorders>
              <w:bottom w:val="single" w:sz="8" w:color="auto"/>
            </w:tcBorders>
            <w:shd w:val="clear" w:color="auto" w:fill="E5F1F8"/>
          </w:tcPr>
          <w:p>
            <w:pPr>
              <w:spacing w:after="0"/>
              <w:rPr>
                <w:sz w:val="18"/>
                <w:szCs w:val="18"/>
                <w:color w:val="auto"/>
              </w:rPr>
            </w:pPr>
          </w:p>
        </w:tc>
        <w:tc>
          <w:tcPr>
            <w:tcW w:w="126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250</w:t>
            </w:r>
          </w:p>
        </w:tc>
      </w:tr>
      <w:tr>
        <w:trPr>
          <w:trHeight w:val="210"/>
        </w:trPr>
        <w:tc>
          <w:tcPr>
            <w:tcW w:w="758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Net cash provided by investng actvites</w:t>
            </w:r>
          </w:p>
        </w:tc>
        <w:tc>
          <w:tcPr>
            <w:tcW w:w="540" w:type="dxa"/>
            <w:vAlign w:val="bottom"/>
            <w:tcBorders>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369</w:t>
            </w:r>
          </w:p>
        </w:tc>
        <w:tc>
          <w:tcPr>
            <w:tcW w:w="520" w:type="dxa"/>
            <w:vAlign w:val="bottom"/>
            <w:tcBorders>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234</w:t>
            </w: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-2352040</wp:posOffset>
            </wp:positionV>
            <wp:extent cx="34290" cy="1885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-2352040</wp:posOffset>
            </wp:positionV>
            <wp:extent cx="33655" cy="188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-1915160</wp:posOffset>
            </wp:positionV>
            <wp:extent cx="34290" cy="1708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-1915160</wp:posOffset>
            </wp:positionV>
            <wp:extent cx="33655" cy="1708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-1632585</wp:posOffset>
            </wp:positionV>
            <wp:extent cx="34290" cy="4711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34290" cy="47117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-1632585</wp:posOffset>
            </wp:positionV>
            <wp:extent cx="33655" cy="4711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33655" cy="471170"/>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-620395</wp:posOffset>
            </wp:positionV>
            <wp:extent cx="3429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-620395</wp:posOffset>
            </wp:positionV>
            <wp:extent cx="33655"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-320675</wp:posOffset>
            </wp:positionV>
            <wp:extent cx="34290" cy="3340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-320675</wp:posOffset>
            </wp:positionV>
            <wp:extent cx="33655" cy="3340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Assets and Liabilites Held for Sale</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Assets and liabilites held for sale at December 31, 2024 included certain nonoperatng land. At December 31, 2023, assets and liabilites held for sale also included the South Texas cement plant, related cement distributon terminals, and 20 ready mixed concrete plants which were sold in February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80" w:type="dxa"/>
            <w:vAlign w:val="bottom"/>
          </w:tcPr>
          <w:p>
            <w:pPr>
              <w:spacing w:after="0"/>
              <w:rPr>
                <w:sz w:val="20"/>
                <w:szCs w:val="20"/>
                <w:color w:val="auto"/>
              </w:rPr>
            </w:pPr>
            <w:r>
              <w:rPr>
                <w:rFonts w:ascii="Calibri" w:cs="Calibri" w:eastAsia="Calibri" w:hAnsi="Calibri"/>
                <w:sz w:val="18"/>
                <w:szCs w:val="18"/>
                <w:color w:val="auto"/>
              </w:rPr>
              <w:t>Assets and liabilites held for sale are as follows:</w:t>
            </w: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31"/>
        </w:trPr>
        <w:tc>
          <w:tcPr>
            <w:tcW w:w="7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94"/>
        </w:trPr>
        <w:tc>
          <w:tcPr>
            <w:tcW w:w="758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December 31</w:t>
            </w:r>
          </w:p>
        </w:tc>
        <w:tc>
          <w:tcPr>
            <w:tcW w:w="540" w:type="dxa"/>
            <w:vAlign w:val="bottom"/>
            <w:shd w:val="clear" w:color="auto" w:fill="007CBA"/>
          </w:tcPr>
          <w:p>
            <w:pPr>
              <w:spacing w:after="0"/>
              <w:rPr>
                <w:sz w:val="16"/>
                <w:szCs w:val="16"/>
                <w:color w:val="auto"/>
              </w:rPr>
            </w:pPr>
          </w:p>
        </w:tc>
        <w:tc>
          <w:tcPr>
            <w:tcW w:w="1340" w:type="dxa"/>
            <w:vAlign w:val="bottom"/>
            <w:tcBorders>
              <w:right w:val="single" w:sz="8" w:color="007CBA"/>
            </w:tcBorders>
            <w:shd w:val="clear" w:color="auto" w:fill="007CBA"/>
          </w:tcPr>
          <w:p>
            <w:pPr>
              <w:spacing w:after="0"/>
              <w:rPr>
                <w:sz w:val="16"/>
                <w:szCs w:val="16"/>
                <w:color w:val="auto"/>
              </w:rPr>
            </w:pPr>
          </w:p>
        </w:tc>
        <w:tc>
          <w:tcPr>
            <w:tcW w:w="520" w:type="dxa"/>
            <w:vAlign w:val="bottom"/>
            <w:shd w:val="clear" w:color="auto" w:fill="007CBA"/>
          </w:tcPr>
          <w:p>
            <w:pPr>
              <w:spacing w:after="0"/>
              <w:rPr>
                <w:sz w:val="16"/>
                <w:szCs w:val="16"/>
                <w:color w:val="auto"/>
              </w:rPr>
            </w:pPr>
          </w:p>
        </w:tc>
        <w:tc>
          <w:tcPr>
            <w:tcW w:w="1260" w:type="dxa"/>
            <w:vAlign w:val="bottom"/>
            <w:shd w:val="clear" w:color="auto" w:fill="007CBA"/>
          </w:tcPr>
          <w:p>
            <w:pPr>
              <w:spacing w:after="0"/>
              <w:rPr>
                <w:sz w:val="16"/>
                <w:szCs w:val="16"/>
                <w:color w:val="auto"/>
              </w:rPr>
            </w:pPr>
          </w:p>
        </w:tc>
      </w:tr>
      <w:tr>
        <w:trPr>
          <w:trHeight w:val="218"/>
        </w:trPr>
        <w:tc>
          <w:tcPr>
            <w:tcW w:w="75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40" w:type="dxa"/>
            <w:vAlign w:val="bottom"/>
            <w:tcBorders>
              <w:bottom w:val="single" w:sz="8" w:color="007CBA"/>
            </w:tcBorders>
            <w:shd w:val="clear" w:color="auto" w:fill="007CBA"/>
          </w:tcPr>
          <w:p>
            <w:pPr>
              <w:spacing w:after="0"/>
              <w:rPr>
                <w:sz w:val="18"/>
                <w:szCs w:val="18"/>
                <w:color w:val="auto"/>
              </w:rPr>
            </w:pPr>
          </w:p>
        </w:tc>
        <w:tc>
          <w:tcPr>
            <w:tcW w:w="1340" w:type="dxa"/>
            <w:vAlign w:val="bottom"/>
            <w:tcBorders>
              <w:bottom w:val="single" w:sz="8" w:color="007CBA"/>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b w:val="1"/>
                <w:bCs w:val="1"/>
                <w:color w:val="FFFFFF"/>
              </w:rPr>
              <w:t>2024</w:t>
            </w:r>
          </w:p>
        </w:tc>
        <w:tc>
          <w:tcPr>
            <w:tcW w:w="520" w:type="dxa"/>
            <w:vAlign w:val="bottom"/>
            <w:tcBorders>
              <w:bottom w:val="single" w:sz="8" w:color="007CBA"/>
            </w:tcBorders>
            <w:shd w:val="clear" w:color="auto" w:fill="007CBA"/>
          </w:tcPr>
          <w:p>
            <w:pPr>
              <w:spacing w:after="0"/>
              <w:rPr>
                <w:sz w:val="18"/>
                <w:szCs w:val="18"/>
                <w:color w:val="auto"/>
              </w:rPr>
            </w:pPr>
          </w:p>
        </w:tc>
        <w:tc>
          <w:tcPr>
            <w:tcW w:w="1260" w:type="dxa"/>
            <w:vAlign w:val="bottom"/>
            <w:tcBorders>
              <w:bottom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b w:val="1"/>
                <w:bCs w:val="1"/>
                <w:color w:val="FFFFFF"/>
              </w:rPr>
              <w:t>2023</w:t>
            </w:r>
          </w:p>
        </w:tc>
      </w:tr>
      <w:tr>
        <w:trPr>
          <w:trHeight w:val="216"/>
        </w:trPr>
        <w:tc>
          <w:tcPr>
            <w:tcW w:w="758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Inventories, net</w:t>
            </w:r>
          </w:p>
        </w:tc>
        <w:tc>
          <w:tcPr>
            <w:tcW w:w="540" w:type="dxa"/>
            <w:vAlign w:val="bottom"/>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61</w:t>
            </w:r>
          </w:p>
        </w:tc>
      </w:tr>
      <w:tr>
        <w:trPr>
          <w:trHeight w:val="215"/>
        </w:trPr>
        <w:tc>
          <w:tcPr>
            <w:tcW w:w="7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Investment land</w:t>
            </w:r>
          </w:p>
        </w:tc>
        <w:tc>
          <w:tcPr>
            <w:tcW w:w="540" w:type="dxa"/>
            <w:vAlign w:val="bottom"/>
          </w:tcPr>
          <w:p>
            <w:pPr>
              <w:spacing w:after="0"/>
              <w:rPr>
                <w:sz w:val="18"/>
                <w:szCs w:val="18"/>
                <w:color w:val="auto"/>
              </w:rPr>
            </w:pP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8</w:t>
            </w:r>
          </w:p>
        </w:tc>
        <w:tc>
          <w:tcPr>
            <w:tcW w:w="520" w:type="dxa"/>
            <w:vAlign w:val="bottom"/>
          </w:tcPr>
          <w:p>
            <w:pPr>
              <w:spacing w:after="0"/>
              <w:rPr>
                <w:sz w:val="18"/>
                <w:szCs w:val="18"/>
                <w:color w:val="auto"/>
              </w:rPr>
            </w:pPr>
          </w:p>
        </w:tc>
        <w:tc>
          <w:tcPr>
            <w:tcW w:w="1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18</w:t>
            </w:r>
          </w:p>
        </w:tc>
      </w:tr>
      <w:tr>
        <w:trPr>
          <w:trHeight w:val="217"/>
        </w:trPr>
        <w:tc>
          <w:tcPr>
            <w:tcW w:w="75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Other assets</w:t>
            </w:r>
          </w:p>
        </w:tc>
        <w:tc>
          <w:tcPr>
            <w:tcW w:w="540" w:type="dxa"/>
            <w:vAlign w:val="bottom"/>
            <w:shd w:val="clear" w:color="auto" w:fill="E5F1F8"/>
          </w:tcPr>
          <w:p>
            <w:pPr>
              <w:spacing w:after="0"/>
              <w:rPr>
                <w:sz w:val="18"/>
                <w:szCs w:val="18"/>
                <w:color w:val="auto"/>
              </w:rPr>
            </w:pPr>
          </w:p>
        </w:tc>
        <w:tc>
          <w:tcPr>
            <w:tcW w:w="13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w:t>
            </w:r>
          </w:p>
        </w:tc>
        <w:tc>
          <w:tcPr>
            <w:tcW w:w="520" w:type="dxa"/>
            <w:vAlign w:val="bottom"/>
            <w:shd w:val="clear" w:color="auto" w:fill="E5F1F8"/>
          </w:tcPr>
          <w:p>
            <w:pPr>
              <w:spacing w:after="0"/>
              <w:rPr>
                <w:sz w:val="18"/>
                <w:szCs w:val="18"/>
                <w:color w:val="auto"/>
              </w:rPr>
            </w:pPr>
          </w:p>
        </w:tc>
        <w:tc>
          <w:tcPr>
            <w:tcW w:w="12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w:t>
            </w:r>
          </w:p>
        </w:tc>
      </w:tr>
      <w:tr>
        <w:trPr>
          <w:trHeight w:val="215"/>
        </w:trPr>
        <w:tc>
          <w:tcPr>
            <w:tcW w:w="7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Property, plant and equipment</w:t>
            </w:r>
          </w:p>
        </w:tc>
        <w:tc>
          <w:tcPr>
            <w:tcW w:w="540" w:type="dxa"/>
            <w:vAlign w:val="bottom"/>
          </w:tcPr>
          <w:p>
            <w:pPr>
              <w:spacing w:after="0"/>
              <w:rPr>
                <w:sz w:val="18"/>
                <w:szCs w:val="18"/>
                <w:color w:val="auto"/>
              </w:rPr>
            </w:pP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Pr>
          <w:p>
            <w:pPr>
              <w:spacing w:after="0"/>
              <w:rPr>
                <w:sz w:val="18"/>
                <w:szCs w:val="18"/>
                <w:color w:val="auto"/>
              </w:rPr>
            </w:pPr>
          </w:p>
        </w:tc>
        <w:tc>
          <w:tcPr>
            <w:tcW w:w="1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327</w:t>
            </w:r>
          </w:p>
        </w:tc>
      </w:tr>
      <w:tr>
        <w:trPr>
          <w:trHeight w:val="217"/>
        </w:trPr>
        <w:tc>
          <w:tcPr>
            <w:tcW w:w="75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Intangible assets, excluding goodwill</w:t>
            </w:r>
          </w:p>
        </w:tc>
        <w:tc>
          <w:tcPr>
            <w:tcW w:w="540" w:type="dxa"/>
            <w:vAlign w:val="bottom"/>
            <w:shd w:val="clear" w:color="auto" w:fill="E5F1F8"/>
          </w:tcPr>
          <w:p>
            <w:pPr>
              <w:spacing w:after="0"/>
              <w:rPr>
                <w:sz w:val="18"/>
                <w:szCs w:val="18"/>
                <w:color w:val="auto"/>
              </w:rPr>
            </w:pPr>
          </w:p>
        </w:tc>
        <w:tc>
          <w:tcPr>
            <w:tcW w:w="13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w:t>
            </w:r>
          </w:p>
        </w:tc>
        <w:tc>
          <w:tcPr>
            <w:tcW w:w="520" w:type="dxa"/>
            <w:vAlign w:val="bottom"/>
            <w:shd w:val="clear" w:color="auto" w:fill="E5F1F8"/>
          </w:tcPr>
          <w:p>
            <w:pPr>
              <w:spacing w:after="0"/>
              <w:rPr>
                <w:sz w:val="18"/>
                <w:szCs w:val="18"/>
                <w:color w:val="auto"/>
              </w:rPr>
            </w:pPr>
          </w:p>
        </w:tc>
        <w:tc>
          <w:tcPr>
            <w:tcW w:w="12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122</w:t>
            </w:r>
          </w:p>
        </w:tc>
      </w:tr>
      <w:tr>
        <w:trPr>
          <w:trHeight w:val="216"/>
        </w:trPr>
        <w:tc>
          <w:tcPr>
            <w:tcW w:w="7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540" w:type="dxa"/>
            <w:vAlign w:val="bottom"/>
          </w:tcPr>
          <w:p>
            <w:pPr>
              <w:spacing w:after="0"/>
              <w:rPr>
                <w:sz w:val="18"/>
                <w:szCs w:val="18"/>
                <w:color w:val="auto"/>
              </w:rPr>
            </w:pP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Pr>
          <w:p>
            <w:pPr>
              <w:spacing w:after="0"/>
              <w:rPr>
                <w:sz w:val="18"/>
                <w:szCs w:val="18"/>
                <w:color w:val="auto"/>
              </w:rPr>
            </w:pPr>
          </w:p>
        </w:tc>
        <w:tc>
          <w:tcPr>
            <w:tcW w:w="1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15</w:t>
            </w:r>
          </w:p>
        </w:tc>
      </w:tr>
      <w:tr>
        <w:trPr>
          <w:trHeight w:val="215"/>
        </w:trPr>
        <w:tc>
          <w:tcPr>
            <w:tcW w:w="75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Goodwill</w:t>
            </w:r>
          </w:p>
        </w:tc>
        <w:tc>
          <w:tcPr>
            <w:tcW w:w="540" w:type="dxa"/>
            <w:vAlign w:val="bottom"/>
            <w:tcBorders>
              <w:bottom w:val="single" w:sz="8" w:color="auto"/>
            </w:tcBorders>
            <w:shd w:val="clear" w:color="auto" w:fill="E5F1F8"/>
          </w:tcPr>
          <w:p>
            <w:pPr>
              <w:spacing w:after="0"/>
              <w:rPr>
                <w:sz w:val="18"/>
                <w:szCs w:val="18"/>
                <w:color w:val="auto"/>
              </w:rPr>
            </w:pPr>
          </w:p>
        </w:tc>
        <w:tc>
          <w:tcPr>
            <w:tcW w:w="134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bottom w:val="single" w:sz="8" w:color="auto"/>
            </w:tcBorders>
            <w:shd w:val="clear" w:color="auto" w:fill="E5F1F8"/>
          </w:tcPr>
          <w:p>
            <w:pPr>
              <w:spacing w:after="0"/>
              <w:rPr>
                <w:sz w:val="18"/>
                <w:szCs w:val="18"/>
                <w:color w:val="auto"/>
              </w:rPr>
            </w:pPr>
          </w:p>
        </w:tc>
        <w:tc>
          <w:tcPr>
            <w:tcW w:w="126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260</w:t>
            </w:r>
          </w:p>
        </w:tc>
      </w:tr>
      <w:tr>
        <w:trPr>
          <w:trHeight w:val="209"/>
        </w:trPr>
        <w:tc>
          <w:tcPr>
            <w:tcW w:w="758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 current assets held for sale</w:t>
            </w:r>
          </w:p>
        </w:tc>
        <w:tc>
          <w:tcPr>
            <w:tcW w:w="540" w:type="dxa"/>
            <w:vAlign w:val="bottom"/>
            <w:tcBorders>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8</w:t>
            </w:r>
          </w:p>
        </w:tc>
        <w:tc>
          <w:tcPr>
            <w:tcW w:w="520" w:type="dxa"/>
            <w:vAlign w:val="bottom"/>
            <w:tcBorders>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807</w:t>
            </w: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7580" w:type="dxa"/>
            <w:vAlign w:val="bottom"/>
            <w:tcBorders>
              <w:right w:val="single" w:sz="8" w:color="007CBA"/>
            </w:tcBorders>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58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Lease obligatons</w:t>
            </w:r>
          </w:p>
        </w:tc>
        <w:tc>
          <w:tcPr>
            <w:tcW w:w="540" w:type="dxa"/>
            <w:vAlign w:val="bottom"/>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(16 )</w:t>
            </w:r>
          </w:p>
        </w:tc>
      </w:tr>
      <w:tr>
        <w:trPr>
          <w:trHeight w:val="215"/>
        </w:trPr>
        <w:tc>
          <w:tcPr>
            <w:tcW w:w="758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Asset retrement obligatons</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(2 )</w:t>
            </w:r>
          </w:p>
        </w:tc>
      </w:tr>
      <w:tr>
        <w:trPr>
          <w:trHeight w:val="249"/>
        </w:trPr>
        <w:tc>
          <w:tcPr>
            <w:tcW w:w="758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 current liabilites held for sale</w:t>
            </w:r>
          </w:p>
        </w:tc>
        <w:tc>
          <w:tcPr>
            <w:tcW w:w="540" w:type="dxa"/>
            <w:vAlign w:val="bottom"/>
            <w:tcBorders>
              <w:bottom w:val="single" w:sz="8" w:color="auto"/>
            </w:tcBorders>
            <w:shd w:val="clear" w:color="auto" w:fill="E5F1F8"/>
          </w:tcPr>
          <w:p>
            <w:pPr>
              <w:jc w:val="right"/>
              <w:ind w:right="150"/>
              <w:spacing w:after="0" w:line="209"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bottom w:val="single" w:sz="8" w:color="auto"/>
            </w:tcBorders>
            <w:shd w:val="clear" w:color="auto" w:fill="E5F1F8"/>
          </w:tcPr>
          <w:p>
            <w:pPr>
              <w:jc w:val="right"/>
              <w:ind w:right="130"/>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274320</wp:posOffset>
            </wp:positionV>
            <wp:extent cx="325755" cy="1968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-903605</wp:posOffset>
            </wp:positionV>
            <wp:extent cx="34290" cy="3340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-903605</wp:posOffset>
            </wp:positionV>
            <wp:extent cx="33655" cy="3340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-320675</wp:posOffset>
            </wp:positionV>
            <wp:extent cx="34290" cy="3340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-320675</wp:posOffset>
            </wp:positionV>
            <wp:extent cx="33655" cy="3340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3" w:name="page84"/>
    <w:bookmarkEnd w:id="8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C: Goodwill and Other Intangible Assets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shows the changes in goodwill by reportable segment and in total:</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4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260" w:type="dxa"/>
            <w:vAlign w:val="bottom"/>
            <w:tcBorders>
              <w:right w:val="single" w:sz="8" w:color="007CBA"/>
            </w:tcBorders>
            <w:shd w:val="clear" w:color="auto" w:fill="007CBA"/>
          </w:tcPr>
          <w:p>
            <w:pPr>
              <w:jc w:val="right"/>
              <w:ind w:right="630"/>
              <w:spacing w:after="0"/>
              <w:rPr>
                <w:sz w:val="20"/>
                <w:szCs w:val="20"/>
                <w:color w:val="auto"/>
              </w:rPr>
            </w:pPr>
            <w:r>
              <w:rPr>
                <w:rFonts w:ascii="Calibri" w:cs="Calibri" w:eastAsia="Calibri" w:hAnsi="Calibri"/>
                <w:sz w:val="18"/>
                <w:szCs w:val="18"/>
                <w:b w:val="1"/>
                <w:bCs w:val="1"/>
                <w:color w:val="FFFFFF"/>
              </w:rPr>
              <w:t>East</w:t>
            </w:r>
          </w:p>
        </w:tc>
        <w:tc>
          <w:tcPr>
            <w:tcW w:w="30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jc w:val="right"/>
              <w:ind w:right="590"/>
              <w:spacing w:after="0"/>
              <w:rPr>
                <w:sz w:val="20"/>
                <w:szCs w:val="20"/>
                <w:color w:val="auto"/>
              </w:rPr>
            </w:pPr>
            <w:r>
              <w:rPr>
                <w:rFonts w:ascii="Calibri" w:cs="Calibri" w:eastAsia="Calibri" w:hAnsi="Calibri"/>
                <w:sz w:val="18"/>
                <w:szCs w:val="18"/>
                <w:b w:val="1"/>
                <w:bCs w:val="1"/>
                <w:color w:val="FFFFFF"/>
              </w:rPr>
              <w:t>West</w:t>
            </w:r>
          </w:p>
        </w:tc>
        <w:tc>
          <w:tcPr>
            <w:tcW w:w="400" w:type="dxa"/>
            <w:vAlign w:val="bottom"/>
            <w:shd w:val="clear" w:color="auto" w:fill="007CBA"/>
          </w:tcPr>
          <w:p>
            <w:pPr>
              <w:spacing w:after="0"/>
              <w:rPr>
                <w:sz w:val="19"/>
                <w:szCs w:val="19"/>
                <w:color w:val="auto"/>
              </w:rPr>
            </w:pPr>
          </w:p>
        </w:tc>
        <w:tc>
          <w:tcPr>
            <w:tcW w:w="1240" w:type="dxa"/>
            <w:vAlign w:val="bottom"/>
            <w:shd w:val="clear" w:color="auto" w:fill="007CBA"/>
          </w:tcPr>
          <w:p>
            <w:pPr>
              <w:spacing w:after="0"/>
              <w:rPr>
                <w:sz w:val="19"/>
                <w:szCs w:val="19"/>
                <w:color w:val="auto"/>
              </w:rPr>
            </w:pPr>
          </w:p>
        </w:tc>
      </w:tr>
      <w:tr>
        <w:trPr>
          <w:trHeight w:val="228"/>
        </w:trPr>
        <w:tc>
          <w:tcPr>
            <w:tcW w:w="62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20" w:type="dxa"/>
            <w:vAlign w:val="bottom"/>
            <w:shd w:val="clear" w:color="auto" w:fill="007CBA"/>
          </w:tcPr>
          <w:p>
            <w:pPr>
              <w:spacing w:after="0"/>
              <w:rPr>
                <w:sz w:val="19"/>
                <w:szCs w:val="19"/>
                <w:color w:val="auto"/>
              </w:rPr>
            </w:pPr>
          </w:p>
        </w:tc>
        <w:tc>
          <w:tcPr>
            <w:tcW w:w="1260" w:type="dxa"/>
            <w:vAlign w:val="bottom"/>
            <w:tcBorders>
              <w:right w:val="single" w:sz="8" w:color="007CBA"/>
            </w:tcBorders>
            <w:shd w:val="clear" w:color="auto" w:fill="007CBA"/>
          </w:tcPr>
          <w:p>
            <w:pPr>
              <w:jc w:val="right"/>
              <w:ind w:right="530"/>
              <w:spacing w:after="0" w:line="215" w:lineRule="exact"/>
              <w:rPr>
                <w:sz w:val="20"/>
                <w:szCs w:val="20"/>
                <w:color w:val="auto"/>
              </w:rPr>
            </w:pPr>
            <w:r>
              <w:rPr>
                <w:rFonts w:ascii="Calibri" w:cs="Calibri" w:eastAsia="Calibri" w:hAnsi="Calibri"/>
                <w:sz w:val="18"/>
                <w:szCs w:val="18"/>
                <w:b w:val="1"/>
                <w:bCs w:val="1"/>
                <w:color w:val="FFFFFF"/>
              </w:rPr>
              <w:t>Group</w:t>
            </w:r>
          </w:p>
        </w:tc>
        <w:tc>
          <w:tcPr>
            <w:tcW w:w="30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jc w:val="center"/>
              <w:ind w:right="230"/>
              <w:spacing w:after="0" w:line="215" w:lineRule="exact"/>
              <w:rPr>
                <w:sz w:val="20"/>
                <w:szCs w:val="20"/>
                <w:color w:val="auto"/>
              </w:rPr>
            </w:pPr>
            <w:r>
              <w:rPr>
                <w:rFonts w:ascii="Calibri" w:cs="Calibri" w:eastAsia="Calibri" w:hAnsi="Calibri"/>
                <w:sz w:val="18"/>
                <w:szCs w:val="18"/>
                <w:b w:val="1"/>
                <w:bCs w:val="1"/>
                <w:color w:val="FFFFFF"/>
                <w:w w:val="98"/>
              </w:rPr>
              <w:t>Group</w:t>
            </w:r>
          </w:p>
        </w:tc>
        <w:tc>
          <w:tcPr>
            <w:tcW w:w="400" w:type="dxa"/>
            <w:vAlign w:val="bottom"/>
            <w:shd w:val="clear" w:color="auto" w:fill="007CBA"/>
          </w:tcPr>
          <w:p>
            <w:pPr>
              <w:spacing w:after="0"/>
              <w:rPr>
                <w:sz w:val="19"/>
                <w:szCs w:val="19"/>
                <w:color w:val="auto"/>
              </w:rPr>
            </w:pPr>
          </w:p>
        </w:tc>
        <w:tc>
          <w:tcPr>
            <w:tcW w:w="1240" w:type="dxa"/>
            <w:vAlign w:val="bottom"/>
            <w:shd w:val="clear" w:color="auto" w:fill="007CBA"/>
          </w:tcPr>
          <w:p>
            <w:pPr>
              <w:jc w:val="center"/>
              <w:ind w:right="290"/>
              <w:spacing w:after="0" w:line="215" w:lineRule="exact"/>
              <w:rPr>
                <w:sz w:val="20"/>
                <w:szCs w:val="20"/>
                <w:color w:val="auto"/>
              </w:rPr>
            </w:pPr>
            <w:r>
              <w:rPr>
                <w:rFonts w:ascii="Calibri" w:cs="Calibri" w:eastAsia="Calibri" w:hAnsi="Calibri"/>
                <w:sz w:val="18"/>
                <w:szCs w:val="18"/>
                <w:b w:val="1"/>
                <w:bCs w:val="1"/>
                <w:color w:val="FFFFFF"/>
                <w:w w:val="99"/>
              </w:rPr>
              <w:t>Total</w:t>
            </w:r>
          </w:p>
        </w:tc>
      </w:tr>
      <w:tr>
        <w:trPr>
          <w:trHeight w:val="219"/>
        </w:trPr>
        <w:tc>
          <w:tcPr>
            <w:tcW w:w="624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w:t>
            </w:r>
          </w:p>
        </w:tc>
        <w:tc>
          <w:tcPr>
            <w:tcW w:w="420" w:type="dxa"/>
            <w:vAlign w:val="bottom"/>
            <w:tcBorders>
              <w:bottom w:val="single" w:sz="8" w:color="007CBA"/>
            </w:tcBorders>
            <w:shd w:val="clear" w:color="auto" w:fill="007CBA"/>
          </w:tcPr>
          <w:p>
            <w:pPr>
              <w:spacing w:after="0"/>
              <w:rPr>
                <w:sz w:val="19"/>
                <w:szCs w:val="19"/>
                <w:color w:val="auto"/>
              </w:rPr>
            </w:pPr>
          </w:p>
        </w:tc>
        <w:tc>
          <w:tcPr>
            <w:tcW w:w="1260" w:type="dxa"/>
            <w:vAlign w:val="bottom"/>
            <w:tcBorders>
              <w:bottom w:val="single" w:sz="8" w:color="007CBA"/>
              <w:right w:val="single" w:sz="8" w:color="007CBA"/>
            </w:tcBorders>
            <w:shd w:val="clear" w:color="auto" w:fill="007CBA"/>
          </w:tcPr>
          <w:p>
            <w:pPr>
              <w:spacing w:after="0"/>
              <w:rPr>
                <w:sz w:val="19"/>
                <w:szCs w:val="19"/>
                <w:color w:val="auto"/>
              </w:rPr>
            </w:pPr>
          </w:p>
        </w:tc>
        <w:tc>
          <w:tcPr>
            <w:tcW w:w="300" w:type="dxa"/>
            <w:vAlign w:val="bottom"/>
            <w:tcBorders>
              <w:bottom w:val="single" w:sz="8" w:color="007CBA"/>
            </w:tcBorders>
            <w:shd w:val="clear" w:color="auto" w:fill="007CBA"/>
          </w:tcPr>
          <w:p>
            <w:pPr>
              <w:spacing w:after="0"/>
              <w:rPr>
                <w:sz w:val="19"/>
                <w:szCs w:val="19"/>
                <w:color w:val="auto"/>
              </w:rPr>
            </w:pPr>
          </w:p>
        </w:tc>
        <w:tc>
          <w:tcPr>
            <w:tcW w:w="1380" w:type="dxa"/>
            <w:vAlign w:val="bottom"/>
            <w:tcBorders>
              <w:bottom w:val="single" w:sz="8" w:color="007CBA"/>
              <w:right w:val="single" w:sz="8" w:color="007CBA"/>
            </w:tcBorders>
            <w:shd w:val="clear" w:color="auto" w:fill="007CBA"/>
          </w:tcPr>
          <w:p>
            <w:pPr>
              <w:jc w:val="center"/>
              <w:ind w:right="250"/>
              <w:spacing w:after="0" w:line="216" w:lineRule="exact"/>
              <w:rPr>
                <w:sz w:val="20"/>
                <w:szCs w:val="20"/>
                <w:color w:val="auto"/>
              </w:rPr>
            </w:pPr>
            <w:r>
              <w:rPr>
                <w:rFonts w:ascii="Calibri" w:cs="Calibri" w:eastAsia="Calibri" w:hAnsi="Calibri"/>
                <w:sz w:val="18"/>
                <w:szCs w:val="18"/>
                <w:b w:val="1"/>
                <w:bCs w:val="1"/>
                <w:color w:val="FFFFFF"/>
                <w:w w:val="98"/>
              </w:rPr>
              <w:t>2024</w:t>
            </w:r>
          </w:p>
        </w:tc>
        <w:tc>
          <w:tcPr>
            <w:tcW w:w="400" w:type="dxa"/>
            <w:vAlign w:val="bottom"/>
            <w:tcBorders>
              <w:bottom w:val="single" w:sz="8" w:color="007CBA"/>
            </w:tcBorders>
            <w:shd w:val="clear" w:color="auto" w:fill="007CBA"/>
          </w:tcPr>
          <w:p>
            <w:pPr>
              <w:spacing w:after="0"/>
              <w:rPr>
                <w:sz w:val="19"/>
                <w:szCs w:val="19"/>
                <w:color w:val="auto"/>
              </w:rPr>
            </w:pPr>
          </w:p>
        </w:tc>
        <w:tc>
          <w:tcPr>
            <w:tcW w:w="1240" w:type="dxa"/>
            <w:vAlign w:val="bottom"/>
            <w:tcBorders>
              <w:bottom w:val="single" w:sz="8" w:color="007CBA"/>
            </w:tcBorders>
            <w:shd w:val="clear" w:color="auto" w:fill="007CBA"/>
          </w:tcPr>
          <w:p>
            <w:pPr>
              <w:spacing w:after="0"/>
              <w:rPr>
                <w:sz w:val="19"/>
                <w:szCs w:val="19"/>
                <w:color w:val="auto"/>
              </w:rPr>
            </w:pPr>
          </w:p>
        </w:tc>
      </w:tr>
      <w:tr>
        <w:trPr>
          <w:trHeight w:val="216"/>
        </w:trPr>
        <w:tc>
          <w:tcPr>
            <w:tcW w:w="6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Balance at beginning of period</w:t>
            </w:r>
          </w:p>
        </w:tc>
        <w:tc>
          <w:tcPr>
            <w:tcW w:w="42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260" w:type="dxa"/>
            <w:vAlign w:val="bottom"/>
            <w:tcBorders>
              <w:right w:val="single" w:sz="8" w:color="007CBA"/>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764</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right w:val="single" w:sz="8" w:color="007CBA"/>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2,625</w:t>
            </w:r>
          </w:p>
        </w:tc>
        <w:tc>
          <w:tcPr>
            <w:tcW w:w="40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3,389</w:t>
            </w:r>
          </w:p>
        </w:tc>
      </w:tr>
      <w:tr>
        <w:trPr>
          <w:trHeight w:val="215"/>
        </w:trPr>
        <w:tc>
          <w:tcPr>
            <w:tcW w:w="624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Acquisitons</w:t>
            </w:r>
          </w:p>
        </w:tc>
        <w:tc>
          <w:tcPr>
            <w:tcW w:w="420" w:type="dxa"/>
            <w:vAlign w:val="bottom"/>
            <w:tcBorders>
              <w:bottom w:val="single" w:sz="8" w:color="auto"/>
            </w:tcBorders>
            <w:shd w:val="clear" w:color="auto" w:fill="E5F1F8"/>
          </w:tcPr>
          <w:p>
            <w:pPr>
              <w:spacing w:after="0"/>
              <w:rPr>
                <w:sz w:val="18"/>
                <w:szCs w:val="18"/>
                <w:color w:val="auto"/>
              </w:rPr>
            </w:pPr>
          </w:p>
        </w:tc>
        <w:tc>
          <w:tcPr>
            <w:tcW w:w="1260" w:type="dxa"/>
            <w:vAlign w:val="bottom"/>
            <w:tcBorders>
              <w:bottom w:val="single" w:sz="8" w:color="auto"/>
              <w:right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267</w:t>
            </w:r>
          </w:p>
        </w:tc>
        <w:tc>
          <w:tcPr>
            <w:tcW w:w="30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right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111</w:t>
            </w:r>
          </w:p>
        </w:tc>
        <w:tc>
          <w:tcPr>
            <w:tcW w:w="400" w:type="dxa"/>
            <w:vAlign w:val="bottom"/>
            <w:tcBorders>
              <w:bottom w:val="single" w:sz="8" w:color="auto"/>
            </w:tcBorders>
            <w:shd w:val="clear" w:color="auto" w:fill="E5F1F8"/>
          </w:tcPr>
          <w:p>
            <w:pPr>
              <w:spacing w:after="0"/>
              <w:rPr>
                <w:sz w:val="18"/>
                <w:szCs w:val="18"/>
                <w:color w:val="auto"/>
              </w:rPr>
            </w:pPr>
          </w:p>
        </w:tc>
        <w:tc>
          <w:tcPr>
            <w:tcW w:w="124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378</w:t>
            </w:r>
          </w:p>
        </w:tc>
      </w:tr>
      <w:tr>
        <w:trPr>
          <w:trHeight w:val="210"/>
        </w:trPr>
        <w:tc>
          <w:tcPr>
            <w:tcW w:w="624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Balance at end of period</w:t>
            </w:r>
          </w:p>
        </w:tc>
        <w:tc>
          <w:tcPr>
            <w:tcW w:w="42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auto"/>
            </w:tcBorders>
          </w:tcPr>
          <w:p>
            <w:pPr>
              <w:jc w:val="right"/>
              <w:ind w:right="70"/>
              <w:spacing w:after="0" w:line="209" w:lineRule="exact"/>
              <w:rPr>
                <w:sz w:val="20"/>
                <w:szCs w:val="20"/>
                <w:color w:val="auto"/>
              </w:rPr>
            </w:pPr>
            <w:r>
              <w:rPr>
                <w:rFonts w:ascii="Calibri" w:cs="Calibri" w:eastAsia="Calibri" w:hAnsi="Calibri"/>
                <w:sz w:val="18"/>
                <w:szCs w:val="18"/>
                <w:b w:val="1"/>
                <w:bCs w:val="1"/>
                <w:color w:val="auto"/>
              </w:rPr>
              <w:t>1,031</w:t>
            </w:r>
          </w:p>
        </w:tc>
        <w:tc>
          <w:tcPr>
            <w:tcW w:w="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bottom w:val="single" w:sz="8" w:color="auto"/>
            </w:tcBorders>
          </w:tcPr>
          <w:p>
            <w:pPr>
              <w:jc w:val="right"/>
              <w:ind w:right="70"/>
              <w:spacing w:after="0" w:line="209" w:lineRule="exact"/>
              <w:rPr>
                <w:sz w:val="20"/>
                <w:szCs w:val="20"/>
                <w:color w:val="auto"/>
              </w:rPr>
            </w:pPr>
            <w:r>
              <w:rPr>
                <w:rFonts w:ascii="Calibri" w:cs="Calibri" w:eastAsia="Calibri" w:hAnsi="Calibri"/>
                <w:sz w:val="18"/>
                <w:szCs w:val="18"/>
                <w:b w:val="1"/>
                <w:bCs w:val="1"/>
                <w:color w:val="auto"/>
              </w:rPr>
              <w:t>2,736</w:t>
            </w:r>
          </w:p>
        </w:tc>
        <w:tc>
          <w:tcPr>
            <w:tcW w:w="400" w:type="dxa"/>
            <w:vAlign w:val="bottom"/>
            <w:tcBorders>
              <w:bottom w:val="single" w:sz="8" w:color="auto"/>
            </w:tcBorders>
          </w:tcPr>
          <w:p>
            <w:pPr>
              <w:jc w:val="right"/>
              <w:ind w:right="70"/>
              <w:spacing w:after="0" w:line="209"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3,767</w:t>
            </w: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6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624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380" w:type="dxa"/>
            <w:vAlign w:val="bottom"/>
            <w:tcBorders>
              <w:right w:val="single" w:sz="8" w:color="007CBA"/>
            </w:tcBorders>
            <w:shd w:val="clear" w:color="auto" w:fill="007CBA"/>
          </w:tcPr>
          <w:p>
            <w:pPr>
              <w:jc w:val="center"/>
              <w:ind w:right="250"/>
              <w:spacing w:after="0" w:line="215" w:lineRule="exact"/>
              <w:rPr>
                <w:sz w:val="20"/>
                <w:szCs w:val="20"/>
                <w:color w:val="auto"/>
              </w:rPr>
            </w:pPr>
            <w:r>
              <w:rPr>
                <w:rFonts w:ascii="Calibri" w:cs="Calibri" w:eastAsia="Calibri" w:hAnsi="Calibri"/>
                <w:sz w:val="18"/>
                <w:szCs w:val="18"/>
                <w:color w:val="FFFFFF"/>
                <w:w w:val="98"/>
              </w:rPr>
              <w:t>2023</w:t>
            </w:r>
          </w:p>
        </w:tc>
        <w:tc>
          <w:tcPr>
            <w:tcW w:w="400" w:type="dxa"/>
            <w:vAlign w:val="bottom"/>
            <w:shd w:val="clear" w:color="auto" w:fill="007CBA"/>
          </w:tcPr>
          <w:p>
            <w:pPr>
              <w:spacing w:after="0"/>
              <w:rPr>
                <w:sz w:val="18"/>
                <w:szCs w:val="18"/>
                <w:color w:val="auto"/>
              </w:rPr>
            </w:pPr>
          </w:p>
        </w:tc>
        <w:tc>
          <w:tcPr>
            <w:tcW w:w="1240" w:type="dxa"/>
            <w:vAlign w:val="bottom"/>
            <w:shd w:val="clear" w:color="auto" w:fill="007CBA"/>
          </w:tcPr>
          <w:p>
            <w:pPr>
              <w:spacing w:after="0"/>
              <w:rPr>
                <w:sz w:val="18"/>
                <w:szCs w:val="18"/>
                <w:color w:val="auto"/>
              </w:rPr>
            </w:pPr>
          </w:p>
        </w:tc>
      </w:tr>
      <w:tr>
        <w:trPr>
          <w:trHeight w:val="216"/>
        </w:trPr>
        <w:tc>
          <w:tcPr>
            <w:tcW w:w="624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Balance at beginning of period</w:t>
            </w:r>
          </w:p>
        </w:tc>
        <w:tc>
          <w:tcPr>
            <w:tcW w:w="420" w:type="dxa"/>
            <w:vAlign w:val="bottom"/>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right w:val="single" w:sz="8" w:color="007CBA"/>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color w:val="auto"/>
              </w:rPr>
              <w:t>764</w:t>
            </w:r>
          </w:p>
        </w:tc>
        <w:tc>
          <w:tcPr>
            <w:tcW w:w="300" w:type="dxa"/>
            <w:vAlign w:val="bottom"/>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right w:val="single" w:sz="8" w:color="007CBA"/>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color w:val="auto"/>
              </w:rPr>
              <w:t>2,885</w:t>
            </w:r>
          </w:p>
        </w:tc>
        <w:tc>
          <w:tcPr>
            <w:tcW w:w="400" w:type="dxa"/>
            <w:vAlign w:val="bottom"/>
            <w:shd w:val="clear" w:color="auto" w:fill="E5F1F8"/>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3,649</w:t>
            </w:r>
          </w:p>
        </w:tc>
      </w:tr>
      <w:tr>
        <w:trPr>
          <w:trHeight w:val="215"/>
        </w:trPr>
        <w:tc>
          <w:tcPr>
            <w:tcW w:w="624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Goodwill allocated to assets held for sale</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(260 )</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(260 )</w:t>
            </w:r>
          </w:p>
        </w:tc>
      </w:tr>
      <w:tr>
        <w:trPr>
          <w:trHeight w:val="250"/>
        </w:trPr>
        <w:tc>
          <w:tcPr>
            <w:tcW w:w="624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Balance at end of period</w:t>
            </w:r>
          </w:p>
        </w:tc>
        <w:tc>
          <w:tcPr>
            <w:tcW w:w="42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right w:val="single" w:sz="8" w:color="E5F1F8"/>
            </w:tcBorders>
            <w:shd w:val="clear" w:color="auto" w:fill="E5F1F8"/>
          </w:tcPr>
          <w:p>
            <w:pPr>
              <w:jc w:val="right"/>
              <w:ind w:right="70"/>
              <w:spacing w:after="0" w:line="209" w:lineRule="exact"/>
              <w:rPr>
                <w:sz w:val="20"/>
                <w:szCs w:val="20"/>
                <w:color w:val="auto"/>
              </w:rPr>
            </w:pPr>
            <w:r>
              <w:rPr>
                <w:rFonts w:ascii="Calibri" w:cs="Calibri" w:eastAsia="Calibri" w:hAnsi="Calibri"/>
                <w:sz w:val="18"/>
                <w:szCs w:val="18"/>
                <w:color w:val="auto"/>
              </w:rPr>
              <w:t>764</w:t>
            </w:r>
          </w:p>
        </w:tc>
        <w:tc>
          <w:tcPr>
            <w:tcW w:w="30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right w:val="single" w:sz="8" w:color="E5F1F8"/>
            </w:tcBorders>
            <w:shd w:val="clear" w:color="auto" w:fill="E5F1F8"/>
          </w:tcPr>
          <w:p>
            <w:pPr>
              <w:jc w:val="right"/>
              <w:ind w:right="70"/>
              <w:spacing w:after="0" w:line="209" w:lineRule="exact"/>
              <w:rPr>
                <w:sz w:val="20"/>
                <w:szCs w:val="20"/>
                <w:color w:val="auto"/>
              </w:rPr>
            </w:pPr>
            <w:r>
              <w:rPr>
                <w:rFonts w:ascii="Calibri" w:cs="Calibri" w:eastAsia="Calibri" w:hAnsi="Calibri"/>
                <w:sz w:val="18"/>
                <w:szCs w:val="18"/>
                <w:color w:val="auto"/>
              </w:rPr>
              <w:t>2,625</w:t>
            </w:r>
          </w:p>
        </w:tc>
        <w:tc>
          <w:tcPr>
            <w:tcW w:w="400" w:type="dxa"/>
            <w:vAlign w:val="bottom"/>
            <w:tcBorders>
              <w:bottom w:val="single" w:sz="8" w:color="auto"/>
            </w:tcBorders>
            <w:shd w:val="clear" w:color="auto" w:fill="E5F1F8"/>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3,389</w:t>
            </w:r>
          </w:p>
        </w:tc>
      </w:tr>
      <w:tr>
        <w:trPr>
          <w:trHeight w:val="349"/>
        </w:trPr>
        <w:tc>
          <w:tcPr>
            <w:tcW w:w="6240" w:type="dxa"/>
            <w:vAlign w:val="bottom"/>
          </w:tcPr>
          <w:p>
            <w:pPr>
              <w:spacing w:after="0"/>
              <w:rPr>
                <w:sz w:val="20"/>
                <w:szCs w:val="20"/>
                <w:color w:val="auto"/>
              </w:rPr>
            </w:pPr>
            <w:r>
              <w:rPr>
                <w:rFonts w:ascii="Calibri" w:cs="Calibri" w:eastAsia="Calibri" w:hAnsi="Calibri"/>
                <w:sz w:val="18"/>
                <w:szCs w:val="18"/>
                <w:color w:val="auto"/>
              </w:rPr>
              <w:t>Intangible assets subject to amortzaton consist of the following:</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31"/>
        </w:trPr>
        <w:tc>
          <w:tcPr>
            <w:tcW w:w="6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94"/>
        </w:trPr>
        <w:tc>
          <w:tcPr>
            <w:tcW w:w="6240" w:type="dxa"/>
            <w:vAlign w:val="bottom"/>
            <w:tcBorders>
              <w:right w:val="single" w:sz="8" w:color="007CBA"/>
            </w:tcBorders>
            <w:shd w:val="clear" w:color="auto" w:fill="007CBA"/>
          </w:tcPr>
          <w:p>
            <w:pPr>
              <w:spacing w:after="0"/>
              <w:rPr>
                <w:sz w:val="16"/>
                <w:szCs w:val="16"/>
                <w:color w:val="auto"/>
              </w:rPr>
            </w:pPr>
          </w:p>
        </w:tc>
        <w:tc>
          <w:tcPr>
            <w:tcW w:w="420" w:type="dxa"/>
            <w:vAlign w:val="bottom"/>
            <w:shd w:val="clear" w:color="auto" w:fill="007CBA"/>
          </w:tcPr>
          <w:p>
            <w:pPr>
              <w:spacing w:after="0"/>
              <w:rPr>
                <w:sz w:val="16"/>
                <w:szCs w:val="16"/>
                <w:color w:val="auto"/>
              </w:rPr>
            </w:pPr>
          </w:p>
        </w:tc>
        <w:tc>
          <w:tcPr>
            <w:tcW w:w="1260" w:type="dxa"/>
            <w:vAlign w:val="bottom"/>
            <w:tcBorders>
              <w:right w:val="single" w:sz="8" w:color="007CBA"/>
            </w:tcBorders>
            <w:shd w:val="clear" w:color="auto" w:fill="007CBA"/>
          </w:tcPr>
          <w:p>
            <w:pPr>
              <w:jc w:val="right"/>
              <w:ind w:right="550"/>
              <w:spacing w:after="0" w:line="194" w:lineRule="exact"/>
              <w:rPr>
                <w:sz w:val="20"/>
                <w:szCs w:val="20"/>
                <w:color w:val="auto"/>
              </w:rPr>
            </w:pPr>
            <w:r>
              <w:rPr>
                <w:rFonts w:ascii="Calibri" w:cs="Calibri" w:eastAsia="Calibri" w:hAnsi="Calibri"/>
                <w:sz w:val="18"/>
                <w:szCs w:val="18"/>
                <w:b w:val="1"/>
                <w:bCs w:val="1"/>
                <w:color w:val="FFFFFF"/>
              </w:rPr>
              <w:t>Gross</w:t>
            </w:r>
          </w:p>
        </w:tc>
        <w:tc>
          <w:tcPr>
            <w:tcW w:w="300" w:type="dxa"/>
            <w:vAlign w:val="bottom"/>
            <w:shd w:val="clear" w:color="auto" w:fill="007CBA"/>
          </w:tcPr>
          <w:p>
            <w:pPr>
              <w:spacing w:after="0"/>
              <w:rPr>
                <w:sz w:val="16"/>
                <w:szCs w:val="16"/>
                <w:color w:val="auto"/>
              </w:rPr>
            </w:pPr>
          </w:p>
        </w:tc>
        <w:tc>
          <w:tcPr>
            <w:tcW w:w="1380" w:type="dxa"/>
            <w:vAlign w:val="bottom"/>
            <w:tcBorders>
              <w:right w:val="single" w:sz="8" w:color="007CBA"/>
            </w:tcBorders>
            <w:shd w:val="clear" w:color="auto" w:fill="007CBA"/>
          </w:tcPr>
          <w:p>
            <w:pPr>
              <w:jc w:val="center"/>
              <w:ind w:right="210"/>
              <w:spacing w:after="0" w:line="194" w:lineRule="exact"/>
              <w:rPr>
                <w:sz w:val="20"/>
                <w:szCs w:val="20"/>
                <w:color w:val="auto"/>
              </w:rPr>
            </w:pPr>
            <w:r>
              <w:rPr>
                <w:rFonts w:ascii="Calibri" w:cs="Calibri" w:eastAsia="Calibri" w:hAnsi="Calibri"/>
                <w:sz w:val="18"/>
                <w:szCs w:val="18"/>
                <w:b w:val="1"/>
                <w:bCs w:val="1"/>
                <w:color w:val="FFFFFF"/>
                <w:w w:val="97"/>
              </w:rPr>
              <w:t>Accumulated</w:t>
            </w:r>
          </w:p>
        </w:tc>
        <w:tc>
          <w:tcPr>
            <w:tcW w:w="400" w:type="dxa"/>
            <w:vAlign w:val="bottom"/>
            <w:shd w:val="clear" w:color="auto" w:fill="007CBA"/>
          </w:tcPr>
          <w:p>
            <w:pPr>
              <w:spacing w:after="0"/>
              <w:rPr>
                <w:sz w:val="16"/>
                <w:szCs w:val="16"/>
                <w:color w:val="auto"/>
              </w:rPr>
            </w:pPr>
          </w:p>
        </w:tc>
        <w:tc>
          <w:tcPr>
            <w:tcW w:w="1240" w:type="dxa"/>
            <w:vAlign w:val="bottom"/>
            <w:shd w:val="clear" w:color="auto" w:fill="007CBA"/>
          </w:tcPr>
          <w:p>
            <w:pPr>
              <w:jc w:val="center"/>
              <w:ind w:right="330"/>
              <w:spacing w:after="0" w:line="194" w:lineRule="exact"/>
              <w:rPr>
                <w:sz w:val="20"/>
                <w:szCs w:val="20"/>
                <w:color w:val="auto"/>
              </w:rPr>
            </w:pPr>
            <w:r>
              <w:rPr>
                <w:rFonts w:ascii="Calibri" w:cs="Calibri" w:eastAsia="Calibri" w:hAnsi="Calibri"/>
                <w:sz w:val="18"/>
                <w:szCs w:val="18"/>
                <w:b w:val="1"/>
                <w:bCs w:val="1"/>
                <w:color w:val="FFFFFF"/>
                <w:w w:val="95"/>
              </w:rPr>
              <w:t>Net</w:t>
            </w:r>
          </w:p>
        </w:tc>
      </w:tr>
      <w:tr>
        <w:trPr>
          <w:trHeight w:val="228"/>
        </w:trPr>
        <w:tc>
          <w:tcPr>
            <w:tcW w:w="62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20" w:type="dxa"/>
            <w:vAlign w:val="bottom"/>
            <w:shd w:val="clear" w:color="auto" w:fill="007CBA"/>
          </w:tcPr>
          <w:p>
            <w:pPr>
              <w:spacing w:after="0"/>
              <w:rPr>
                <w:sz w:val="19"/>
                <w:szCs w:val="19"/>
                <w:color w:val="auto"/>
              </w:rPr>
            </w:pPr>
          </w:p>
        </w:tc>
        <w:tc>
          <w:tcPr>
            <w:tcW w:w="1260" w:type="dxa"/>
            <w:vAlign w:val="bottom"/>
            <w:tcBorders>
              <w:right w:val="single" w:sz="8" w:color="007CBA"/>
            </w:tcBorders>
            <w:shd w:val="clear" w:color="auto" w:fill="007CBA"/>
          </w:tcPr>
          <w:p>
            <w:pPr>
              <w:jc w:val="right"/>
              <w:ind w:right="430"/>
              <w:spacing w:after="0" w:line="215" w:lineRule="exact"/>
              <w:rPr>
                <w:sz w:val="20"/>
                <w:szCs w:val="20"/>
                <w:color w:val="auto"/>
              </w:rPr>
            </w:pPr>
            <w:r>
              <w:rPr>
                <w:rFonts w:ascii="Calibri" w:cs="Calibri" w:eastAsia="Calibri" w:hAnsi="Calibri"/>
                <w:sz w:val="18"/>
                <w:szCs w:val="18"/>
                <w:b w:val="1"/>
                <w:bCs w:val="1"/>
                <w:color w:val="FFFFFF"/>
              </w:rPr>
              <w:t>Amount</w:t>
            </w:r>
          </w:p>
        </w:tc>
        <w:tc>
          <w:tcPr>
            <w:tcW w:w="30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jc w:val="center"/>
              <w:ind w:right="170"/>
              <w:spacing w:after="0" w:line="215" w:lineRule="exact"/>
              <w:rPr>
                <w:sz w:val="20"/>
                <w:szCs w:val="20"/>
                <w:color w:val="auto"/>
              </w:rPr>
            </w:pPr>
            <w:r>
              <w:rPr>
                <w:rFonts w:ascii="Calibri" w:cs="Calibri" w:eastAsia="Calibri" w:hAnsi="Calibri"/>
                <w:sz w:val="18"/>
                <w:szCs w:val="18"/>
                <w:b w:val="1"/>
                <w:bCs w:val="1"/>
                <w:color w:val="FFFFFF"/>
              </w:rPr>
              <w:t>Amortzaton</w:t>
            </w:r>
          </w:p>
        </w:tc>
        <w:tc>
          <w:tcPr>
            <w:tcW w:w="400" w:type="dxa"/>
            <w:vAlign w:val="bottom"/>
            <w:shd w:val="clear" w:color="auto" w:fill="007CBA"/>
          </w:tcPr>
          <w:p>
            <w:pPr>
              <w:spacing w:after="0"/>
              <w:rPr>
                <w:sz w:val="19"/>
                <w:szCs w:val="19"/>
                <w:color w:val="auto"/>
              </w:rPr>
            </w:pPr>
          </w:p>
        </w:tc>
        <w:tc>
          <w:tcPr>
            <w:tcW w:w="1240" w:type="dxa"/>
            <w:vAlign w:val="bottom"/>
            <w:shd w:val="clear" w:color="auto" w:fill="007CBA"/>
          </w:tcPr>
          <w:p>
            <w:pPr>
              <w:jc w:val="center"/>
              <w:ind w:right="290"/>
              <w:spacing w:after="0" w:line="215" w:lineRule="exact"/>
              <w:rPr>
                <w:sz w:val="20"/>
                <w:szCs w:val="20"/>
                <w:color w:val="auto"/>
              </w:rPr>
            </w:pPr>
            <w:r>
              <w:rPr>
                <w:rFonts w:ascii="Calibri" w:cs="Calibri" w:eastAsia="Calibri" w:hAnsi="Calibri"/>
                <w:sz w:val="18"/>
                <w:szCs w:val="18"/>
                <w:b w:val="1"/>
                <w:bCs w:val="1"/>
                <w:color w:val="FFFFFF"/>
                <w:w w:val="98"/>
              </w:rPr>
              <w:t>Balance</w:t>
            </w:r>
          </w:p>
        </w:tc>
      </w:tr>
      <w:tr>
        <w:trPr>
          <w:trHeight w:val="219"/>
        </w:trPr>
        <w:tc>
          <w:tcPr>
            <w:tcW w:w="624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w:t>
            </w:r>
          </w:p>
        </w:tc>
        <w:tc>
          <w:tcPr>
            <w:tcW w:w="420" w:type="dxa"/>
            <w:vAlign w:val="bottom"/>
            <w:tcBorders>
              <w:bottom w:val="single" w:sz="8" w:color="007CBA"/>
            </w:tcBorders>
            <w:shd w:val="clear" w:color="auto" w:fill="007CBA"/>
          </w:tcPr>
          <w:p>
            <w:pPr>
              <w:spacing w:after="0"/>
              <w:rPr>
                <w:sz w:val="19"/>
                <w:szCs w:val="19"/>
                <w:color w:val="auto"/>
              </w:rPr>
            </w:pPr>
          </w:p>
        </w:tc>
        <w:tc>
          <w:tcPr>
            <w:tcW w:w="1260" w:type="dxa"/>
            <w:vAlign w:val="bottom"/>
            <w:tcBorders>
              <w:bottom w:val="single" w:sz="8" w:color="007CBA"/>
              <w:right w:val="single" w:sz="8" w:color="007CBA"/>
            </w:tcBorders>
            <w:shd w:val="clear" w:color="auto" w:fill="007CBA"/>
          </w:tcPr>
          <w:p>
            <w:pPr>
              <w:spacing w:after="0"/>
              <w:rPr>
                <w:sz w:val="19"/>
                <w:szCs w:val="19"/>
                <w:color w:val="auto"/>
              </w:rPr>
            </w:pPr>
          </w:p>
        </w:tc>
        <w:tc>
          <w:tcPr>
            <w:tcW w:w="300" w:type="dxa"/>
            <w:vAlign w:val="bottom"/>
            <w:tcBorders>
              <w:bottom w:val="single" w:sz="8" w:color="007CBA"/>
            </w:tcBorders>
            <w:shd w:val="clear" w:color="auto" w:fill="007CBA"/>
          </w:tcPr>
          <w:p>
            <w:pPr>
              <w:spacing w:after="0"/>
              <w:rPr>
                <w:sz w:val="19"/>
                <w:szCs w:val="19"/>
                <w:color w:val="auto"/>
              </w:rPr>
            </w:pPr>
          </w:p>
        </w:tc>
        <w:tc>
          <w:tcPr>
            <w:tcW w:w="1380" w:type="dxa"/>
            <w:vAlign w:val="bottom"/>
            <w:tcBorders>
              <w:bottom w:val="single" w:sz="8" w:color="007CBA"/>
              <w:right w:val="single" w:sz="8" w:color="007CBA"/>
            </w:tcBorders>
            <w:shd w:val="clear" w:color="auto" w:fill="007CBA"/>
          </w:tcPr>
          <w:p>
            <w:pPr>
              <w:jc w:val="center"/>
              <w:ind w:right="210"/>
              <w:spacing w:after="0" w:line="216" w:lineRule="exact"/>
              <w:rPr>
                <w:sz w:val="20"/>
                <w:szCs w:val="20"/>
                <w:color w:val="auto"/>
              </w:rPr>
            </w:pPr>
            <w:r>
              <w:rPr>
                <w:rFonts w:ascii="Calibri" w:cs="Calibri" w:eastAsia="Calibri" w:hAnsi="Calibri"/>
                <w:sz w:val="18"/>
                <w:szCs w:val="18"/>
                <w:b w:val="1"/>
                <w:bCs w:val="1"/>
                <w:color w:val="FFFFFF"/>
                <w:w w:val="98"/>
              </w:rPr>
              <w:t>2024</w:t>
            </w:r>
          </w:p>
        </w:tc>
        <w:tc>
          <w:tcPr>
            <w:tcW w:w="400" w:type="dxa"/>
            <w:vAlign w:val="bottom"/>
            <w:tcBorders>
              <w:bottom w:val="single" w:sz="8" w:color="007CBA"/>
            </w:tcBorders>
            <w:shd w:val="clear" w:color="auto" w:fill="007CBA"/>
          </w:tcPr>
          <w:p>
            <w:pPr>
              <w:spacing w:after="0"/>
              <w:rPr>
                <w:sz w:val="19"/>
                <w:szCs w:val="19"/>
                <w:color w:val="auto"/>
              </w:rPr>
            </w:pPr>
          </w:p>
        </w:tc>
        <w:tc>
          <w:tcPr>
            <w:tcW w:w="1240" w:type="dxa"/>
            <w:vAlign w:val="bottom"/>
            <w:tcBorders>
              <w:bottom w:val="single" w:sz="8" w:color="007CBA"/>
            </w:tcBorders>
            <w:shd w:val="clear" w:color="auto" w:fill="007CBA"/>
          </w:tcPr>
          <w:p>
            <w:pPr>
              <w:spacing w:after="0"/>
              <w:rPr>
                <w:sz w:val="19"/>
                <w:szCs w:val="19"/>
                <w:color w:val="auto"/>
              </w:rPr>
            </w:pPr>
          </w:p>
        </w:tc>
      </w:tr>
      <w:tr>
        <w:trPr>
          <w:trHeight w:val="215"/>
        </w:trPr>
        <w:tc>
          <w:tcPr>
            <w:tcW w:w="6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Noncompetton agreements</w:t>
            </w:r>
          </w:p>
        </w:tc>
        <w:tc>
          <w:tcPr>
            <w:tcW w:w="42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(4 )</w:t>
            </w:r>
          </w:p>
        </w:tc>
        <w:tc>
          <w:tcPr>
            <w:tcW w:w="40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r>
      <w:tr>
        <w:trPr>
          <w:trHeight w:val="217"/>
        </w:trPr>
        <w:tc>
          <w:tcPr>
            <w:tcW w:w="62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Customer relatonships</w:t>
            </w:r>
          </w:p>
        </w:tc>
        <w:tc>
          <w:tcPr>
            <w:tcW w:w="420" w:type="dxa"/>
            <w:vAlign w:val="bottom"/>
            <w:shd w:val="clear" w:color="auto" w:fill="E5F1F8"/>
          </w:tcPr>
          <w:p>
            <w:pPr>
              <w:spacing w:after="0"/>
              <w:rPr>
                <w:sz w:val="18"/>
                <w:szCs w:val="18"/>
                <w:color w:val="auto"/>
              </w:rPr>
            </w:pPr>
          </w:p>
        </w:tc>
        <w:tc>
          <w:tcPr>
            <w:tcW w:w="12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462</w:t>
            </w:r>
          </w:p>
        </w:tc>
        <w:tc>
          <w:tcPr>
            <w:tcW w:w="30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(101 )</w:t>
            </w:r>
          </w:p>
        </w:tc>
        <w:tc>
          <w:tcPr>
            <w:tcW w:w="400" w:type="dxa"/>
            <w:vAlign w:val="bottom"/>
            <w:shd w:val="clear" w:color="auto" w:fill="E5F1F8"/>
          </w:tcPr>
          <w:p>
            <w:pPr>
              <w:spacing w:after="0"/>
              <w:rPr>
                <w:sz w:val="18"/>
                <w:szCs w:val="18"/>
                <w:color w:val="auto"/>
              </w:rPr>
            </w:pPr>
          </w:p>
        </w:tc>
        <w:tc>
          <w:tcPr>
            <w:tcW w:w="12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361</w:t>
            </w:r>
          </w:p>
        </w:tc>
      </w:tr>
      <w:tr>
        <w:trPr>
          <w:trHeight w:val="215"/>
        </w:trPr>
        <w:tc>
          <w:tcPr>
            <w:tcW w:w="6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420" w:type="dxa"/>
            <w:vAlign w:val="bottom"/>
          </w:tcPr>
          <w:p>
            <w:pPr>
              <w:spacing w:after="0"/>
              <w:rPr>
                <w:sz w:val="18"/>
                <w:szCs w:val="18"/>
                <w:color w:val="auto"/>
              </w:rPr>
            </w:pPr>
          </w:p>
        </w:tc>
        <w:tc>
          <w:tcPr>
            <w:tcW w:w="12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370</w:t>
            </w:r>
          </w:p>
        </w:tc>
        <w:tc>
          <w:tcPr>
            <w:tcW w:w="300" w:type="dxa"/>
            <w:vAlign w:val="bottom"/>
          </w:tcPr>
          <w:p>
            <w:pPr>
              <w:spacing w:after="0"/>
              <w:rPr>
                <w:sz w:val="18"/>
                <w:szCs w:val="18"/>
                <w:color w:val="auto"/>
              </w:rPr>
            </w:pPr>
          </w:p>
        </w:tc>
        <w:tc>
          <w:tcPr>
            <w:tcW w:w="138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(62 )</w:t>
            </w:r>
          </w:p>
        </w:tc>
        <w:tc>
          <w:tcPr>
            <w:tcW w:w="400" w:type="dxa"/>
            <w:vAlign w:val="bottom"/>
          </w:tcPr>
          <w:p>
            <w:pPr>
              <w:spacing w:after="0"/>
              <w:rPr>
                <w:sz w:val="18"/>
                <w:szCs w:val="18"/>
                <w:color w:val="auto"/>
              </w:rPr>
            </w:pPr>
          </w:p>
        </w:tc>
        <w:tc>
          <w:tcPr>
            <w:tcW w:w="12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308</w:t>
            </w:r>
          </w:p>
        </w:tc>
      </w:tr>
      <w:tr>
        <w:trPr>
          <w:trHeight w:val="217"/>
        </w:trPr>
        <w:tc>
          <w:tcPr>
            <w:tcW w:w="62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Use rights and other</w:t>
            </w:r>
          </w:p>
        </w:tc>
        <w:tc>
          <w:tcPr>
            <w:tcW w:w="420" w:type="dxa"/>
            <w:vAlign w:val="bottom"/>
            <w:shd w:val="clear" w:color="auto" w:fill="E5F1F8"/>
          </w:tcPr>
          <w:p>
            <w:pPr>
              <w:spacing w:after="0"/>
              <w:rPr>
                <w:sz w:val="18"/>
                <w:szCs w:val="18"/>
                <w:color w:val="auto"/>
              </w:rPr>
            </w:pPr>
          </w:p>
        </w:tc>
        <w:tc>
          <w:tcPr>
            <w:tcW w:w="12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30</w:t>
            </w:r>
          </w:p>
        </w:tc>
        <w:tc>
          <w:tcPr>
            <w:tcW w:w="30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(13 )</w:t>
            </w:r>
          </w:p>
        </w:tc>
        <w:tc>
          <w:tcPr>
            <w:tcW w:w="400" w:type="dxa"/>
            <w:vAlign w:val="bottom"/>
            <w:shd w:val="clear" w:color="auto" w:fill="E5F1F8"/>
          </w:tcPr>
          <w:p>
            <w:pPr>
              <w:spacing w:after="0"/>
              <w:rPr>
                <w:sz w:val="18"/>
                <w:szCs w:val="18"/>
                <w:color w:val="auto"/>
              </w:rPr>
            </w:pPr>
          </w:p>
        </w:tc>
        <w:tc>
          <w:tcPr>
            <w:tcW w:w="12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17</w:t>
            </w:r>
          </w:p>
        </w:tc>
      </w:tr>
      <w:tr>
        <w:trPr>
          <w:trHeight w:val="215"/>
        </w:trPr>
        <w:tc>
          <w:tcPr>
            <w:tcW w:w="624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23</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(17 )</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w:t>
            </w:r>
          </w:p>
        </w:tc>
      </w:tr>
      <w:tr>
        <w:trPr>
          <w:trHeight w:val="249"/>
        </w:trPr>
        <w:tc>
          <w:tcPr>
            <w:tcW w:w="624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w:t>
            </w:r>
          </w:p>
        </w:tc>
        <w:tc>
          <w:tcPr>
            <w:tcW w:w="42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889</w:t>
            </w:r>
          </w:p>
        </w:tc>
        <w:tc>
          <w:tcPr>
            <w:tcW w:w="30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bottom w:val="single" w:sz="8" w:color="auto"/>
              <w:right w:val="single" w:sz="8" w:color="E5F1F8"/>
            </w:tcBorders>
            <w:shd w:val="clear" w:color="auto" w:fill="E5F1F8"/>
          </w:tcPr>
          <w:p>
            <w:pPr>
              <w:jc w:val="right"/>
              <w:spacing w:after="0" w:line="209" w:lineRule="exact"/>
              <w:rPr>
                <w:sz w:val="20"/>
                <w:szCs w:val="20"/>
                <w:color w:val="auto"/>
              </w:rPr>
            </w:pPr>
            <w:r>
              <w:rPr>
                <w:rFonts w:ascii="Calibri" w:cs="Calibri" w:eastAsia="Calibri" w:hAnsi="Calibri"/>
                <w:sz w:val="18"/>
                <w:szCs w:val="18"/>
                <w:b w:val="1"/>
                <w:bCs w:val="1"/>
                <w:color w:val="auto"/>
              </w:rPr>
              <w:t>(197 )</w:t>
            </w:r>
          </w:p>
        </w:tc>
        <w:tc>
          <w:tcPr>
            <w:tcW w:w="400" w:type="dxa"/>
            <w:vAlign w:val="bottom"/>
            <w:tcBorders>
              <w:bottom w:val="single" w:sz="8" w:color="auto"/>
            </w:tcBorders>
            <w:shd w:val="clear" w:color="auto" w:fill="E5F1F8"/>
          </w:tcPr>
          <w:p>
            <w:pPr>
              <w:jc w:val="right"/>
              <w:ind w:right="70"/>
              <w:spacing w:after="0" w:line="209"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692</w:t>
            </w:r>
          </w:p>
        </w:tc>
      </w:tr>
      <w:tr>
        <w:trPr>
          <w:trHeight w:val="197"/>
        </w:trPr>
        <w:tc>
          <w:tcPr>
            <w:tcW w:w="6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624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380" w:type="dxa"/>
            <w:vAlign w:val="bottom"/>
            <w:tcBorders>
              <w:right w:val="single" w:sz="8" w:color="007CBA"/>
            </w:tcBorders>
            <w:shd w:val="clear" w:color="auto" w:fill="007CBA"/>
          </w:tcPr>
          <w:p>
            <w:pPr>
              <w:jc w:val="center"/>
              <w:ind w:right="210"/>
              <w:spacing w:after="0" w:line="215" w:lineRule="exact"/>
              <w:rPr>
                <w:sz w:val="20"/>
                <w:szCs w:val="20"/>
                <w:color w:val="auto"/>
              </w:rPr>
            </w:pPr>
            <w:r>
              <w:rPr>
                <w:rFonts w:ascii="Calibri" w:cs="Calibri" w:eastAsia="Calibri" w:hAnsi="Calibri"/>
                <w:sz w:val="18"/>
                <w:szCs w:val="18"/>
                <w:color w:val="FFFFFF"/>
                <w:w w:val="98"/>
              </w:rPr>
              <w:t>2023</w:t>
            </w:r>
          </w:p>
        </w:tc>
        <w:tc>
          <w:tcPr>
            <w:tcW w:w="400" w:type="dxa"/>
            <w:vAlign w:val="bottom"/>
            <w:shd w:val="clear" w:color="auto" w:fill="007CBA"/>
          </w:tcPr>
          <w:p>
            <w:pPr>
              <w:spacing w:after="0"/>
              <w:rPr>
                <w:sz w:val="18"/>
                <w:szCs w:val="18"/>
                <w:color w:val="auto"/>
              </w:rPr>
            </w:pPr>
          </w:p>
        </w:tc>
        <w:tc>
          <w:tcPr>
            <w:tcW w:w="1240" w:type="dxa"/>
            <w:vAlign w:val="bottom"/>
            <w:shd w:val="clear" w:color="auto" w:fill="007CBA"/>
          </w:tcPr>
          <w:p>
            <w:pPr>
              <w:spacing w:after="0"/>
              <w:rPr>
                <w:sz w:val="18"/>
                <w:szCs w:val="18"/>
                <w:color w:val="auto"/>
              </w:rPr>
            </w:pPr>
          </w:p>
        </w:tc>
      </w:tr>
      <w:tr>
        <w:trPr>
          <w:trHeight w:val="215"/>
        </w:trPr>
        <w:tc>
          <w:tcPr>
            <w:tcW w:w="6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Noncompetton agreements</w:t>
            </w:r>
          </w:p>
        </w:tc>
        <w:tc>
          <w:tcPr>
            <w:tcW w:w="4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(4 )</w:t>
            </w:r>
          </w:p>
        </w:tc>
        <w:tc>
          <w:tcPr>
            <w:tcW w:w="40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62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Customer relatonships</w:t>
            </w:r>
          </w:p>
        </w:tc>
        <w:tc>
          <w:tcPr>
            <w:tcW w:w="420" w:type="dxa"/>
            <w:vAlign w:val="bottom"/>
            <w:shd w:val="clear" w:color="auto" w:fill="E5F1F8"/>
          </w:tcPr>
          <w:p>
            <w:pPr>
              <w:spacing w:after="0"/>
              <w:rPr>
                <w:sz w:val="18"/>
                <w:szCs w:val="18"/>
                <w:color w:val="auto"/>
              </w:rPr>
            </w:pPr>
          </w:p>
        </w:tc>
        <w:tc>
          <w:tcPr>
            <w:tcW w:w="12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421</w:t>
            </w:r>
          </w:p>
        </w:tc>
        <w:tc>
          <w:tcPr>
            <w:tcW w:w="30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(80 )</w:t>
            </w:r>
          </w:p>
        </w:tc>
        <w:tc>
          <w:tcPr>
            <w:tcW w:w="400" w:type="dxa"/>
            <w:vAlign w:val="bottom"/>
            <w:shd w:val="clear" w:color="auto" w:fill="E5F1F8"/>
          </w:tcPr>
          <w:p>
            <w:pPr>
              <w:spacing w:after="0"/>
              <w:rPr>
                <w:sz w:val="18"/>
                <w:szCs w:val="18"/>
                <w:color w:val="auto"/>
              </w:rPr>
            </w:pPr>
          </w:p>
        </w:tc>
        <w:tc>
          <w:tcPr>
            <w:tcW w:w="12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341</w:t>
            </w:r>
          </w:p>
        </w:tc>
      </w:tr>
      <w:tr>
        <w:trPr>
          <w:trHeight w:val="215"/>
        </w:trPr>
        <w:tc>
          <w:tcPr>
            <w:tcW w:w="6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420" w:type="dxa"/>
            <w:vAlign w:val="bottom"/>
          </w:tcPr>
          <w:p>
            <w:pPr>
              <w:spacing w:after="0"/>
              <w:rPr>
                <w:sz w:val="18"/>
                <w:szCs w:val="18"/>
                <w:color w:val="auto"/>
              </w:rPr>
            </w:pPr>
          </w:p>
        </w:tc>
        <w:tc>
          <w:tcPr>
            <w:tcW w:w="12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369</w:t>
            </w:r>
          </w:p>
        </w:tc>
        <w:tc>
          <w:tcPr>
            <w:tcW w:w="300" w:type="dxa"/>
            <w:vAlign w:val="bottom"/>
          </w:tcPr>
          <w:p>
            <w:pPr>
              <w:spacing w:after="0"/>
              <w:rPr>
                <w:sz w:val="18"/>
                <w:szCs w:val="18"/>
                <w:color w:val="auto"/>
              </w:rPr>
            </w:pPr>
          </w:p>
        </w:tc>
        <w:tc>
          <w:tcPr>
            <w:tcW w:w="138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(56 )</w:t>
            </w:r>
          </w:p>
        </w:tc>
        <w:tc>
          <w:tcPr>
            <w:tcW w:w="400" w:type="dxa"/>
            <w:vAlign w:val="bottom"/>
          </w:tcPr>
          <w:p>
            <w:pPr>
              <w:spacing w:after="0"/>
              <w:rPr>
                <w:sz w:val="18"/>
                <w:szCs w:val="18"/>
                <w:color w:val="auto"/>
              </w:rPr>
            </w:pPr>
          </w:p>
        </w:tc>
        <w:tc>
          <w:tcPr>
            <w:tcW w:w="1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313</w:t>
            </w:r>
          </w:p>
        </w:tc>
      </w:tr>
      <w:tr>
        <w:trPr>
          <w:trHeight w:val="217"/>
        </w:trPr>
        <w:tc>
          <w:tcPr>
            <w:tcW w:w="62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Use rights and other</w:t>
            </w:r>
          </w:p>
        </w:tc>
        <w:tc>
          <w:tcPr>
            <w:tcW w:w="420" w:type="dxa"/>
            <w:vAlign w:val="bottom"/>
            <w:shd w:val="clear" w:color="auto" w:fill="E5F1F8"/>
          </w:tcPr>
          <w:p>
            <w:pPr>
              <w:spacing w:after="0"/>
              <w:rPr>
                <w:sz w:val="18"/>
                <w:szCs w:val="18"/>
                <w:color w:val="auto"/>
              </w:rPr>
            </w:pPr>
          </w:p>
        </w:tc>
        <w:tc>
          <w:tcPr>
            <w:tcW w:w="12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14</w:t>
            </w:r>
          </w:p>
        </w:tc>
        <w:tc>
          <w:tcPr>
            <w:tcW w:w="30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(12 )</w:t>
            </w:r>
          </w:p>
        </w:tc>
        <w:tc>
          <w:tcPr>
            <w:tcW w:w="400" w:type="dxa"/>
            <w:vAlign w:val="bottom"/>
            <w:shd w:val="clear" w:color="auto" w:fill="E5F1F8"/>
          </w:tcPr>
          <w:p>
            <w:pPr>
              <w:spacing w:after="0"/>
              <w:rPr>
                <w:sz w:val="18"/>
                <w:szCs w:val="18"/>
                <w:color w:val="auto"/>
              </w:rPr>
            </w:pPr>
          </w:p>
        </w:tc>
        <w:tc>
          <w:tcPr>
            <w:tcW w:w="12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w:t>
            </w:r>
          </w:p>
        </w:tc>
      </w:tr>
      <w:tr>
        <w:trPr>
          <w:trHeight w:val="215"/>
        </w:trPr>
        <w:tc>
          <w:tcPr>
            <w:tcW w:w="624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24</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(16 )</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8</w:t>
            </w:r>
          </w:p>
        </w:tc>
      </w:tr>
      <w:tr>
        <w:trPr>
          <w:trHeight w:val="250"/>
        </w:trPr>
        <w:tc>
          <w:tcPr>
            <w:tcW w:w="624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w:t>
            </w:r>
          </w:p>
        </w:tc>
        <w:tc>
          <w:tcPr>
            <w:tcW w:w="42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832</w:t>
            </w:r>
          </w:p>
        </w:tc>
        <w:tc>
          <w:tcPr>
            <w:tcW w:w="30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right w:val="single" w:sz="8" w:color="E5F1F8"/>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(168 )</w:t>
            </w:r>
          </w:p>
        </w:tc>
        <w:tc>
          <w:tcPr>
            <w:tcW w:w="400" w:type="dxa"/>
            <w:vAlign w:val="bottom"/>
            <w:tcBorders>
              <w:bottom w:val="single" w:sz="8" w:color="auto"/>
            </w:tcBorders>
            <w:shd w:val="clear" w:color="auto" w:fill="E5F1F8"/>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-4036695</wp:posOffset>
            </wp:positionV>
            <wp:extent cx="32143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-3766820</wp:posOffset>
            </wp:positionV>
            <wp:extent cx="34290" cy="3340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-3766820</wp:posOffset>
            </wp:positionV>
            <wp:extent cx="33655" cy="3340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-3766820</wp:posOffset>
            </wp:positionV>
            <wp:extent cx="34290" cy="3340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-3046730</wp:posOffset>
            </wp:positionV>
            <wp:extent cx="34290" cy="3340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-3046730</wp:posOffset>
            </wp:positionV>
            <wp:extent cx="33655" cy="3340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-3046730</wp:posOffset>
            </wp:positionV>
            <wp:extent cx="34290" cy="3340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-2133600</wp:posOffset>
            </wp:positionV>
            <wp:extent cx="31800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-1452245</wp:posOffset>
            </wp:positionV>
            <wp:extent cx="33655" cy="3340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-1452245</wp:posOffset>
            </wp:positionV>
            <wp:extent cx="33655" cy="3340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-1452245</wp:posOffset>
            </wp:positionV>
            <wp:extent cx="33655" cy="3340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-320675</wp:posOffset>
            </wp:positionV>
            <wp:extent cx="33655" cy="3340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-320675</wp:posOffset>
            </wp:positionV>
            <wp:extent cx="33655" cy="3340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-320675</wp:posOffset>
            </wp:positionV>
            <wp:extent cx="33655" cy="3340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Intangible assets deemed to have an indefnite life that are therefore not amortzed consist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Borders>
              <w:right w:val="single" w:sz="8" w:color="007CBA"/>
            </w:tcBorders>
            <w:shd w:val="clear" w:color="auto" w:fill="007CBA"/>
          </w:tcPr>
          <w:p>
            <w:pPr>
              <w:spacing w:after="0"/>
              <w:rPr>
                <w:sz w:val="19"/>
                <w:szCs w:val="19"/>
                <w:color w:val="auto"/>
              </w:rPr>
            </w:pPr>
          </w:p>
        </w:tc>
        <w:tc>
          <w:tcPr>
            <w:tcW w:w="1280" w:type="dxa"/>
            <w:vAlign w:val="bottom"/>
            <w:shd w:val="clear" w:color="auto" w:fill="007CBA"/>
          </w:tcPr>
          <w:p>
            <w:pPr>
              <w:jc w:val="center"/>
              <w:ind w:left="350"/>
              <w:spacing w:after="0"/>
              <w:rPr>
                <w:sz w:val="20"/>
                <w:szCs w:val="20"/>
                <w:color w:val="auto"/>
              </w:rPr>
            </w:pPr>
            <w:r>
              <w:rPr>
                <w:rFonts w:ascii="Calibri" w:cs="Calibri" w:eastAsia="Calibri" w:hAnsi="Calibri"/>
                <w:sz w:val="18"/>
                <w:szCs w:val="18"/>
                <w:b w:val="1"/>
                <w:bCs w:val="1"/>
                <w:color w:val="FFFFFF"/>
                <w:w w:val="98"/>
              </w:rPr>
              <w:t>Building</w:t>
            </w:r>
          </w:p>
        </w:tc>
        <w:tc>
          <w:tcPr>
            <w:tcW w:w="42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30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80" w:type="dxa"/>
            <w:vAlign w:val="bottom"/>
            <w:shd w:val="clear" w:color="auto" w:fill="007CBA"/>
          </w:tcPr>
          <w:p>
            <w:pPr>
              <w:spacing w:after="0"/>
              <w:rPr>
                <w:sz w:val="19"/>
                <w:szCs w:val="19"/>
                <w:color w:val="auto"/>
              </w:rPr>
            </w:pPr>
          </w:p>
        </w:tc>
      </w:tr>
      <w:tr>
        <w:trPr>
          <w:trHeight w:val="215"/>
        </w:trPr>
        <w:tc>
          <w:tcPr>
            <w:tcW w:w="6260" w:type="dxa"/>
            <w:vAlign w:val="bottom"/>
            <w:tcBorders>
              <w:right w:val="single" w:sz="8" w:color="007CBA"/>
            </w:tcBorders>
            <w:shd w:val="clear" w:color="auto" w:fill="007CBA"/>
          </w:tcPr>
          <w:p>
            <w:pPr>
              <w:spacing w:after="0"/>
              <w:rPr>
                <w:sz w:val="18"/>
                <w:szCs w:val="18"/>
                <w:color w:val="auto"/>
              </w:rPr>
            </w:pPr>
          </w:p>
        </w:tc>
        <w:tc>
          <w:tcPr>
            <w:tcW w:w="1280" w:type="dxa"/>
            <w:vAlign w:val="bottom"/>
            <w:shd w:val="clear" w:color="auto" w:fill="007CBA"/>
          </w:tcPr>
          <w:p>
            <w:pPr>
              <w:jc w:val="center"/>
              <w:ind w:left="330"/>
              <w:spacing w:after="0" w:line="215" w:lineRule="exact"/>
              <w:rPr>
                <w:sz w:val="20"/>
                <w:szCs w:val="20"/>
                <w:color w:val="auto"/>
              </w:rPr>
            </w:pPr>
            <w:r>
              <w:rPr>
                <w:rFonts w:ascii="Calibri" w:cs="Calibri" w:eastAsia="Calibri" w:hAnsi="Calibri"/>
                <w:sz w:val="18"/>
                <w:szCs w:val="18"/>
                <w:b w:val="1"/>
                <w:bCs w:val="1"/>
                <w:color w:val="FFFFFF"/>
                <w:w w:val="98"/>
              </w:rPr>
              <w:t>Materials</w:t>
            </w:r>
          </w:p>
        </w:tc>
        <w:tc>
          <w:tcPr>
            <w:tcW w:w="420" w:type="dxa"/>
            <w:vAlign w:val="bottom"/>
            <w:tcBorders>
              <w:right w:val="single" w:sz="8" w:color="007CBA"/>
            </w:tcBorders>
            <w:shd w:val="clear" w:color="auto" w:fill="007CBA"/>
          </w:tcPr>
          <w:p>
            <w:pPr>
              <w:spacing w:after="0"/>
              <w:rPr>
                <w:sz w:val="18"/>
                <w:szCs w:val="18"/>
                <w:color w:val="auto"/>
              </w:rPr>
            </w:pPr>
          </w:p>
        </w:tc>
        <w:tc>
          <w:tcPr>
            <w:tcW w:w="340" w:type="dxa"/>
            <w:vAlign w:val="bottom"/>
            <w:shd w:val="clear" w:color="auto" w:fill="007CBA"/>
          </w:tcPr>
          <w:p>
            <w:pPr>
              <w:spacing w:after="0"/>
              <w:rPr>
                <w:sz w:val="18"/>
                <w:szCs w:val="18"/>
                <w:color w:val="auto"/>
              </w:rPr>
            </w:pPr>
          </w:p>
        </w:tc>
        <w:tc>
          <w:tcPr>
            <w:tcW w:w="1300" w:type="dxa"/>
            <w:vAlign w:val="bottom"/>
            <w:tcBorders>
              <w:right w:val="single" w:sz="8" w:color="007CBA"/>
            </w:tcBorders>
            <w:shd w:val="clear" w:color="auto" w:fill="007CBA"/>
          </w:tcPr>
          <w:p>
            <w:pPr>
              <w:jc w:val="center"/>
              <w:ind w:right="230"/>
              <w:spacing w:after="0" w:line="215" w:lineRule="exact"/>
              <w:rPr>
                <w:sz w:val="20"/>
                <w:szCs w:val="20"/>
                <w:color w:val="auto"/>
              </w:rPr>
            </w:pPr>
            <w:r>
              <w:rPr>
                <w:rFonts w:ascii="Calibri" w:cs="Calibri" w:eastAsia="Calibri" w:hAnsi="Calibri"/>
                <w:sz w:val="18"/>
                <w:szCs w:val="18"/>
                <w:b w:val="1"/>
                <w:bCs w:val="1"/>
                <w:color w:val="FFFFFF"/>
                <w:w w:val="96"/>
              </w:rPr>
              <w:t>Magnesia</w:t>
            </w:r>
          </w:p>
        </w:tc>
        <w:tc>
          <w:tcPr>
            <w:tcW w:w="460" w:type="dxa"/>
            <w:vAlign w:val="bottom"/>
            <w:shd w:val="clear" w:color="auto" w:fill="007CBA"/>
          </w:tcPr>
          <w:p>
            <w:pPr>
              <w:spacing w:after="0"/>
              <w:rPr>
                <w:sz w:val="18"/>
                <w:szCs w:val="18"/>
                <w:color w:val="auto"/>
              </w:rPr>
            </w:pPr>
          </w:p>
        </w:tc>
        <w:tc>
          <w:tcPr>
            <w:tcW w:w="1180" w:type="dxa"/>
            <w:vAlign w:val="bottom"/>
            <w:shd w:val="clear" w:color="auto" w:fill="007CBA"/>
          </w:tcPr>
          <w:p>
            <w:pPr>
              <w:spacing w:after="0"/>
              <w:rPr>
                <w:sz w:val="18"/>
                <w:szCs w:val="18"/>
                <w:color w:val="auto"/>
              </w:rPr>
            </w:pPr>
          </w:p>
        </w:tc>
      </w:tr>
      <w:tr>
        <w:trPr>
          <w:trHeight w:val="230"/>
        </w:trPr>
        <w:tc>
          <w:tcPr>
            <w:tcW w:w="62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1280" w:type="dxa"/>
            <w:vAlign w:val="bottom"/>
            <w:shd w:val="clear" w:color="auto" w:fill="007CBA"/>
          </w:tcPr>
          <w:p>
            <w:pPr>
              <w:jc w:val="center"/>
              <w:ind w:left="350"/>
              <w:spacing w:after="0" w:line="216" w:lineRule="exact"/>
              <w:rPr>
                <w:sz w:val="20"/>
                <w:szCs w:val="20"/>
                <w:color w:val="auto"/>
              </w:rPr>
            </w:pPr>
            <w:r>
              <w:rPr>
                <w:rFonts w:ascii="Calibri" w:cs="Calibri" w:eastAsia="Calibri" w:hAnsi="Calibri"/>
                <w:sz w:val="18"/>
                <w:szCs w:val="18"/>
                <w:b w:val="1"/>
                <w:bCs w:val="1"/>
                <w:color w:val="FFFFFF"/>
                <w:w w:val="99"/>
              </w:rPr>
              <w:t>Business</w:t>
            </w:r>
          </w:p>
        </w:tc>
        <w:tc>
          <w:tcPr>
            <w:tcW w:w="42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300" w:type="dxa"/>
            <w:vAlign w:val="bottom"/>
            <w:tcBorders>
              <w:right w:val="single" w:sz="8" w:color="007CBA"/>
            </w:tcBorders>
            <w:shd w:val="clear" w:color="auto" w:fill="007CBA"/>
          </w:tcPr>
          <w:p>
            <w:pPr>
              <w:jc w:val="center"/>
              <w:ind w:right="230"/>
              <w:spacing w:after="0" w:line="216" w:lineRule="exact"/>
              <w:rPr>
                <w:sz w:val="20"/>
                <w:szCs w:val="20"/>
                <w:color w:val="auto"/>
              </w:rPr>
            </w:pPr>
            <w:r>
              <w:rPr>
                <w:rFonts w:ascii="Calibri" w:cs="Calibri" w:eastAsia="Calibri" w:hAnsi="Calibri"/>
                <w:sz w:val="18"/>
                <w:szCs w:val="18"/>
                <w:b w:val="1"/>
                <w:bCs w:val="1"/>
                <w:color w:val="FFFFFF"/>
              </w:rPr>
              <w:t>Specialtes</w:t>
            </w:r>
          </w:p>
        </w:tc>
        <w:tc>
          <w:tcPr>
            <w:tcW w:w="460" w:type="dxa"/>
            <w:vAlign w:val="bottom"/>
            <w:shd w:val="clear" w:color="auto" w:fill="007CBA"/>
          </w:tcPr>
          <w:p>
            <w:pPr>
              <w:spacing w:after="0"/>
              <w:rPr>
                <w:sz w:val="19"/>
                <w:szCs w:val="19"/>
                <w:color w:val="auto"/>
              </w:rPr>
            </w:pPr>
          </w:p>
        </w:tc>
        <w:tc>
          <w:tcPr>
            <w:tcW w:w="1180" w:type="dxa"/>
            <w:vAlign w:val="bottom"/>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Total</w:t>
            </w:r>
          </w:p>
        </w:tc>
      </w:tr>
      <w:tr>
        <w:trPr>
          <w:trHeight w:val="219"/>
        </w:trPr>
        <w:tc>
          <w:tcPr>
            <w:tcW w:w="626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w:t>
            </w:r>
          </w:p>
        </w:tc>
        <w:tc>
          <w:tcPr>
            <w:tcW w:w="1280" w:type="dxa"/>
            <w:vAlign w:val="bottom"/>
            <w:tcBorders>
              <w:bottom w:val="single" w:sz="8" w:color="007CBA"/>
            </w:tcBorders>
            <w:shd w:val="clear" w:color="auto" w:fill="007CBA"/>
          </w:tcPr>
          <w:p>
            <w:pPr>
              <w:spacing w:after="0"/>
              <w:rPr>
                <w:sz w:val="19"/>
                <w:szCs w:val="19"/>
                <w:color w:val="auto"/>
              </w:rPr>
            </w:pPr>
          </w:p>
        </w:tc>
        <w:tc>
          <w:tcPr>
            <w:tcW w:w="420" w:type="dxa"/>
            <w:vAlign w:val="bottom"/>
            <w:tcBorders>
              <w:bottom w:val="single" w:sz="8" w:color="007CBA"/>
              <w:right w:val="single" w:sz="8" w:color="007CBA"/>
            </w:tcBorders>
            <w:shd w:val="clear" w:color="auto" w:fill="007CBA"/>
          </w:tcPr>
          <w:p>
            <w:pPr>
              <w:spacing w:after="0"/>
              <w:rPr>
                <w:sz w:val="19"/>
                <w:szCs w:val="19"/>
                <w:color w:val="auto"/>
              </w:rPr>
            </w:pPr>
          </w:p>
        </w:tc>
        <w:tc>
          <w:tcPr>
            <w:tcW w:w="340" w:type="dxa"/>
            <w:vAlign w:val="bottom"/>
            <w:tcBorders>
              <w:bottom w:val="single" w:sz="8" w:color="007CBA"/>
            </w:tcBorders>
            <w:shd w:val="clear" w:color="auto" w:fill="007CBA"/>
          </w:tcPr>
          <w:p>
            <w:pPr>
              <w:spacing w:after="0"/>
              <w:rPr>
                <w:sz w:val="19"/>
                <w:szCs w:val="19"/>
                <w:color w:val="auto"/>
              </w:rPr>
            </w:pPr>
          </w:p>
        </w:tc>
        <w:tc>
          <w:tcPr>
            <w:tcW w:w="1300" w:type="dxa"/>
            <w:vAlign w:val="bottom"/>
            <w:tcBorders>
              <w:bottom w:val="single" w:sz="8" w:color="007CBA"/>
              <w:right w:val="single" w:sz="8" w:color="007CBA"/>
            </w:tcBorders>
            <w:shd w:val="clear" w:color="auto" w:fill="007CBA"/>
          </w:tcPr>
          <w:p>
            <w:pPr>
              <w:jc w:val="center"/>
              <w:ind w:right="250"/>
              <w:spacing w:after="0" w:line="216" w:lineRule="exact"/>
              <w:rPr>
                <w:sz w:val="20"/>
                <w:szCs w:val="20"/>
                <w:color w:val="auto"/>
              </w:rPr>
            </w:pPr>
            <w:r>
              <w:rPr>
                <w:rFonts w:ascii="Calibri" w:cs="Calibri" w:eastAsia="Calibri" w:hAnsi="Calibri"/>
                <w:sz w:val="18"/>
                <w:szCs w:val="18"/>
                <w:b w:val="1"/>
                <w:bCs w:val="1"/>
                <w:color w:val="FFFFFF"/>
                <w:w w:val="98"/>
              </w:rPr>
              <w:t>2024</w:t>
            </w:r>
          </w:p>
        </w:tc>
        <w:tc>
          <w:tcPr>
            <w:tcW w:w="460" w:type="dxa"/>
            <w:vAlign w:val="bottom"/>
            <w:tcBorders>
              <w:bottom w:val="single" w:sz="8" w:color="007CBA"/>
            </w:tcBorders>
            <w:shd w:val="clear" w:color="auto" w:fill="007CBA"/>
          </w:tcPr>
          <w:p>
            <w:pPr>
              <w:spacing w:after="0"/>
              <w:rPr>
                <w:sz w:val="19"/>
                <w:szCs w:val="19"/>
                <w:color w:val="auto"/>
              </w:rPr>
            </w:pPr>
          </w:p>
        </w:tc>
        <w:tc>
          <w:tcPr>
            <w:tcW w:w="1180" w:type="dxa"/>
            <w:vAlign w:val="bottom"/>
            <w:tcBorders>
              <w:bottom w:val="single" w:sz="8" w:color="007CBA"/>
            </w:tcBorders>
            <w:shd w:val="clear" w:color="auto" w:fill="007CBA"/>
          </w:tcPr>
          <w:p>
            <w:pPr>
              <w:spacing w:after="0"/>
              <w:rPr>
                <w:sz w:val="19"/>
                <w:szCs w:val="19"/>
                <w:color w:val="auto"/>
              </w:rPr>
            </w:pPr>
          </w:p>
        </w:tc>
      </w:tr>
      <w:tr>
        <w:trPr>
          <w:trHeight w:val="215"/>
        </w:trPr>
        <w:tc>
          <w:tcPr>
            <w:tcW w:w="62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1280" w:type="dxa"/>
            <w:vAlign w:val="bottom"/>
          </w:tcPr>
          <w:p>
            <w:pPr>
              <w:jc w:val="right"/>
              <w:ind w:right="930"/>
              <w:spacing w:after="0" w:line="215" w:lineRule="exact"/>
              <w:rPr>
                <w:sz w:val="20"/>
                <w:szCs w:val="20"/>
                <w:color w:val="auto"/>
              </w:rPr>
            </w:pPr>
            <w:r>
              <w:rPr>
                <w:rFonts w:ascii="Calibri" w:cs="Calibri" w:eastAsia="Calibri" w:hAnsi="Calibri"/>
                <w:sz w:val="18"/>
                <w:szCs w:val="18"/>
                <w:b w:val="1"/>
                <w:bCs w:val="1"/>
                <w:color w:val="auto"/>
              </w:rPr>
              <w:t>$</w:t>
            </w:r>
          </w:p>
        </w:tc>
        <w:tc>
          <w:tcPr>
            <w:tcW w:w="420" w:type="dxa"/>
            <w:vAlign w:val="bottom"/>
            <w:tcBorders>
              <w:right w:val="single" w:sz="8" w:color="007CBA"/>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7</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8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7</w:t>
            </w:r>
          </w:p>
        </w:tc>
      </w:tr>
      <w:tr>
        <w:trPr>
          <w:trHeight w:val="217"/>
        </w:trPr>
        <w:tc>
          <w:tcPr>
            <w:tcW w:w="62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Use rights</w:t>
            </w:r>
          </w:p>
        </w:tc>
        <w:tc>
          <w:tcPr>
            <w:tcW w:w="1280" w:type="dxa"/>
            <w:vAlign w:val="bottom"/>
            <w:shd w:val="clear" w:color="auto" w:fill="E5F1F8"/>
          </w:tcPr>
          <w:p>
            <w:pPr>
              <w:spacing w:after="0"/>
              <w:rPr>
                <w:sz w:val="18"/>
                <w:szCs w:val="18"/>
                <w:color w:val="auto"/>
              </w:rPr>
            </w:pPr>
          </w:p>
        </w:tc>
        <w:tc>
          <w:tcPr>
            <w:tcW w:w="420" w:type="dxa"/>
            <w:vAlign w:val="bottom"/>
            <w:tcBorders>
              <w:right w:val="single" w:sz="8" w:color="007CBA"/>
            </w:tcBorders>
            <w:shd w:val="clear" w:color="auto" w:fill="E5F1F8"/>
          </w:tcPr>
          <w:p>
            <w:pPr>
              <w:jc w:val="right"/>
              <w:ind w:right="70"/>
              <w:spacing w:after="0" w:line="216" w:lineRule="exact"/>
              <w:rPr>
                <w:sz w:val="20"/>
                <w:szCs w:val="20"/>
                <w:color w:val="auto"/>
              </w:rPr>
            </w:pPr>
            <w:r>
              <w:rPr>
                <w:rFonts w:ascii="Calibri" w:cs="Calibri" w:eastAsia="Calibri" w:hAnsi="Calibri"/>
                <w:sz w:val="18"/>
                <w:szCs w:val="18"/>
                <w:b w:val="1"/>
                <w:bCs w:val="1"/>
                <w:color w:val="auto"/>
              </w:rPr>
              <w:t>29</w:t>
            </w:r>
          </w:p>
        </w:tc>
        <w:tc>
          <w:tcPr>
            <w:tcW w:w="340" w:type="dxa"/>
            <w:vAlign w:val="bottom"/>
            <w:shd w:val="clear" w:color="auto" w:fill="E5F1F8"/>
          </w:tcPr>
          <w:p>
            <w:pPr>
              <w:spacing w:after="0"/>
              <w:rPr>
                <w:sz w:val="18"/>
                <w:szCs w:val="18"/>
                <w:color w:val="auto"/>
              </w:rPr>
            </w:pPr>
          </w:p>
        </w:tc>
        <w:tc>
          <w:tcPr>
            <w:tcW w:w="130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w:t>
            </w:r>
          </w:p>
        </w:tc>
        <w:tc>
          <w:tcPr>
            <w:tcW w:w="460" w:type="dxa"/>
            <w:vAlign w:val="bottom"/>
            <w:shd w:val="clear" w:color="auto" w:fill="E5F1F8"/>
          </w:tcPr>
          <w:p>
            <w:pPr>
              <w:spacing w:after="0"/>
              <w:rPr>
                <w:sz w:val="18"/>
                <w:szCs w:val="18"/>
                <w:color w:val="auto"/>
              </w:rPr>
            </w:pPr>
          </w:p>
        </w:tc>
        <w:tc>
          <w:tcPr>
            <w:tcW w:w="11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29</w:t>
            </w:r>
          </w:p>
        </w:tc>
      </w:tr>
      <w:tr>
        <w:trPr>
          <w:trHeight w:val="215"/>
        </w:trPr>
        <w:tc>
          <w:tcPr>
            <w:tcW w:w="626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1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w:t>
            </w:r>
          </w:p>
        </w:tc>
      </w:tr>
      <w:tr>
        <w:trPr>
          <w:trHeight w:val="250"/>
        </w:trPr>
        <w:tc>
          <w:tcPr>
            <w:tcW w:w="626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w:t>
            </w:r>
          </w:p>
        </w:tc>
        <w:tc>
          <w:tcPr>
            <w:tcW w:w="1280" w:type="dxa"/>
            <w:vAlign w:val="bottom"/>
            <w:tcBorders>
              <w:bottom w:val="single" w:sz="8" w:color="auto"/>
            </w:tcBorders>
            <w:shd w:val="clear" w:color="auto" w:fill="E5F1F8"/>
          </w:tcPr>
          <w:p>
            <w:pPr>
              <w:jc w:val="right"/>
              <w:ind w:right="930"/>
              <w:spacing w:after="0" w:line="209" w:lineRule="exact"/>
              <w:rPr>
                <w:sz w:val="20"/>
                <w:szCs w:val="20"/>
                <w:color w:val="auto"/>
              </w:rPr>
            </w:pPr>
            <w:r>
              <w:rPr>
                <w:rFonts w:ascii="Calibri" w:cs="Calibri" w:eastAsia="Calibri" w:hAnsi="Calibri"/>
                <w:sz w:val="18"/>
                <w:szCs w:val="18"/>
                <w:b w:val="1"/>
                <w:bCs w:val="1"/>
                <w:color w:val="auto"/>
              </w:rPr>
              <w:t>$</w:t>
            </w:r>
          </w:p>
        </w:tc>
        <w:tc>
          <w:tcPr>
            <w:tcW w:w="420" w:type="dxa"/>
            <w:vAlign w:val="bottom"/>
            <w:tcBorders>
              <w:bottom w:val="single" w:sz="8" w:color="auto"/>
              <w:right w:val="single" w:sz="8" w:color="E5F1F8"/>
            </w:tcBorders>
            <w:shd w:val="clear" w:color="auto" w:fill="E5F1F8"/>
          </w:tcPr>
          <w:p>
            <w:pPr>
              <w:jc w:val="right"/>
              <w:ind w:right="70"/>
              <w:spacing w:after="0" w:line="209" w:lineRule="exact"/>
              <w:rPr>
                <w:sz w:val="20"/>
                <w:szCs w:val="20"/>
                <w:color w:val="auto"/>
              </w:rPr>
            </w:pPr>
            <w:r>
              <w:rPr>
                <w:rFonts w:ascii="Calibri" w:cs="Calibri" w:eastAsia="Calibri" w:hAnsi="Calibri"/>
                <w:sz w:val="18"/>
                <w:szCs w:val="18"/>
                <w:b w:val="1"/>
                <w:bCs w:val="1"/>
                <w:color w:val="auto"/>
              </w:rPr>
              <w:t>36</w:t>
            </w:r>
          </w:p>
        </w:tc>
        <w:tc>
          <w:tcPr>
            <w:tcW w:w="34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30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2</w:t>
            </w:r>
          </w:p>
        </w:tc>
        <w:tc>
          <w:tcPr>
            <w:tcW w:w="46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38</w:t>
            </w:r>
          </w:p>
        </w:tc>
      </w:tr>
      <w:tr>
        <w:trPr>
          <w:trHeight w:val="211"/>
        </w:trPr>
        <w:tc>
          <w:tcPr>
            <w:tcW w:w="6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260" w:type="dxa"/>
            <w:vAlign w:val="bottom"/>
            <w:tcBorders>
              <w:right w:val="single" w:sz="8" w:color="007CBA"/>
            </w:tcBorders>
            <w:shd w:val="clear" w:color="auto" w:fill="007CBA"/>
          </w:tcPr>
          <w:p>
            <w:pPr>
              <w:spacing w:after="0"/>
              <w:rPr>
                <w:sz w:val="18"/>
                <w:szCs w:val="18"/>
                <w:color w:val="auto"/>
              </w:rPr>
            </w:pPr>
          </w:p>
        </w:tc>
        <w:tc>
          <w:tcPr>
            <w:tcW w:w="1280" w:type="dxa"/>
            <w:vAlign w:val="bottom"/>
            <w:shd w:val="clear" w:color="auto" w:fill="007CBA"/>
          </w:tcPr>
          <w:p>
            <w:pPr>
              <w:spacing w:after="0"/>
              <w:rPr>
                <w:sz w:val="18"/>
                <w:szCs w:val="18"/>
                <w:color w:val="auto"/>
              </w:rPr>
            </w:pPr>
          </w:p>
        </w:tc>
        <w:tc>
          <w:tcPr>
            <w:tcW w:w="420" w:type="dxa"/>
            <w:vAlign w:val="bottom"/>
            <w:tcBorders>
              <w:right w:val="single" w:sz="8" w:color="007CBA"/>
            </w:tcBorders>
            <w:shd w:val="clear" w:color="auto" w:fill="007CBA"/>
          </w:tcPr>
          <w:p>
            <w:pPr>
              <w:spacing w:after="0"/>
              <w:rPr>
                <w:sz w:val="18"/>
                <w:szCs w:val="18"/>
                <w:color w:val="auto"/>
              </w:rPr>
            </w:pPr>
          </w:p>
        </w:tc>
        <w:tc>
          <w:tcPr>
            <w:tcW w:w="340" w:type="dxa"/>
            <w:vAlign w:val="bottom"/>
            <w:shd w:val="clear" w:color="auto" w:fill="007CBA"/>
          </w:tcPr>
          <w:p>
            <w:pPr>
              <w:spacing w:after="0"/>
              <w:rPr>
                <w:sz w:val="18"/>
                <w:szCs w:val="18"/>
                <w:color w:val="auto"/>
              </w:rPr>
            </w:pPr>
          </w:p>
        </w:tc>
        <w:tc>
          <w:tcPr>
            <w:tcW w:w="1300" w:type="dxa"/>
            <w:vAlign w:val="bottom"/>
            <w:tcBorders>
              <w:right w:val="single" w:sz="8" w:color="007CBA"/>
            </w:tcBorders>
            <w:shd w:val="clear" w:color="auto" w:fill="007CBA"/>
          </w:tcPr>
          <w:p>
            <w:pPr>
              <w:jc w:val="center"/>
              <w:ind w:right="250"/>
              <w:spacing w:after="0" w:line="215" w:lineRule="exact"/>
              <w:rPr>
                <w:sz w:val="20"/>
                <w:szCs w:val="20"/>
                <w:color w:val="auto"/>
              </w:rPr>
            </w:pPr>
            <w:r>
              <w:rPr>
                <w:rFonts w:ascii="Calibri" w:cs="Calibri" w:eastAsia="Calibri" w:hAnsi="Calibri"/>
                <w:sz w:val="18"/>
                <w:szCs w:val="18"/>
                <w:color w:val="FFFFFF"/>
                <w:w w:val="98"/>
              </w:rPr>
              <w:t>2023</w:t>
            </w:r>
          </w:p>
        </w:tc>
        <w:tc>
          <w:tcPr>
            <w:tcW w:w="460" w:type="dxa"/>
            <w:vAlign w:val="bottom"/>
            <w:shd w:val="clear" w:color="auto" w:fill="007CBA"/>
          </w:tcPr>
          <w:p>
            <w:pPr>
              <w:spacing w:after="0"/>
              <w:rPr>
                <w:sz w:val="18"/>
                <w:szCs w:val="18"/>
                <w:color w:val="auto"/>
              </w:rPr>
            </w:pPr>
          </w:p>
        </w:tc>
        <w:tc>
          <w:tcPr>
            <w:tcW w:w="1180" w:type="dxa"/>
            <w:vAlign w:val="bottom"/>
            <w:shd w:val="clear" w:color="auto" w:fill="007CBA"/>
          </w:tcPr>
          <w:p>
            <w:pPr>
              <w:spacing w:after="0"/>
              <w:rPr>
                <w:sz w:val="18"/>
                <w:szCs w:val="18"/>
                <w:color w:val="auto"/>
              </w:rPr>
            </w:pPr>
          </w:p>
        </w:tc>
      </w:tr>
      <w:tr>
        <w:trPr>
          <w:trHeight w:val="215"/>
        </w:trPr>
        <w:tc>
          <w:tcPr>
            <w:tcW w:w="62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1280" w:type="dxa"/>
            <w:vAlign w:val="bottom"/>
          </w:tcPr>
          <w:p>
            <w:pPr>
              <w:jc w:val="right"/>
              <w:ind w:right="93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Borders>
              <w:right w:val="single" w:sz="8" w:color="007CBA"/>
            </w:tcBorders>
          </w:tcPr>
          <w:p>
            <w:pPr>
              <w:jc w:val="right"/>
              <w:ind w:right="70"/>
              <w:spacing w:after="0" w:line="215" w:lineRule="exact"/>
              <w:rPr>
                <w:sz w:val="20"/>
                <w:szCs w:val="20"/>
                <w:color w:val="auto"/>
              </w:rPr>
            </w:pPr>
            <w:r>
              <w:rPr>
                <w:rFonts w:ascii="Calibri" w:cs="Calibri" w:eastAsia="Calibri" w:hAnsi="Calibri"/>
                <w:sz w:val="18"/>
                <w:szCs w:val="18"/>
                <w:color w:val="auto"/>
              </w:rPr>
              <w:t>7</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7</w:t>
            </w:r>
          </w:p>
        </w:tc>
      </w:tr>
      <w:tr>
        <w:trPr>
          <w:trHeight w:val="217"/>
        </w:trPr>
        <w:tc>
          <w:tcPr>
            <w:tcW w:w="62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Use rights</w:t>
            </w:r>
          </w:p>
        </w:tc>
        <w:tc>
          <w:tcPr>
            <w:tcW w:w="1280" w:type="dxa"/>
            <w:vAlign w:val="bottom"/>
            <w:shd w:val="clear" w:color="auto" w:fill="E5F1F8"/>
          </w:tcPr>
          <w:p>
            <w:pPr>
              <w:spacing w:after="0"/>
              <w:rPr>
                <w:sz w:val="18"/>
                <w:szCs w:val="18"/>
                <w:color w:val="auto"/>
              </w:rPr>
            </w:pPr>
          </w:p>
        </w:tc>
        <w:tc>
          <w:tcPr>
            <w:tcW w:w="420" w:type="dxa"/>
            <w:vAlign w:val="bottom"/>
            <w:tcBorders>
              <w:right w:val="single" w:sz="8" w:color="007CBA"/>
            </w:tcBorders>
            <w:shd w:val="clear" w:color="auto" w:fill="E5F1F8"/>
          </w:tcPr>
          <w:p>
            <w:pPr>
              <w:jc w:val="right"/>
              <w:ind w:right="70"/>
              <w:spacing w:after="0" w:line="216" w:lineRule="exact"/>
              <w:rPr>
                <w:sz w:val="20"/>
                <w:szCs w:val="20"/>
                <w:color w:val="auto"/>
              </w:rPr>
            </w:pPr>
            <w:r>
              <w:rPr>
                <w:rFonts w:ascii="Calibri" w:cs="Calibri" w:eastAsia="Calibri" w:hAnsi="Calibri"/>
                <w:sz w:val="18"/>
                <w:szCs w:val="18"/>
                <w:color w:val="auto"/>
              </w:rPr>
              <w:t>25</w:t>
            </w:r>
          </w:p>
        </w:tc>
        <w:tc>
          <w:tcPr>
            <w:tcW w:w="340" w:type="dxa"/>
            <w:vAlign w:val="bottom"/>
            <w:shd w:val="clear" w:color="auto" w:fill="E5F1F8"/>
          </w:tcPr>
          <w:p>
            <w:pPr>
              <w:spacing w:after="0"/>
              <w:rPr>
                <w:sz w:val="18"/>
                <w:szCs w:val="18"/>
                <w:color w:val="auto"/>
              </w:rPr>
            </w:pPr>
          </w:p>
        </w:tc>
        <w:tc>
          <w:tcPr>
            <w:tcW w:w="130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w:t>
            </w:r>
          </w:p>
        </w:tc>
        <w:tc>
          <w:tcPr>
            <w:tcW w:w="460" w:type="dxa"/>
            <w:vAlign w:val="bottom"/>
            <w:shd w:val="clear" w:color="auto" w:fill="E5F1F8"/>
          </w:tcPr>
          <w:p>
            <w:pPr>
              <w:spacing w:after="0"/>
              <w:rPr>
                <w:sz w:val="18"/>
                <w:szCs w:val="18"/>
                <w:color w:val="auto"/>
              </w:rPr>
            </w:pPr>
          </w:p>
        </w:tc>
        <w:tc>
          <w:tcPr>
            <w:tcW w:w="11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25</w:t>
            </w:r>
          </w:p>
        </w:tc>
      </w:tr>
      <w:tr>
        <w:trPr>
          <w:trHeight w:val="215"/>
        </w:trPr>
        <w:tc>
          <w:tcPr>
            <w:tcW w:w="626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1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2</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2</w:t>
            </w:r>
          </w:p>
        </w:tc>
      </w:tr>
      <w:tr>
        <w:trPr>
          <w:trHeight w:val="249"/>
        </w:trPr>
        <w:tc>
          <w:tcPr>
            <w:tcW w:w="626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w:t>
            </w:r>
          </w:p>
        </w:tc>
        <w:tc>
          <w:tcPr>
            <w:tcW w:w="1280" w:type="dxa"/>
            <w:vAlign w:val="bottom"/>
            <w:tcBorders>
              <w:bottom w:val="single" w:sz="8" w:color="auto"/>
            </w:tcBorders>
            <w:shd w:val="clear" w:color="auto" w:fill="E5F1F8"/>
          </w:tcPr>
          <w:p>
            <w:pPr>
              <w:jc w:val="right"/>
              <w:ind w:right="930"/>
              <w:spacing w:after="0" w:line="209" w:lineRule="exact"/>
              <w:rPr>
                <w:sz w:val="20"/>
                <w:szCs w:val="20"/>
                <w:color w:val="auto"/>
              </w:rPr>
            </w:pPr>
            <w:r>
              <w:rPr>
                <w:rFonts w:ascii="Calibri" w:cs="Calibri" w:eastAsia="Calibri" w:hAnsi="Calibri"/>
                <w:sz w:val="18"/>
                <w:szCs w:val="18"/>
                <w:color w:val="auto"/>
              </w:rPr>
              <w:t>$</w:t>
            </w:r>
          </w:p>
        </w:tc>
        <w:tc>
          <w:tcPr>
            <w:tcW w:w="420" w:type="dxa"/>
            <w:vAlign w:val="bottom"/>
            <w:tcBorders>
              <w:bottom w:val="single" w:sz="8" w:color="auto"/>
              <w:right w:val="single" w:sz="8" w:color="E5F1F8"/>
            </w:tcBorders>
            <w:shd w:val="clear" w:color="auto" w:fill="E5F1F8"/>
          </w:tcPr>
          <w:p>
            <w:pPr>
              <w:jc w:val="right"/>
              <w:ind w:right="70"/>
              <w:spacing w:after="0" w:line="209" w:lineRule="exact"/>
              <w:rPr>
                <w:sz w:val="20"/>
                <w:szCs w:val="20"/>
                <w:color w:val="auto"/>
              </w:rPr>
            </w:pPr>
            <w:r>
              <w:rPr>
                <w:rFonts w:ascii="Calibri" w:cs="Calibri" w:eastAsia="Calibri" w:hAnsi="Calibri"/>
                <w:sz w:val="18"/>
                <w:szCs w:val="18"/>
                <w:color w:val="auto"/>
              </w:rPr>
              <w:t>32</w:t>
            </w:r>
          </w:p>
        </w:tc>
        <w:tc>
          <w:tcPr>
            <w:tcW w:w="34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2</w:t>
            </w:r>
          </w:p>
        </w:tc>
        <w:tc>
          <w:tcPr>
            <w:tcW w:w="46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205740</wp:posOffset>
            </wp:positionV>
            <wp:extent cx="325755" cy="1968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-1593850</wp:posOffset>
            </wp:positionV>
            <wp:extent cx="306006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3060065" cy="889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-1186180</wp:posOffset>
            </wp:positionV>
            <wp:extent cx="34290" cy="3340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-1186180</wp:posOffset>
            </wp:positionV>
            <wp:extent cx="34290" cy="3340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-1186180</wp:posOffset>
            </wp:positionV>
            <wp:extent cx="33655" cy="3340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-320675</wp:posOffset>
            </wp:positionV>
            <wp:extent cx="34290" cy="3340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-320675</wp:posOffset>
            </wp:positionV>
            <wp:extent cx="34290" cy="3340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-320675</wp:posOffset>
            </wp:positionV>
            <wp:extent cx="33655" cy="3340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4" w:name="page85"/>
    <w:bookmarkEnd w:id="84"/>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Intangible assets acquired during 2024, of which $46 million were from business combinatons,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340" w:type="dxa"/>
            <w:vAlign w:val="bottom"/>
            <w:tcBorders>
              <w:right w:val="single" w:sz="8" w:color="007CBA"/>
            </w:tcBorders>
            <w:shd w:val="clear" w:color="auto" w:fill="007CBA"/>
          </w:tcPr>
          <w:p>
            <w:pPr>
              <w:spacing w:after="0"/>
              <w:rPr>
                <w:sz w:val="19"/>
                <w:szCs w:val="19"/>
                <w:color w:val="auto"/>
              </w:rPr>
            </w:pPr>
          </w:p>
        </w:tc>
        <w:tc>
          <w:tcPr>
            <w:tcW w:w="2280" w:type="dxa"/>
            <w:vAlign w:val="bottom"/>
            <w:shd w:val="clear" w:color="auto" w:fill="007CBA"/>
          </w:tcPr>
          <w:p>
            <w:pPr>
              <w:jc w:val="center"/>
              <w:ind w:left="30"/>
              <w:spacing w:after="0"/>
              <w:rPr>
                <w:sz w:val="20"/>
                <w:szCs w:val="20"/>
                <w:color w:val="auto"/>
              </w:rPr>
            </w:pPr>
            <w:r>
              <w:rPr>
                <w:rFonts w:ascii="Calibri" w:cs="Calibri" w:eastAsia="Calibri" w:hAnsi="Calibri"/>
                <w:sz w:val="18"/>
                <w:szCs w:val="18"/>
                <w:b w:val="1"/>
                <w:bCs w:val="1"/>
                <w:color w:val="FFFFFF"/>
                <w:w w:val="98"/>
              </w:rPr>
              <w:t>Weighted-average</w:t>
            </w:r>
          </w:p>
        </w:tc>
      </w:tr>
      <w:tr>
        <w:trPr>
          <w:trHeight w:val="218"/>
        </w:trPr>
        <w:tc>
          <w:tcPr>
            <w:tcW w:w="71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 except year data)</w:t>
            </w:r>
          </w:p>
        </w:tc>
        <w:tc>
          <w:tcPr>
            <w:tcW w:w="440" w:type="dxa"/>
            <w:vAlign w:val="bottom"/>
            <w:tcBorders>
              <w:bottom w:val="single" w:sz="8" w:color="007CBA"/>
            </w:tcBorders>
            <w:shd w:val="clear" w:color="auto" w:fill="007CBA"/>
          </w:tcPr>
          <w:p>
            <w:pPr>
              <w:spacing w:after="0"/>
              <w:rPr>
                <w:sz w:val="18"/>
                <w:szCs w:val="18"/>
                <w:color w:val="auto"/>
              </w:rPr>
            </w:pPr>
          </w:p>
        </w:tc>
        <w:tc>
          <w:tcPr>
            <w:tcW w:w="1340" w:type="dxa"/>
            <w:vAlign w:val="bottom"/>
            <w:tcBorders>
              <w:bottom w:val="single" w:sz="8" w:color="007CBA"/>
              <w:right w:val="single" w:sz="8" w:color="007CBA"/>
            </w:tcBorders>
            <w:shd w:val="clear" w:color="auto" w:fill="007CBA"/>
          </w:tcPr>
          <w:p>
            <w:pPr>
              <w:jc w:val="right"/>
              <w:ind w:right="470"/>
              <w:spacing w:after="0" w:line="215" w:lineRule="exact"/>
              <w:rPr>
                <w:sz w:val="20"/>
                <w:szCs w:val="20"/>
                <w:color w:val="auto"/>
              </w:rPr>
            </w:pPr>
            <w:r>
              <w:rPr>
                <w:rFonts w:ascii="Calibri" w:cs="Calibri" w:eastAsia="Calibri" w:hAnsi="Calibri"/>
                <w:sz w:val="18"/>
                <w:szCs w:val="18"/>
                <w:b w:val="1"/>
                <w:bCs w:val="1"/>
                <w:color w:val="FFFFFF"/>
              </w:rPr>
              <w:t>Amount</w:t>
            </w:r>
          </w:p>
        </w:tc>
        <w:tc>
          <w:tcPr>
            <w:tcW w:w="2280" w:type="dxa"/>
            <w:vAlign w:val="bottom"/>
            <w:tcBorders>
              <w:bottom w:val="single" w:sz="8" w:color="007CBA"/>
            </w:tcBorders>
            <w:shd w:val="clear" w:color="auto" w:fill="007CBA"/>
          </w:tcPr>
          <w:p>
            <w:pPr>
              <w:jc w:val="center"/>
              <w:ind w:left="70"/>
              <w:spacing w:after="0" w:line="215" w:lineRule="exact"/>
              <w:rPr>
                <w:sz w:val="20"/>
                <w:szCs w:val="20"/>
                <w:color w:val="auto"/>
              </w:rPr>
            </w:pPr>
            <w:r>
              <w:rPr>
                <w:rFonts w:ascii="Calibri" w:cs="Calibri" w:eastAsia="Calibri" w:hAnsi="Calibri"/>
                <w:sz w:val="18"/>
                <w:szCs w:val="18"/>
                <w:b w:val="1"/>
                <w:bCs w:val="1"/>
                <w:color w:val="FFFFFF"/>
              </w:rPr>
              <w:t>amortzaton period</w:t>
            </w:r>
          </w:p>
        </w:tc>
      </w:tr>
      <w:tr>
        <w:trPr>
          <w:trHeight w:val="215"/>
        </w:trPr>
        <w:tc>
          <w:tcPr>
            <w:tcW w:w="7180" w:type="dxa"/>
            <w:vAlign w:val="bottom"/>
            <w:tcBorders>
              <w:right w:val="single" w:sz="8" w:color="007CBA"/>
            </w:tcBorders>
          </w:tcPr>
          <w:p>
            <w:pPr>
              <w:ind w:left="20"/>
              <w:spacing w:after="0" w:line="215" w:lineRule="exact"/>
              <w:rPr>
                <w:sz w:val="20"/>
                <w:szCs w:val="20"/>
                <w:color w:val="auto"/>
              </w:rPr>
            </w:pPr>
            <w:r>
              <w:rPr>
                <w:rFonts w:ascii="Calibri" w:cs="Calibri" w:eastAsia="Calibri" w:hAnsi="Calibri"/>
                <w:sz w:val="18"/>
                <w:szCs w:val="18"/>
                <w:color w:val="auto"/>
              </w:rPr>
              <w:t>Subject to amortzaton:</w:t>
            </w:r>
          </w:p>
        </w:tc>
        <w:tc>
          <w:tcPr>
            <w:tcW w:w="440" w:type="dxa"/>
            <w:vAlign w:val="bottom"/>
          </w:tcPr>
          <w:p>
            <w:pPr>
              <w:spacing w:after="0"/>
              <w:rPr>
                <w:sz w:val="18"/>
                <w:szCs w:val="18"/>
                <w:color w:val="auto"/>
              </w:rPr>
            </w:pPr>
          </w:p>
        </w:tc>
        <w:tc>
          <w:tcPr>
            <w:tcW w:w="1340" w:type="dxa"/>
            <w:vAlign w:val="bottom"/>
            <w:tcBorders>
              <w:right w:val="single" w:sz="8" w:color="007CBA"/>
            </w:tcBorders>
          </w:tcPr>
          <w:p>
            <w:pPr>
              <w:spacing w:after="0"/>
              <w:rPr>
                <w:sz w:val="18"/>
                <w:szCs w:val="18"/>
                <w:color w:val="auto"/>
              </w:rPr>
            </w:pPr>
          </w:p>
        </w:tc>
        <w:tc>
          <w:tcPr>
            <w:tcW w:w="2280" w:type="dxa"/>
            <w:vAlign w:val="bottom"/>
          </w:tcPr>
          <w:p>
            <w:pPr>
              <w:spacing w:after="0"/>
              <w:rPr>
                <w:sz w:val="18"/>
                <w:szCs w:val="18"/>
                <w:color w:val="auto"/>
              </w:rPr>
            </w:pPr>
          </w:p>
        </w:tc>
      </w:tr>
      <w:tr>
        <w:trPr>
          <w:trHeight w:val="217"/>
        </w:trPr>
        <w:tc>
          <w:tcPr>
            <w:tcW w:w="71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Customer relatonships</w:t>
            </w:r>
          </w:p>
        </w:tc>
        <w:tc>
          <w:tcPr>
            <w:tcW w:w="440" w:type="dxa"/>
            <w:vAlign w:val="bottom"/>
            <w:shd w:val="clear" w:color="auto" w:fill="E5F1F8"/>
          </w:tcPr>
          <w:p>
            <w:pPr>
              <w:jc w:val="right"/>
              <w:ind w:right="70"/>
              <w:spacing w:after="0" w:line="216"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40</w:t>
            </w:r>
          </w:p>
        </w:tc>
        <w:tc>
          <w:tcPr>
            <w:tcW w:w="2280" w:type="dxa"/>
            <w:vAlign w:val="bottom"/>
            <w:shd w:val="clear" w:color="auto" w:fill="E5F1F8"/>
          </w:tcPr>
          <w:p>
            <w:pPr>
              <w:jc w:val="center"/>
              <w:ind w:left="70"/>
              <w:spacing w:after="0" w:line="216" w:lineRule="exact"/>
              <w:rPr>
                <w:sz w:val="20"/>
                <w:szCs w:val="20"/>
                <w:color w:val="auto"/>
              </w:rPr>
            </w:pPr>
            <w:r>
              <w:rPr>
                <w:rFonts w:ascii="Calibri" w:cs="Calibri" w:eastAsia="Calibri" w:hAnsi="Calibri"/>
                <w:sz w:val="18"/>
                <w:szCs w:val="18"/>
                <w:color w:val="auto"/>
                <w:w w:val="97"/>
              </w:rPr>
              <w:t>11 years</w:t>
            </w:r>
          </w:p>
        </w:tc>
      </w:tr>
      <w:tr>
        <w:trPr>
          <w:trHeight w:val="216"/>
        </w:trPr>
        <w:tc>
          <w:tcPr>
            <w:tcW w:w="71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Use rights and other</w:t>
            </w:r>
          </w:p>
        </w:tc>
        <w:tc>
          <w:tcPr>
            <w:tcW w:w="440" w:type="dxa"/>
            <w:vAlign w:val="bottom"/>
          </w:tcPr>
          <w:p>
            <w:pPr>
              <w:spacing w:after="0"/>
              <w:rPr>
                <w:sz w:val="18"/>
                <w:szCs w:val="18"/>
                <w:color w:val="auto"/>
              </w:rPr>
            </w:pP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16</w:t>
            </w:r>
          </w:p>
        </w:tc>
        <w:tc>
          <w:tcPr>
            <w:tcW w:w="228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10 years</w:t>
            </w:r>
          </w:p>
        </w:tc>
      </w:tr>
      <w:tr>
        <w:trPr>
          <w:trHeight w:val="215"/>
        </w:trPr>
        <w:tc>
          <w:tcPr>
            <w:tcW w:w="71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Permits</w:t>
            </w:r>
          </w:p>
        </w:tc>
        <w:tc>
          <w:tcPr>
            <w:tcW w:w="440" w:type="dxa"/>
            <w:vAlign w:val="bottom"/>
            <w:tcBorders>
              <w:bottom w:val="single" w:sz="8" w:color="auto"/>
            </w:tcBorders>
            <w:shd w:val="clear" w:color="auto" w:fill="E5F1F8"/>
          </w:tcPr>
          <w:p>
            <w:pPr>
              <w:spacing w:after="0"/>
              <w:rPr>
                <w:sz w:val="18"/>
                <w:szCs w:val="18"/>
                <w:color w:val="auto"/>
              </w:rPr>
            </w:pPr>
          </w:p>
        </w:tc>
        <w:tc>
          <w:tcPr>
            <w:tcW w:w="134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w:t>
            </w:r>
          </w:p>
        </w:tc>
        <w:tc>
          <w:tcPr>
            <w:tcW w:w="228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7"/>
              </w:rPr>
              <w:t>40 years</w:t>
            </w:r>
          </w:p>
        </w:tc>
      </w:tr>
      <w:tr>
        <w:trPr>
          <w:trHeight w:val="210"/>
        </w:trPr>
        <w:tc>
          <w:tcPr>
            <w:tcW w:w="7180" w:type="dxa"/>
            <w:vAlign w:val="bottom"/>
            <w:tcBorders>
              <w:bottom w:val="single" w:sz="8" w:color="auto"/>
            </w:tcBorders>
          </w:tcPr>
          <w:p>
            <w:pPr>
              <w:ind w:left="20"/>
              <w:spacing w:after="0" w:line="210" w:lineRule="exact"/>
              <w:rPr>
                <w:sz w:val="20"/>
                <w:szCs w:val="20"/>
                <w:color w:val="auto"/>
              </w:rPr>
            </w:pPr>
            <w:r>
              <w:rPr>
                <w:rFonts w:ascii="Calibri" w:cs="Calibri" w:eastAsia="Calibri" w:hAnsi="Calibri"/>
                <w:sz w:val="18"/>
                <w:szCs w:val="18"/>
                <w:color w:val="auto"/>
              </w:rPr>
              <w:t>Total subject to amortzaton</w:t>
            </w:r>
          </w:p>
        </w:tc>
        <w:tc>
          <w:tcPr>
            <w:tcW w:w="440" w:type="dxa"/>
            <w:vAlign w:val="bottom"/>
            <w:tcBorders>
              <w:bottom w:val="single" w:sz="8" w:color="auto"/>
            </w:tcBorders>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tcPr>
          <w:p>
            <w:pPr>
              <w:jc w:val="right"/>
              <w:ind w:right="50"/>
              <w:spacing w:after="0" w:line="210" w:lineRule="exact"/>
              <w:rPr>
                <w:sz w:val="20"/>
                <w:szCs w:val="20"/>
                <w:color w:val="auto"/>
              </w:rPr>
            </w:pPr>
            <w:r>
              <w:rPr>
                <w:rFonts w:ascii="Calibri" w:cs="Calibri" w:eastAsia="Calibri" w:hAnsi="Calibri"/>
                <w:sz w:val="18"/>
                <w:szCs w:val="18"/>
                <w:color w:val="auto"/>
              </w:rPr>
              <w:t>57</w:t>
            </w:r>
          </w:p>
        </w:tc>
        <w:tc>
          <w:tcPr>
            <w:tcW w:w="2280" w:type="dxa"/>
            <w:vAlign w:val="bottom"/>
          </w:tcPr>
          <w:p>
            <w:pPr>
              <w:jc w:val="center"/>
              <w:ind w:left="70"/>
              <w:spacing w:after="0" w:line="210" w:lineRule="exact"/>
              <w:rPr>
                <w:sz w:val="20"/>
                <w:szCs w:val="20"/>
                <w:color w:val="auto"/>
              </w:rPr>
            </w:pPr>
            <w:r>
              <w:rPr>
                <w:rFonts w:ascii="Calibri" w:cs="Calibri" w:eastAsia="Calibri" w:hAnsi="Calibri"/>
                <w:sz w:val="18"/>
                <w:szCs w:val="18"/>
                <w:color w:val="auto"/>
                <w:w w:val="97"/>
              </w:rPr>
              <w:t>11 years</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7"/>
        </w:trPr>
        <w:tc>
          <w:tcPr>
            <w:tcW w:w="7180" w:type="dxa"/>
            <w:vAlign w:val="bottom"/>
            <w:tcBorders>
              <w:right w:val="single" w:sz="8" w:color="007CBA"/>
            </w:tcBorders>
            <w:shd w:val="clear" w:color="auto" w:fill="E5F1F8"/>
          </w:tcPr>
          <w:p>
            <w:pPr>
              <w:ind w:left="20"/>
              <w:spacing w:after="0" w:line="196" w:lineRule="exact"/>
              <w:rPr>
                <w:sz w:val="20"/>
                <w:szCs w:val="20"/>
                <w:color w:val="auto"/>
              </w:rPr>
            </w:pPr>
            <w:r>
              <w:rPr>
                <w:rFonts w:ascii="Calibri" w:cs="Calibri" w:eastAsia="Calibri" w:hAnsi="Calibri"/>
                <w:sz w:val="18"/>
                <w:szCs w:val="18"/>
                <w:color w:val="auto"/>
              </w:rPr>
              <w:t>Not subject to amortzaton:</w:t>
            </w:r>
          </w:p>
        </w:tc>
        <w:tc>
          <w:tcPr>
            <w:tcW w:w="440" w:type="dxa"/>
            <w:vAlign w:val="bottom"/>
            <w:shd w:val="clear" w:color="auto" w:fill="E5F1F8"/>
          </w:tcPr>
          <w:p>
            <w:pPr>
              <w:spacing w:after="0"/>
              <w:rPr>
                <w:sz w:val="17"/>
                <w:szCs w:val="17"/>
                <w:color w:val="auto"/>
              </w:rPr>
            </w:pPr>
          </w:p>
        </w:tc>
        <w:tc>
          <w:tcPr>
            <w:tcW w:w="1340" w:type="dxa"/>
            <w:vAlign w:val="bottom"/>
            <w:tcBorders>
              <w:right w:val="single" w:sz="8" w:color="4472C4"/>
            </w:tcBorders>
            <w:shd w:val="clear" w:color="auto" w:fill="E5F1F8"/>
          </w:tcPr>
          <w:p>
            <w:pPr>
              <w:spacing w:after="0"/>
              <w:rPr>
                <w:sz w:val="17"/>
                <w:szCs w:val="17"/>
                <w:color w:val="auto"/>
              </w:rPr>
            </w:pPr>
          </w:p>
        </w:tc>
        <w:tc>
          <w:tcPr>
            <w:tcW w:w="2280" w:type="dxa"/>
            <w:vAlign w:val="bottom"/>
            <w:shd w:val="clear" w:color="auto" w:fill="E5F1F8"/>
          </w:tcPr>
          <w:p>
            <w:pPr>
              <w:spacing w:after="0"/>
              <w:rPr>
                <w:sz w:val="17"/>
                <w:szCs w:val="17"/>
                <w:color w:val="auto"/>
              </w:rPr>
            </w:pPr>
          </w:p>
        </w:tc>
      </w:tr>
      <w:tr>
        <w:trPr>
          <w:trHeight w:val="215"/>
        </w:trPr>
        <w:tc>
          <w:tcPr>
            <w:tcW w:w="718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Use rights and other</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5</w:t>
            </w:r>
          </w:p>
        </w:tc>
        <w:tc>
          <w:tcPr>
            <w:tcW w:w="2280" w:type="dxa"/>
            <w:vAlign w:val="bottom"/>
            <w:tcBorders>
              <w:bottom w:val="single" w:sz="8" w:color="E5F1F8"/>
            </w:tcBorders>
          </w:tcPr>
          <w:p>
            <w:pPr>
              <w:jc w:val="center"/>
              <w:ind w:left="70"/>
              <w:spacing w:after="0" w:line="215" w:lineRule="exact"/>
              <w:rPr>
                <w:sz w:val="20"/>
                <w:szCs w:val="20"/>
                <w:color w:val="auto"/>
              </w:rPr>
            </w:pPr>
            <w:r>
              <w:rPr>
                <w:rFonts w:ascii="Calibri" w:cs="Calibri" w:eastAsia="Calibri" w:hAnsi="Calibri"/>
                <w:sz w:val="18"/>
                <w:szCs w:val="18"/>
                <w:color w:val="auto"/>
                <w:w w:val="96"/>
              </w:rPr>
              <w:t>N/A</w:t>
            </w:r>
          </w:p>
        </w:tc>
      </w:tr>
      <w:tr>
        <w:trPr>
          <w:trHeight w:val="250"/>
        </w:trPr>
        <w:tc>
          <w:tcPr>
            <w:tcW w:w="7180" w:type="dxa"/>
            <w:vAlign w:val="bottom"/>
            <w:tcBorders>
              <w:bottom w:val="single" w:sz="8" w:color="auto"/>
              <w:right w:val="single" w:sz="8" w:color="E5F1F8"/>
            </w:tcBorders>
            <w:shd w:val="clear" w:color="auto" w:fill="E5F1F8"/>
          </w:tcPr>
          <w:p>
            <w:pPr>
              <w:ind w:left="20"/>
              <w:spacing w:after="0" w:line="209" w:lineRule="exact"/>
              <w:rPr>
                <w:sz w:val="20"/>
                <w:szCs w:val="20"/>
                <w:color w:val="auto"/>
              </w:rPr>
            </w:pPr>
            <w:r>
              <w:rPr>
                <w:rFonts w:ascii="Calibri" w:cs="Calibri" w:eastAsia="Calibri" w:hAnsi="Calibri"/>
                <w:sz w:val="18"/>
                <w:szCs w:val="18"/>
                <w:color w:val="auto"/>
              </w:rPr>
              <w:t>Total</w:t>
            </w:r>
          </w:p>
        </w:tc>
        <w:tc>
          <w:tcPr>
            <w:tcW w:w="440" w:type="dxa"/>
            <w:vAlign w:val="bottom"/>
            <w:tcBorders>
              <w:bottom w:val="single" w:sz="8" w:color="auto"/>
            </w:tcBorders>
            <w:shd w:val="clear" w:color="auto" w:fill="E5F1F8"/>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62</w:t>
            </w:r>
          </w:p>
        </w:tc>
        <w:tc>
          <w:tcPr>
            <w:tcW w:w="2280" w:type="dxa"/>
            <w:vAlign w:val="bottom"/>
            <w:tcBorders>
              <w:bottom w:val="single" w:sz="8" w:color="E5F1F8"/>
            </w:tcBorders>
            <w:shd w:val="clear" w:color="auto" w:fill="E5F1F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-766445</wp:posOffset>
            </wp:positionV>
            <wp:extent cx="33655" cy="3340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-766445</wp:posOffset>
            </wp:positionV>
            <wp:extent cx="132715" cy="3340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132715" cy="334010"/>
                    </a:xfrm>
                    <a:prstGeom prst="rect">
                      <a:avLst/>
                    </a:prstGeom>
                    <a:noFill/>
                  </pic:spPr>
                </pic:pic>
              </a:graphicData>
            </a:graphic>
          </wp:anchor>
        </w:drawing>
        <w:drawing>
          <wp:anchor simplePos="0" relativeHeight="251657728" behindDoc="1" locked="0" layoutInCell="0" allowOverlap="1">
            <wp:simplePos x="0" y="0"/>
            <wp:positionH relativeFrom="column">
              <wp:posOffset>4535805</wp:posOffset>
            </wp:positionH>
            <wp:positionV relativeFrom="paragraph">
              <wp:posOffset>-320675</wp:posOffset>
            </wp:positionV>
            <wp:extent cx="33655" cy="3340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-320675</wp:posOffset>
            </wp:positionV>
            <wp:extent cx="132715" cy="3340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132715" cy="33401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Calibri" w:cs="Calibri" w:eastAsia="Calibri" w:hAnsi="Calibri"/>
          <w:sz w:val="17"/>
          <w:szCs w:val="17"/>
          <w:color w:val="auto"/>
        </w:rPr>
        <w:t>Amortzaton expense for intangible assets for the years ended December 31, 2024, 2023 and 2022 was $29 million, $28 million and $27 million, respectvely.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00" w:type="dxa"/>
            <w:vAlign w:val="bottom"/>
          </w:tcPr>
          <w:p>
            <w:pPr>
              <w:spacing w:after="0"/>
              <w:rPr>
                <w:sz w:val="20"/>
                <w:szCs w:val="20"/>
                <w:color w:val="auto"/>
              </w:rPr>
            </w:pPr>
            <w:r>
              <w:rPr>
                <w:rFonts w:ascii="Calibri" w:cs="Calibri" w:eastAsia="Calibri" w:hAnsi="Calibri"/>
                <w:sz w:val="18"/>
                <w:szCs w:val="18"/>
                <w:color w:val="auto"/>
              </w:rPr>
              <w:t>The estmated amortzaton expense for intangible assets for each of the next fve years and thereafer is as follows:</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31"/>
        </w:trPr>
        <w:tc>
          <w:tcPr>
            <w:tcW w:w="9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6"/>
        </w:trPr>
        <w:tc>
          <w:tcPr>
            <w:tcW w:w="90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08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080" w:type="dxa"/>
            <w:vAlign w:val="bottom"/>
          </w:tcPr>
          <w:p>
            <w:pPr>
              <w:jc w:val="right"/>
              <w:ind w:right="6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33</w:t>
            </w:r>
          </w:p>
        </w:tc>
      </w:tr>
      <w:tr>
        <w:trPr>
          <w:trHeight w:val="217"/>
        </w:trPr>
        <w:tc>
          <w:tcPr>
            <w:tcW w:w="900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2026</w:t>
            </w:r>
          </w:p>
        </w:tc>
        <w:tc>
          <w:tcPr>
            <w:tcW w:w="1080" w:type="dxa"/>
            <w:vAlign w:val="bottom"/>
            <w:shd w:val="clear" w:color="auto" w:fill="E5F1F8"/>
          </w:tcPr>
          <w:p>
            <w:pPr>
              <w:spacing w:after="0"/>
              <w:rPr>
                <w:sz w:val="18"/>
                <w:szCs w:val="18"/>
                <w:color w:val="auto"/>
              </w:rPr>
            </w:pP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31</w:t>
            </w: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08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30</w:t>
            </w:r>
          </w:p>
        </w:tc>
      </w:tr>
      <w:tr>
        <w:trPr>
          <w:trHeight w:val="217"/>
        </w:trPr>
        <w:tc>
          <w:tcPr>
            <w:tcW w:w="900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2028</w:t>
            </w:r>
          </w:p>
        </w:tc>
        <w:tc>
          <w:tcPr>
            <w:tcW w:w="1080" w:type="dxa"/>
            <w:vAlign w:val="bottom"/>
            <w:shd w:val="clear" w:color="auto" w:fill="E5F1F8"/>
          </w:tcPr>
          <w:p>
            <w:pPr>
              <w:spacing w:after="0"/>
              <w:rPr>
                <w:sz w:val="18"/>
                <w:szCs w:val="18"/>
                <w:color w:val="auto"/>
              </w:rPr>
            </w:pP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30</w:t>
            </w:r>
          </w:p>
        </w:tc>
      </w:tr>
      <w:tr>
        <w:trPr>
          <w:trHeight w:val="216"/>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2029</w:t>
            </w:r>
          </w:p>
        </w:tc>
        <w:tc>
          <w:tcPr>
            <w:tcW w:w="108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29</w:t>
            </w:r>
          </w:p>
        </w:tc>
      </w:tr>
      <w:tr>
        <w:trPr>
          <w:trHeight w:val="215"/>
        </w:trPr>
        <w:tc>
          <w:tcPr>
            <w:tcW w:w="900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08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539</w:t>
            </w:r>
          </w:p>
        </w:tc>
      </w:tr>
      <w:tr>
        <w:trPr>
          <w:trHeight w:val="209"/>
        </w:trPr>
        <w:tc>
          <w:tcPr>
            <w:tcW w:w="900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1080" w:type="dxa"/>
            <w:vAlign w:val="bottom"/>
            <w:tcBorders>
              <w:bottom w:val="single" w:sz="8" w:color="auto"/>
            </w:tcBorders>
          </w:tcPr>
          <w:p>
            <w:pPr>
              <w:jc w:val="right"/>
              <w:ind w:right="65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692</w:t>
            </w: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-320675</wp:posOffset>
            </wp:positionV>
            <wp:extent cx="34290" cy="3340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D: Accounts Receivable,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6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380" w:type="dxa"/>
            <w:vAlign w:val="bottom"/>
            <w:shd w:val="clear" w:color="auto" w:fill="007CBA"/>
          </w:tcPr>
          <w:p>
            <w:pPr>
              <w:spacing w:after="0"/>
              <w:rPr>
                <w:sz w:val="19"/>
                <w:szCs w:val="19"/>
                <w:color w:val="auto"/>
              </w:rPr>
            </w:pPr>
          </w:p>
        </w:tc>
      </w:tr>
      <w:tr>
        <w:trPr>
          <w:trHeight w:val="216"/>
        </w:trPr>
        <w:tc>
          <w:tcPr>
            <w:tcW w:w="73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shd w:val="clear" w:color="auto" w:fill="007CBA"/>
          </w:tcPr>
          <w:p>
            <w:pPr>
              <w:spacing w:after="0"/>
              <w:rPr>
                <w:sz w:val="18"/>
                <w:szCs w:val="18"/>
                <w:color w:val="auto"/>
              </w:rPr>
            </w:pPr>
          </w:p>
        </w:tc>
        <w:tc>
          <w:tcPr>
            <w:tcW w:w="1380" w:type="dxa"/>
            <w:vAlign w:val="bottom"/>
            <w:tcBorders>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shd w:val="clear" w:color="auto" w:fill="007CBA"/>
          </w:tcPr>
          <w:p>
            <w:pPr>
              <w:spacing w:after="0"/>
              <w:rPr>
                <w:sz w:val="18"/>
                <w:szCs w:val="18"/>
                <w:color w:val="auto"/>
              </w:rPr>
            </w:pPr>
          </w:p>
        </w:tc>
        <w:tc>
          <w:tcPr>
            <w:tcW w:w="1380" w:type="dxa"/>
            <w:vAlign w:val="bottom"/>
            <w:shd w:val="clear" w:color="auto" w:fill="007CBA"/>
          </w:tcPr>
          <w:p>
            <w:pPr>
              <w:jc w:val="right"/>
              <w:ind w:right="670"/>
              <w:spacing w:after="0" w:line="215" w:lineRule="exact"/>
              <w:rPr>
                <w:sz w:val="20"/>
                <w:szCs w:val="20"/>
                <w:color w:val="auto"/>
              </w:rPr>
            </w:pPr>
            <w:r>
              <w:rPr>
                <w:rFonts w:ascii="Calibri" w:cs="Calibri" w:eastAsia="Calibri" w:hAnsi="Calibri"/>
                <w:sz w:val="18"/>
                <w:szCs w:val="18"/>
                <w:color w:val="FFFFFF"/>
              </w:rPr>
              <w:t>2023</w:t>
            </w:r>
          </w:p>
        </w:tc>
      </w:tr>
      <w:tr>
        <w:trPr>
          <w:trHeight w:val="216"/>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Customer receivables</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678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747</w:t>
            </w:r>
          </w:p>
        </w:tc>
      </w:tr>
      <w:tr>
        <w:trPr>
          <w:trHeight w:val="215"/>
        </w:trPr>
        <w:tc>
          <w:tcPr>
            <w:tcW w:w="73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current receivables</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8</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18</w:t>
            </w:r>
          </w:p>
        </w:tc>
      </w:tr>
      <w:tr>
        <w:trPr>
          <w:trHeight w:val="210"/>
        </w:trPr>
        <w:tc>
          <w:tcPr>
            <w:tcW w:w="7360" w:type="dxa"/>
            <w:vAlign w:val="bottom"/>
            <w:tcBorders>
              <w:right w:val="single" w:sz="8" w:color="007CBA"/>
            </w:tcBorders>
          </w:tcPr>
          <w:p>
            <w:pPr>
              <w:ind w:left="120"/>
              <w:spacing w:after="0" w:line="210" w:lineRule="exact"/>
              <w:rPr>
                <w:sz w:val="20"/>
                <w:szCs w:val="20"/>
                <w:color w:val="auto"/>
              </w:rPr>
            </w:pPr>
            <w:r>
              <w:rPr>
                <w:rFonts w:ascii="Calibri" w:cs="Calibri" w:eastAsia="Calibri" w:hAnsi="Calibri"/>
                <w:sz w:val="18"/>
                <w:szCs w:val="18"/>
                <w:color w:val="auto"/>
              </w:rPr>
              <w:t>Total accounts receivable</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0" w:lineRule="exact"/>
              <w:rPr>
                <w:sz w:val="20"/>
                <w:szCs w:val="20"/>
                <w:color w:val="auto"/>
              </w:rPr>
            </w:pPr>
            <w:r>
              <w:rPr>
                <w:rFonts w:ascii="Calibri" w:cs="Calibri" w:eastAsia="Calibri" w:hAnsi="Calibri"/>
                <w:sz w:val="18"/>
                <w:szCs w:val="18"/>
                <w:b w:val="1"/>
                <w:bCs w:val="1"/>
                <w:color w:val="auto"/>
              </w:rPr>
              <w:t>686</w:t>
            </w:r>
          </w:p>
        </w:tc>
        <w:tc>
          <w:tcPr>
            <w:tcW w:w="560" w:type="dxa"/>
            <w:vAlign w:val="bottom"/>
          </w:tcPr>
          <w:p>
            <w:pPr>
              <w:spacing w:after="0"/>
              <w:rPr>
                <w:sz w:val="18"/>
                <w:szCs w:val="18"/>
                <w:color w:val="auto"/>
              </w:rPr>
            </w:pPr>
          </w:p>
        </w:tc>
        <w:tc>
          <w:tcPr>
            <w:tcW w:w="138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rPr>
              <w:t>765</w:t>
            </w:r>
          </w:p>
        </w:tc>
      </w:tr>
      <w:tr>
        <w:trPr>
          <w:trHeight w:val="215"/>
        </w:trPr>
        <w:tc>
          <w:tcPr>
            <w:tcW w:w="73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allowance for estmated credit losses</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(8 )</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(12 )</w:t>
            </w:r>
          </w:p>
        </w:tc>
      </w:tr>
      <w:tr>
        <w:trPr>
          <w:trHeight w:val="210"/>
        </w:trPr>
        <w:tc>
          <w:tcPr>
            <w:tcW w:w="736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Accounts receivable, net</w:t>
            </w:r>
          </w:p>
        </w:tc>
        <w:tc>
          <w:tcPr>
            <w:tcW w:w="560" w:type="dxa"/>
            <w:vAlign w:val="bottom"/>
            <w:tcBorders>
              <w:bottom w:val="single" w:sz="8" w:color="auto"/>
            </w:tcBorders>
          </w:tcPr>
          <w:p>
            <w:pPr>
              <w:jc w:val="right"/>
              <w:ind w:right="190"/>
              <w:spacing w:after="0" w:line="209"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678</w:t>
            </w:r>
          </w:p>
        </w:tc>
        <w:tc>
          <w:tcPr>
            <w:tcW w:w="560" w:type="dxa"/>
            <w:vAlign w:val="bottom"/>
            <w:tcBorders>
              <w:bottom w:val="single" w:sz="8" w:color="auto"/>
            </w:tcBorders>
          </w:tcPr>
          <w:p>
            <w:pPr>
              <w:jc w:val="right"/>
              <w:ind w:right="19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753</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-603250</wp:posOffset>
            </wp:positionV>
            <wp:extent cx="33655" cy="1708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-603250</wp:posOffset>
            </wp:positionV>
            <wp:extent cx="34290" cy="1708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-320675</wp:posOffset>
            </wp:positionV>
            <wp:extent cx="33655" cy="3340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-320675</wp:posOffset>
            </wp:positionV>
            <wp:extent cx="34290" cy="3340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E: Inventories,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6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380" w:type="dxa"/>
            <w:vAlign w:val="bottom"/>
            <w:shd w:val="clear" w:color="auto" w:fill="007CBA"/>
          </w:tcPr>
          <w:p>
            <w:pPr>
              <w:spacing w:after="0"/>
              <w:rPr>
                <w:sz w:val="19"/>
                <w:szCs w:val="19"/>
                <w:color w:val="auto"/>
              </w:rPr>
            </w:pPr>
          </w:p>
        </w:tc>
      </w:tr>
      <w:tr>
        <w:trPr>
          <w:trHeight w:val="218"/>
        </w:trPr>
        <w:tc>
          <w:tcPr>
            <w:tcW w:w="73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18"/>
                <w:szCs w:val="18"/>
                <w:color w:val="auto"/>
              </w:rPr>
            </w:pPr>
          </w:p>
        </w:tc>
        <w:tc>
          <w:tcPr>
            <w:tcW w:w="138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tcBorders>
              <w:bottom w:val="single" w:sz="8" w:color="007CBA"/>
            </w:tcBorders>
            <w:shd w:val="clear" w:color="auto" w:fill="007CBA"/>
          </w:tcPr>
          <w:p>
            <w:pPr>
              <w:spacing w:after="0"/>
              <w:rPr>
                <w:sz w:val="18"/>
                <w:szCs w:val="18"/>
                <w:color w:val="auto"/>
              </w:rPr>
            </w:pPr>
          </w:p>
        </w:tc>
        <w:tc>
          <w:tcPr>
            <w:tcW w:w="1380" w:type="dxa"/>
            <w:vAlign w:val="bottom"/>
            <w:tcBorders>
              <w:bottom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color w:val="FFFFFF"/>
              </w:rPr>
              <w:t>2023</w:t>
            </w:r>
          </w:p>
        </w:tc>
      </w:tr>
      <w:tr>
        <w:trPr>
          <w:trHeight w:val="215"/>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Finished products</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1,327</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1,152</w:t>
            </w:r>
          </w:p>
        </w:tc>
      </w:tr>
      <w:tr>
        <w:trPr>
          <w:trHeight w:val="217"/>
        </w:trPr>
        <w:tc>
          <w:tcPr>
            <w:tcW w:w="73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Products in process</w:t>
            </w:r>
          </w:p>
        </w:tc>
        <w:tc>
          <w:tcPr>
            <w:tcW w:w="56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24</w:t>
            </w:r>
          </w:p>
        </w:tc>
        <w:tc>
          <w:tcPr>
            <w:tcW w:w="560" w:type="dxa"/>
            <w:vAlign w:val="bottom"/>
            <w:shd w:val="clear" w:color="auto" w:fill="E5F1F8"/>
          </w:tcPr>
          <w:p>
            <w:pPr>
              <w:spacing w:after="0"/>
              <w:rPr>
                <w:sz w:val="18"/>
                <w:szCs w:val="18"/>
                <w:color w:val="auto"/>
              </w:rPr>
            </w:pPr>
          </w:p>
        </w:tc>
        <w:tc>
          <w:tcPr>
            <w:tcW w:w="13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25</w:t>
            </w:r>
          </w:p>
        </w:tc>
      </w:tr>
      <w:tr>
        <w:trPr>
          <w:trHeight w:val="216"/>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Raw materials</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65</w:t>
            </w:r>
          </w:p>
        </w:tc>
        <w:tc>
          <w:tcPr>
            <w:tcW w:w="560" w:type="dxa"/>
            <w:vAlign w:val="bottom"/>
          </w:tcPr>
          <w:p>
            <w:pPr>
              <w:spacing w:after="0"/>
              <w:rPr>
                <w:sz w:val="18"/>
                <w:szCs w:val="18"/>
                <w:color w:val="auto"/>
              </w:rPr>
            </w:pP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60</w:t>
            </w:r>
          </w:p>
        </w:tc>
      </w:tr>
      <w:tr>
        <w:trPr>
          <w:trHeight w:val="215"/>
        </w:trPr>
        <w:tc>
          <w:tcPr>
            <w:tcW w:w="73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Supplies and expendable parts</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162</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155</w:t>
            </w:r>
          </w:p>
        </w:tc>
      </w:tr>
      <w:tr>
        <w:trPr>
          <w:trHeight w:val="210"/>
        </w:trPr>
        <w:tc>
          <w:tcPr>
            <w:tcW w:w="7360" w:type="dxa"/>
            <w:vAlign w:val="bottom"/>
            <w:tcBorders>
              <w:right w:val="single" w:sz="8" w:color="007CBA"/>
            </w:tcBorders>
          </w:tcPr>
          <w:p>
            <w:pPr>
              <w:ind w:left="120"/>
              <w:spacing w:after="0" w:line="210" w:lineRule="exact"/>
              <w:rPr>
                <w:sz w:val="20"/>
                <w:szCs w:val="20"/>
                <w:color w:val="auto"/>
              </w:rPr>
            </w:pPr>
            <w:r>
              <w:rPr>
                <w:rFonts w:ascii="Calibri" w:cs="Calibri" w:eastAsia="Calibri" w:hAnsi="Calibri"/>
                <w:sz w:val="18"/>
                <w:szCs w:val="18"/>
                <w:color w:val="auto"/>
              </w:rPr>
              <w:t>Total inventories</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0" w:lineRule="exact"/>
              <w:rPr>
                <w:sz w:val="20"/>
                <w:szCs w:val="20"/>
                <w:color w:val="auto"/>
              </w:rPr>
            </w:pPr>
            <w:r>
              <w:rPr>
                <w:rFonts w:ascii="Calibri" w:cs="Calibri" w:eastAsia="Calibri" w:hAnsi="Calibri"/>
                <w:sz w:val="18"/>
                <w:szCs w:val="18"/>
                <w:b w:val="1"/>
                <w:bCs w:val="1"/>
                <w:color w:val="auto"/>
              </w:rPr>
              <w:t>1,578</w:t>
            </w:r>
          </w:p>
        </w:tc>
        <w:tc>
          <w:tcPr>
            <w:tcW w:w="560" w:type="dxa"/>
            <w:vAlign w:val="bottom"/>
          </w:tcPr>
          <w:p>
            <w:pPr>
              <w:spacing w:after="0"/>
              <w:rPr>
                <w:sz w:val="18"/>
                <w:szCs w:val="18"/>
                <w:color w:val="auto"/>
              </w:rPr>
            </w:pPr>
          </w:p>
        </w:tc>
        <w:tc>
          <w:tcPr>
            <w:tcW w:w="138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rPr>
              <w:t>1,392</w:t>
            </w:r>
          </w:p>
        </w:tc>
      </w:tr>
      <w:tr>
        <w:trPr>
          <w:trHeight w:val="215"/>
        </w:trPr>
        <w:tc>
          <w:tcPr>
            <w:tcW w:w="73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allowances</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(463 )</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(403 )</w:t>
            </w:r>
          </w:p>
        </w:tc>
      </w:tr>
      <w:tr>
        <w:trPr>
          <w:trHeight w:val="210"/>
        </w:trPr>
        <w:tc>
          <w:tcPr>
            <w:tcW w:w="736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Inventories, net</w:t>
            </w:r>
          </w:p>
        </w:tc>
        <w:tc>
          <w:tcPr>
            <w:tcW w:w="560" w:type="dxa"/>
            <w:vAlign w:val="bottom"/>
            <w:tcBorders>
              <w:bottom w:val="single" w:sz="8" w:color="auto"/>
            </w:tcBorders>
          </w:tcPr>
          <w:p>
            <w:pPr>
              <w:jc w:val="right"/>
              <w:ind w:right="190"/>
              <w:spacing w:after="0" w:line="209"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1,115</w:t>
            </w:r>
          </w:p>
        </w:tc>
        <w:tc>
          <w:tcPr>
            <w:tcW w:w="560" w:type="dxa"/>
            <w:vAlign w:val="bottom"/>
            <w:tcBorders>
              <w:bottom w:val="single" w:sz="8" w:color="auto"/>
            </w:tcBorders>
          </w:tcPr>
          <w:p>
            <w:pPr>
              <w:jc w:val="right"/>
              <w:ind w:right="19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989</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205740</wp:posOffset>
            </wp:positionV>
            <wp:extent cx="325755" cy="1968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-603250</wp:posOffset>
            </wp:positionV>
            <wp:extent cx="33655" cy="1714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-603250</wp:posOffset>
            </wp:positionV>
            <wp:extent cx="34290" cy="1714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-320675</wp:posOffset>
            </wp:positionV>
            <wp:extent cx="33655" cy="3340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-320675</wp:posOffset>
            </wp:positionV>
            <wp:extent cx="34290" cy="3340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5" w:name="page86"/>
    <w:bookmarkEnd w:id="85"/>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F: Property, Plant and Equipment,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6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380" w:type="dxa"/>
            <w:vAlign w:val="bottom"/>
            <w:shd w:val="clear" w:color="auto" w:fill="007CBA"/>
          </w:tcPr>
          <w:p>
            <w:pPr>
              <w:spacing w:after="0"/>
              <w:rPr>
                <w:sz w:val="19"/>
                <w:szCs w:val="19"/>
                <w:color w:val="auto"/>
              </w:rPr>
            </w:pPr>
          </w:p>
        </w:tc>
      </w:tr>
      <w:tr>
        <w:trPr>
          <w:trHeight w:val="216"/>
        </w:trPr>
        <w:tc>
          <w:tcPr>
            <w:tcW w:w="73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shd w:val="clear" w:color="auto" w:fill="007CBA"/>
          </w:tcPr>
          <w:p>
            <w:pPr>
              <w:spacing w:after="0"/>
              <w:rPr>
                <w:sz w:val="18"/>
                <w:szCs w:val="18"/>
                <w:color w:val="auto"/>
              </w:rPr>
            </w:pPr>
          </w:p>
        </w:tc>
        <w:tc>
          <w:tcPr>
            <w:tcW w:w="1380" w:type="dxa"/>
            <w:vAlign w:val="bottom"/>
            <w:tcBorders>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shd w:val="clear" w:color="auto" w:fill="007CBA"/>
          </w:tcPr>
          <w:p>
            <w:pPr>
              <w:spacing w:after="0"/>
              <w:rPr>
                <w:sz w:val="18"/>
                <w:szCs w:val="18"/>
                <w:color w:val="auto"/>
              </w:rPr>
            </w:pPr>
          </w:p>
        </w:tc>
        <w:tc>
          <w:tcPr>
            <w:tcW w:w="1380" w:type="dxa"/>
            <w:vAlign w:val="bottom"/>
            <w:shd w:val="clear" w:color="auto" w:fill="007CBA"/>
          </w:tcPr>
          <w:p>
            <w:pPr>
              <w:jc w:val="right"/>
              <w:ind w:right="670"/>
              <w:spacing w:after="0" w:line="215" w:lineRule="exact"/>
              <w:rPr>
                <w:sz w:val="20"/>
                <w:szCs w:val="20"/>
                <w:color w:val="auto"/>
              </w:rPr>
            </w:pPr>
            <w:r>
              <w:rPr>
                <w:rFonts w:ascii="Calibri" w:cs="Calibri" w:eastAsia="Calibri" w:hAnsi="Calibri"/>
                <w:sz w:val="18"/>
                <w:szCs w:val="18"/>
                <w:color w:val="FFFFFF"/>
              </w:rPr>
              <w:t>2023</w:t>
            </w:r>
          </w:p>
        </w:tc>
      </w:tr>
      <w:tr>
        <w:trPr>
          <w:trHeight w:val="215"/>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Land and land improvements</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1,858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1,599</w:t>
            </w:r>
          </w:p>
        </w:tc>
      </w:tr>
      <w:tr>
        <w:trPr>
          <w:trHeight w:val="217"/>
        </w:trPr>
        <w:tc>
          <w:tcPr>
            <w:tcW w:w="73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Mineral reserves and interests</w:t>
            </w:r>
          </w:p>
        </w:tc>
        <w:tc>
          <w:tcPr>
            <w:tcW w:w="56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6,328</w:t>
            </w:r>
          </w:p>
        </w:tc>
        <w:tc>
          <w:tcPr>
            <w:tcW w:w="560" w:type="dxa"/>
            <w:vAlign w:val="bottom"/>
            <w:shd w:val="clear" w:color="auto" w:fill="E5F1F8"/>
          </w:tcPr>
          <w:p>
            <w:pPr>
              <w:spacing w:after="0"/>
              <w:rPr>
                <w:sz w:val="18"/>
                <w:szCs w:val="18"/>
                <w:color w:val="auto"/>
              </w:rPr>
            </w:pPr>
          </w:p>
        </w:tc>
        <w:tc>
          <w:tcPr>
            <w:tcW w:w="13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2,982</w:t>
            </w:r>
          </w:p>
        </w:tc>
      </w:tr>
      <w:tr>
        <w:trPr>
          <w:trHeight w:val="215"/>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Buildings</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175</w:t>
            </w:r>
          </w:p>
        </w:tc>
        <w:tc>
          <w:tcPr>
            <w:tcW w:w="560" w:type="dxa"/>
            <w:vAlign w:val="bottom"/>
          </w:tcPr>
          <w:p>
            <w:pPr>
              <w:spacing w:after="0"/>
              <w:rPr>
                <w:sz w:val="18"/>
                <w:szCs w:val="18"/>
                <w:color w:val="auto"/>
              </w:rPr>
            </w:pP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160</w:t>
            </w:r>
          </w:p>
        </w:tc>
      </w:tr>
      <w:tr>
        <w:trPr>
          <w:trHeight w:val="217"/>
        </w:trPr>
        <w:tc>
          <w:tcPr>
            <w:tcW w:w="73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Machinery and equipment</w:t>
            </w:r>
          </w:p>
        </w:tc>
        <w:tc>
          <w:tcPr>
            <w:tcW w:w="56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6,117</w:t>
            </w:r>
          </w:p>
        </w:tc>
        <w:tc>
          <w:tcPr>
            <w:tcW w:w="560" w:type="dxa"/>
            <w:vAlign w:val="bottom"/>
            <w:shd w:val="clear" w:color="auto" w:fill="E5F1F8"/>
          </w:tcPr>
          <w:p>
            <w:pPr>
              <w:spacing w:after="0"/>
              <w:rPr>
                <w:sz w:val="18"/>
                <w:szCs w:val="18"/>
                <w:color w:val="auto"/>
              </w:rPr>
            </w:pPr>
          </w:p>
        </w:tc>
        <w:tc>
          <w:tcPr>
            <w:tcW w:w="13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5,380</w:t>
            </w:r>
          </w:p>
        </w:tc>
      </w:tr>
      <w:tr>
        <w:trPr>
          <w:trHeight w:val="216"/>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Constructon in progress</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313</w:t>
            </w:r>
          </w:p>
        </w:tc>
        <w:tc>
          <w:tcPr>
            <w:tcW w:w="560" w:type="dxa"/>
            <w:vAlign w:val="bottom"/>
          </w:tcPr>
          <w:p>
            <w:pPr>
              <w:spacing w:after="0"/>
              <w:rPr>
                <w:sz w:val="18"/>
                <w:szCs w:val="18"/>
                <w:color w:val="auto"/>
              </w:rPr>
            </w:pP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333</w:t>
            </w:r>
          </w:p>
        </w:tc>
      </w:tr>
      <w:tr>
        <w:trPr>
          <w:trHeight w:val="215"/>
        </w:trPr>
        <w:tc>
          <w:tcPr>
            <w:tcW w:w="73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Finance lease right-of-use assets</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295</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254</w:t>
            </w:r>
          </w:p>
        </w:tc>
      </w:tr>
      <w:tr>
        <w:trPr>
          <w:trHeight w:val="210"/>
        </w:trPr>
        <w:tc>
          <w:tcPr>
            <w:tcW w:w="7360" w:type="dxa"/>
            <w:vAlign w:val="bottom"/>
            <w:tcBorders>
              <w:right w:val="single" w:sz="8" w:color="007CBA"/>
            </w:tcBorders>
          </w:tcPr>
          <w:p>
            <w:pPr>
              <w:ind w:left="120"/>
              <w:spacing w:after="0" w:line="210" w:lineRule="exact"/>
              <w:rPr>
                <w:sz w:val="20"/>
                <w:szCs w:val="20"/>
                <w:color w:val="auto"/>
              </w:rPr>
            </w:pPr>
            <w:r>
              <w:rPr>
                <w:rFonts w:ascii="Calibri" w:cs="Calibri" w:eastAsia="Calibri" w:hAnsi="Calibri"/>
                <w:sz w:val="18"/>
                <w:szCs w:val="18"/>
                <w:color w:val="auto"/>
              </w:rPr>
              <w:t>Total property, plant and equipment</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0" w:lineRule="exact"/>
              <w:rPr>
                <w:sz w:val="20"/>
                <w:szCs w:val="20"/>
                <w:color w:val="auto"/>
              </w:rPr>
            </w:pPr>
            <w:r>
              <w:rPr>
                <w:rFonts w:ascii="Calibri" w:cs="Calibri" w:eastAsia="Calibri" w:hAnsi="Calibri"/>
                <w:sz w:val="18"/>
                <w:szCs w:val="18"/>
                <w:b w:val="1"/>
                <w:bCs w:val="1"/>
                <w:color w:val="auto"/>
              </w:rPr>
              <w:t>15,086</w:t>
            </w:r>
          </w:p>
        </w:tc>
        <w:tc>
          <w:tcPr>
            <w:tcW w:w="560" w:type="dxa"/>
            <w:vAlign w:val="bottom"/>
          </w:tcPr>
          <w:p>
            <w:pPr>
              <w:spacing w:after="0"/>
              <w:rPr>
                <w:sz w:val="18"/>
                <w:szCs w:val="18"/>
                <w:color w:val="auto"/>
              </w:rPr>
            </w:pPr>
          </w:p>
        </w:tc>
        <w:tc>
          <w:tcPr>
            <w:tcW w:w="138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rPr>
              <w:t>10,708</w:t>
            </w:r>
          </w:p>
        </w:tc>
      </w:tr>
      <w:tr>
        <w:trPr>
          <w:trHeight w:val="215"/>
        </w:trPr>
        <w:tc>
          <w:tcPr>
            <w:tcW w:w="73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accumulated depreciaton, depleton and amortzaton</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(4,977 )</w:t>
            </w:r>
          </w:p>
        </w:tc>
        <w:tc>
          <w:tcPr>
            <w:tcW w:w="56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(4,522 )</w:t>
            </w:r>
          </w:p>
        </w:tc>
      </w:tr>
      <w:tr>
        <w:trPr>
          <w:trHeight w:val="210"/>
        </w:trPr>
        <w:tc>
          <w:tcPr>
            <w:tcW w:w="736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Property, plant and equipment, net</w:t>
            </w:r>
          </w:p>
        </w:tc>
        <w:tc>
          <w:tcPr>
            <w:tcW w:w="560" w:type="dxa"/>
            <w:vAlign w:val="bottom"/>
            <w:tcBorders>
              <w:bottom w:val="single" w:sz="8" w:color="auto"/>
            </w:tcBorders>
          </w:tcPr>
          <w:p>
            <w:pPr>
              <w:jc w:val="right"/>
              <w:ind w:right="190"/>
              <w:spacing w:after="0" w:line="209"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10,109</w:t>
            </w:r>
          </w:p>
        </w:tc>
        <w:tc>
          <w:tcPr>
            <w:tcW w:w="560" w:type="dxa"/>
            <w:vAlign w:val="bottom"/>
            <w:tcBorders>
              <w:bottom w:val="single" w:sz="8" w:color="auto"/>
            </w:tcBorders>
          </w:tcPr>
          <w:p>
            <w:pPr>
              <w:jc w:val="right"/>
              <w:ind w:right="19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6,186</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-603885</wp:posOffset>
            </wp:positionV>
            <wp:extent cx="33655" cy="1714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-603885</wp:posOffset>
            </wp:positionV>
            <wp:extent cx="34290" cy="1714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-320675</wp:posOffset>
            </wp:positionV>
            <wp:extent cx="33655" cy="3340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-320675</wp:posOffset>
            </wp:positionV>
            <wp:extent cx="34290" cy="3340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depleton and amortzaton expense related to property, plant and equipment was $540 million, $480 million and $473 million for the years ended December 31, 2024, 2023 and 2022, respectvely. Depreciaton, depleton and amortzaton expense includes amortzaton of right-of-use assets from fnance leases.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both December 31, 2024 and 2023, $40 million of the Building Materials business’ property, plant and equipment, net, were located in The Bahamas and Canada.</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G: Debt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600" w:type="dxa"/>
            <w:vAlign w:val="bottom"/>
            <w:shd w:val="clear" w:color="auto" w:fill="007CBA"/>
          </w:tcPr>
          <w:p>
            <w:pPr>
              <w:spacing w:after="0"/>
              <w:rPr>
                <w:sz w:val="19"/>
                <w:szCs w:val="19"/>
                <w:color w:val="auto"/>
              </w:rPr>
            </w:pPr>
          </w:p>
        </w:tc>
        <w:tc>
          <w:tcPr>
            <w:tcW w:w="1480" w:type="dxa"/>
            <w:vAlign w:val="bottom"/>
            <w:tcBorders>
              <w:right w:val="single" w:sz="8" w:color="007CBA"/>
            </w:tcBorders>
            <w:shd w:val="clear" w:color="auto" w:fill="007CBA"/>
          </w:tcPr>
          <w:p>
            <w:pPr>
              <w:spacing w:after="0"/>
              <w:rPr>
                <w:sz w:val="19"/>
                <w:szCs w:val="19"/>
                <w:color w:val="auto"/>
              </w:rPr>
            </w:pPr>
          </w:p>
        </w:tc>
        <w:tc>
          <w:tcPr>
            <w:tcW w:w="580" w:type="dxa"/>
            <w:vAlign w:val="bottom"/>
            <w:shd w:val="clear" w:color="auto" w:fill="007CBA"/>
          </w:tcPr>
          <w:p>
            <w:pPr>
              <w:spacing w:after="0"/>
              <w:rPr>
                <w:sz w:val="19"/>
                <w:szCs w:val="19"/>
                <w:color w:val="auto"/>
              </w:rPr>
            </w:pPr>
          </w:p>
        </w:tc>
        <w:tc>
          <w:tcPr>
            <w:tcW w:w="1460" w:type="dxa"/>
            <w:vAlign w:val="bottom"/>
            <w:shd w:val="clear" w:color="auto" w:fill="007CBA"/>
          </w:tcPr>
          <w:p>
            <w:pPr>
              <w:spacing w:after="0"/>
              <w:rPr>
                <w:sz w:val="19"/>
                <w:szCs w:val="19"/>
                <w:color w:val="auto"/>
              </w:rPr>
            </w:pPr>
          </w:p>
        </w:tc>
      </w:tr>
      <w:tr>
        <w:trPr>
          <w:trHeight w:val="232"/>
        </w:trPr>
        <w:tc>
          <w:tcPr>
            <w:tcW w:w="712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600" w:type="dxa"/>
            <w:vAlign w:val="bottom"/>
            <w:tcBorders>
              <w:bottom w:val="single" w:sz="8" w:color="007CBA"/>
            </w:tcBorders>
            <w:shd w:val="clear" w:color="auto" w:fill="007CBA"/>
          </w:tcPr>
          <w:p>
            <w:pPr>
              <w:spacing w:after="0"/>
              <w:rPr>
                <w:sz w:val="20"/>
                <w:szCs w:val="20"/>
                <w:color w:val="auto"/>
              </w:rPr>
            </w:pPr>
          </w:p>
        </w:tc>
        <w:tc>
          <w:tcPr>
            <w:tcW w:w="1480" w:type="dxa"/>
            <w:vAlign w:val="bottom"/>
            <w:tcBorders>
              <w:bottom w:val="single" w:sz="8" w:color="007CBA"/>
              <w:right w:val="single" w:sz="8" w:color="007CBA"/>
            </w:tcBorders>
            <w:shd w:val="clear" w:color="auto" w:fill="007CBA"/>
          </w:tcPr>
          <w:p>
            <w:pPr>
              <w:jc w:val="right"/>
              <w:ind w:right="730"/>
              <w:spacing w:after="0" w:line="215" w:lineRule="exact"/>
              <w:rPr>
                <w:sz w:val="20"/>
                <w:szCs w:val="20"/>
                <w:color w:val="auto"/>
              </w:rPr>
            </w:pPr>
            <w:r>
              <w:rPr>
                <w:rFonts w:ascii="Calibri" w:cs="Calibri" w:eastAsia="Calibri" w:hAnsi="Calibri"/>
                <w:sz w:val="18"/>
                <w:szCs w:val="18"/>
                <w:b w:val="1"/>
                <w:bCs w:val="1"/>
                <w:color w:val="FFFFFF"/>
              </w:rPr>
              <w:t>2024</w:t>
            </w:r>
          </w:p>
        </w:tc>
        <w:tc>
          <w:tcPr>
            <w:tcW w:w="580" w:type="dxa"/>
            <w:vAlign w:val="bottom"/>
            <w:tcBorders>
              <w:bottom w:val="single" w:sz="8" w:color="007CBA"/>
            </w:tcBorders>
            <w:shd w:val="clear" w:color="auto" w:fill="007CBA"/>
          </w:tcPr>
          <w:p>
            <w:pPr>
              <w:spacing w:after="0"/>
              <w:rPr>
                <w:sz w:val="20"/>
                <w:szCs w:val="20"/>
                <w:color w:val="auto"/>
              </w:rPr>
            </w:pPr>
          </w:p>
        </w:tc>
        <w:tc>
          <w:tcPr>
            <w:tcW w:w="1460" w:type="dxa"/>
            <w:vAlign w:val="bottom"/>
            <w:tcBorders>
              <w:bottom w:val="single" w:sz="8" w:color="007CBA"/>
            </w:tcBorders>
            <w:shd w:val="clear" w:color="auto" w:fill="007CBA"/>
          </w:tcPr>
          <w:p>
            <w:pPr>
              <w:jc w:val="right"/>
              <w:ind w:right="710"/>
              <w:spacing w:after="0" w:line="215" w:lineRule="exact"/>
              <w:rPr>
                <w:sz w:val="20"/>
                <w:szCs w:val="20"/>
                <w:color w:val="auto"/>
              </w:rPr>
            </w:pPr>
            <w:r>
              <w:rPr>
                <w:rFonts w:ascii="Calibri" w:cs="Calibri" w:eastAsia="Calibri" w:hAnsi="Calibri"/>
                <w:sz w:val="18"/>
                <w:szCs w:val="18"/>
                <w:color w:val="FFFFFF"/>
              </w:rPr>
              <w:t>2023</w:t>
            </w:r>
          </w:p>
        </w:tc>
      </w:tr>
      <w:tr>
        <w:trPr>
          <w:trHeight w:val="215"/>
        </w:trPr>
        <w:tc>
          <w:tcPr>
            <w:tcW w:w="71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4.250% Senior Notes, due 2024</w:t>
            </w:r>
          </w:p>
        </w:tc>
        <w:tc>
          <w:tcPr>
            <w:tcW w:w="60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w:t>
            </w:r>
          </w:p>
        </w:tc>
        <w:tc>
          <w:tcPr>
            <w:tcW w:w="14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400</w:t>
            </w:r>
          </w:p>
        </w:tc>
      </w:tr>
      <w:tr>
        <w:trPr>
          <w:trHeight w:val="217"/>
        </w:trPr>
        <w:tc>
          <w:tcPr>
            <w:tcW w:w="712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7% Debentures, due 2025</w:t>
            </w:r>
          </w:p>
        </w:tc>
        <w:tc>
          <w:tcPr>
            <w:tcW w:w="600" w:type="dxa"/>
            <w:vAlign w:val="bottom"/>
            <w:shd w:val="clear" w:color="auto" w:fill="E5F1F8"/>
          </w:tcPr>
          <w:p>
            <w:pPr>
              <w:spacing w:after="0"/>
              <w:rPr>
                <w:sz w:val="18"/>
                <w:szCs w:val="18"/>
                <w:color w:val="auto"/>
              </w:rPr>
            </w:pPr>
          </w:p>
        </w:tc>
        <w:tc>
          <w:tcPr>
            <w:tcW w:w="14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125</w:t>
            </w:r>
          </w:p>
        </w:tc>
        <w:tc>
          <w:tcPr>
            <w:tcW w:w="580" w:type="dxa"/>
            <w:vAlign w:val="bottom"/>
            <w:shd w:val="clear" w:color="auto" w:fill="E5F1F8"/>
          </w:tcPr>
          <w:p>
            <w:pPr>
              <w:spacing w:after="0"/>
              <w:rPr>
                <w:sz w:val="18"/>
                <w:szCs w:val="18"/>
                <w:color w:val="auto"/>
              </w:rPr>
            </w:pPr>
          </w:p>
        </w:tc>
        <w:tc>
          <w:tcPr>
            <w:tcW w:w="14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125</w:t>
            </w:r>
          </w:p>
        </w:tc>
      </w:tr>
      <w:tr>
        <w:trPr>
          <w:trHeight w:val="215"/>
        </w:trPr>
        <w:tc>
          <w:tcPr>
            <w:tcW w:w="71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3.450% Senior Notes, due 2027</w:t>
            </w:r>
          </w:p>
        </w:tc>
        <w:tc>
          <w:tcPr>
            <w:tcW w:w="600" w:type="dxa"/>
            <w:vAlign w:val="bottom"/>
          </w:tcPr>
          <w:p>
            <w:pPr>
              <w:spacing w:after="0"/>
              <w:rPr>
                <w:sz w:val="18"/>
                <w:szCs w:val="18"/>
                <w:color w:val="auto"/>
              </w:rPr>
            </w:pPr>
          </w:p>
        </w:tc>
        <w:tc>
          <w:tcPr>
            <w:tcW w:w="14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299</w:t>
            </w:r>
          </w:p>
        </w:tc>
        <w:tc>
          <w:tcPr>
            <w:tcW w:w="580" w:type="dxa"/>
            <w:vAlign w:val="bottom"/>
          </w:tcPr>
          <w:p>
            <w:pPr>
              <w:spacing w:after="0"/>
              <w:rPr>
                <w:sz w:val="18"/>
                <w:szCs w:val="18"/>
                <w:color w:val="auto"/>
              </w:rPr>
            </w:pPr>
          </w:p>
        </w:tc>
        <w:tc>
          <w:tcPr>
            <w:tcW w:w="14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299</w:t>
            </w:r>
          </w:p>
        </w:tc>
      </w:tr>
      <w:tr>
        <w:trPr>
          <w:trHeight w:val="217"/>
        </w:trPr>
        <w:tc>
          <w:tcPr>
            <w:tcW w:w="712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3.500% Senior Notes, due 2027</w:t>
            </w:r>
          </w:p>
        </w:tc>
        <w:tc>
          <w:tcPr>
            <w:tcW w:w="600" w:type="dxa"/>
            <w:vAlign w:val="bottom"/>
            <w:shd w:val="clear" w:color="auto" w:fill="E5F1F8"/>
          </w:tcPr>
          <w:p>
            <w:pPr>
              <w:spacing w:after="0"/>
              <w:rPr>
                <w:sz w:val="18"/>
                <w:szCs w:val="18"/>
                <w:color w:val="auto"/>
              </w:rPr>
            </w:pPr>
          </w:p>
        </w:tc>
        <w:tc>
          <w:tcPr>
            <w:tcW w:w="14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493</w:t>
            </w:r>
          </w:p>
        </w:tc>
        <w:tc>
          <w:tcPr>
            <w:tcW w:w="580" w:type="dxa"/>
            <w:vAlign w:val="bottom"/>
            <w:shd w:val="clear" w:color="auto" w:fill="E5F1F8"/>
          </w:tcPr>
          <w:p>
            <w:pPr>
              <w:spacing w:after="0"/>
              <w:rPr>
                <w:sz w:val="18"/>
                <w:szCs w:val="18"/>
                <w:color w:val="auto"/>
              </w:rPr>
            </w:pPr>
          </w:p>
        </w:tc>
        <w:tc>
          <w:tcPr>
            <w:tcW w:w="14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492</w:t>
            </w:r>
          </w:p>
        </w:tc>
      </w:tr>
      <w:tr>
        <w:trPr>
          <w:trHeight w:val="215"/>
        </w:trPr>
        <w:tc>
          <w:tcPr>
            <w:tcW w:w="71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2.500% Senior Notes, due 2030</w:t>
            </w:r>
          </w:p>
        </w:tc>
        <w:tc>
          <w:tcPr>
            <w:tcW w:w="600" w:type="dxa"/>
            <w:vAlign w:val="bottom"/>
          </w:tcPr>
          <w:p>
            <w:pPr>
              <w:spacing w:after="0"/>
              <w:rPr>
                <w:sz w:val="18"/>
                <w:szCs w:val="18"/>
                <w:color w:val="auto"/>
              </w:rPr>
            </w:pPr>
          </w:p>
        </w:tc>
        <w:tc>
          <w:tcPr>
            <w:tcW w:w="14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472</w:t>
            </w:r>
          </w:p>
        </w:tc>
        <w:tc>
          <w:tcPr>
            <w:tcW w:w="580" w:type="dxa"/>
            <w:vAlign w:val="bottom"/>
          </w:tcPr>
          <w:p>
            <w:pPr>
              <w:spacing w:after="0"/>
              <w:rPr>
                <w:sz w:val="18"/>
                <w:szCs w:val="18"/>
                <w:color w:val="auto"/>
              </w:rPr>
            </w:pPr>
          </w:p>
        </w:tc>
        <w:tc>
          <w:tcPr>
            <w:tcW w:w="14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472</w:t>
            </w:r>
          </w:p>
        </w:tc>
      </w:tr>
      <w:tr>
        <w:trPr>
          <w:trHeight w:val="217"/>
        </w:trPr>
        <w:tc>
          <w:tcPr>
            <w:tcW w:w="712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2.400% Senior Notes, due 2031</w:t>
            </w:r>
          </w:p>
        </w:tc>
        <w:tc>
          <w:tcPr>
            <w:tcW w:w="600" w:type="dxa"/>
            <w:vAlign w:val="bottom"/>
            <w:shd w:val="clear" w:color="auto" w:fill="E5F1F8"/>
          </w:tcPr>
          <w:p>
            <w:pPr>
              <w:spacing w:after="0"/>
              <w:rPr>
                <w:sz w:val="18"/>
                <w:szCs w:val="18"/>
                <w:color w:val="auto"/>
              </w:rPr>
            </w:pPr>
          </w:p>
        </w:tc>
        <w:tc>
          <w:tcPr>
            <w:tcW w:w="14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890</w:t>
            </w:r>
          </w:p>
        </w:tc>
        <w:tc>
          <w:tcPr>
            <w:tcW w:w="580" w:type="dxa"/>
            <w:vAlign w:val="bottom"/>
            <w:shd w:val="clear" w:color="auto" w:fill="E5F1F8"/>
          </w:tcPr>
          <w:p>
            <w:pPr>
              <w:spacing w:after="0"/>
              <w:rPr>
                <w:sz w:val="18"/>
                <w:szCs w:val="18"/>
                <w:color w:val="auto"/>
              </w:rPr>
            </w:pPr>
          </w:p>
        </w:tc>
        <w:tc>
          <w:tcPr>
            <w:tcW w:w="14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890</w:t>
            </w:r>
          </w:p>
        </w:tc>
      </w:tr>
      <w:tr>
        <w:trPr>
          <w:trHeight w:val="215"/>
        </w:trPr>
        <w:tc>
          <w:tcPr>
            <w:tcW w:w="71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5.150% Senior Notes, due 2034</w:t>
            </w:r>
          </w:p>
        </w:tc>
        <w:tc>
          <w:tcPr>
            <w:tcW w:w="600" w:type="dxa"/>
            <w:vAlign w:val="bottom"/>
          </w:tcPr>
          <w:p>
            <w:pPr>
              <w:spacing w:after="0"/>
              <w:rPr>
                <w:sz w:val="18"/>
                <w:szCs w:val="18"/>
                <w:color w:val="auto"/>
              </w:rPr>
            </w:pPr>
          </w:p>
        </w:tc>
        <w:tc>
          <w:tcPr>
            <w:tcW w:w="14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738</w:t>
            </w:r>
          </w:p>
        </w:tc>
        <w:tc>
          <w:tcPr>
            <w:tcW w:w="580" w:type="dxa"/>
            <w:vAlign w:val="bottom"/>
          </w:tcPr>
          <w:p>
            <w:pPr>
              <w:spacing w:after="0"/>
              <w:rPr>
                <w:sz w:val="18"/>
                <w:szCs w:val="18"/>
                <w:color w:val="auto"/>
              </w:rPr>
            </w:pPr>
          </w:p>
        </w:tc>
        <w:tc>
          <w:tcPr>
            <w:tcW w:w="1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12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6.25% Senior Notes, due 2037</w:t>
            </w:r>
          </w:p>
        </w:tc>
        <w:tc>
          <w:tcPr>
            <w:tcW w:w="600" w:type="dxa"/>
            <w:vAlign w:val="bottom"/>
            <w:shd w:val="clear" w:color="auto" w:fill="E5F1F8"/>
          </w:tcPr>
          <w:p>
            <w:pPr>
              <w:spacing w:after="0"/>
              <w:rPr>
                <w:sz w:val="18"/>
                <w:szCs w:val="18"/>
                <w:color w:val="auto"/>
              </w:rPr>
            </w:pPr>
          </w:p>
        </w:tc>
        <w:tc>
          <w:tcPr>
            <w:tcW w:w="14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228</w:t>
            </w:r>
          </w:p>
        </w:tc>
        <w:tc>
          <w:tcPr>
            <w:tcW w:w="580" w:type="dxa"/>
            <w:vAlign w:val="bottom"/>
            <w:shd w:val="clear" w:color="auto" w:fill="E5F1F8"/>
          </w:tcPr>
          <w:p>
            <w:pPr>
              <w:spacing w:after="0"/>
              <w:rPr>
                <w:sz w:val="18"/>
                <w:szCs w:val="18"/>
                <w:color w:val="auto"/>
              </w:rPr>
            </w:pPr>
          </w:p>
        </w:tc>
        <w:tc>
          <w:tcPr>
            <w:tcW w:w="14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228</w:t>
            </w:r>
          </w:p>
        </w:tc>
      </w:tr>
      <w:tr>
        <w:trPr>
          <w:trHeight w:val="215"/>
        </w:trPr>
        <w:tc>
          <w:tcPr>
            <w:tcW w:w="71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4.250% Senior Notes, due 2047</w:t>
            </w:r>
          </w:p>
        </w:tc>
        <w:tc>
          <w:tcPr>
            <w:tcW w:w="600" w:type="dxa"/>
            <w:vAlign w:val="bottom"/>
          </w:tcPr>
          <w:p>
            <w:pPr>
              <w:spacing w:after="0"/>
              <w:rPr>
                <w:sz w:val="18"/>
                <w:szCs w:val="18"/>
                <w:color w:val="auto"/>
              </w:rPr>
            </w:pPr>
          </w:p>
        </w:tc>
        <w:tc>
          <w:tcPr>
            <w:tcW w:w="14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591</w:t>
            </w:r>
          </w:p>
        </w:tc>
        <w:tc>
          <w:tcPr>
            <w:tcW w:w="580" w:type="dxa"/>
            <w:vAlign w:val="bottom"/>
          </w:tcPr>
          <w:p>
            <w:pPr>
              <w:spacing w:after="0"/>
              <w:rPr>
                <w:sz w:val="18"/>
                <w:szCs w:val="18"/>
                <w:color w:val="auto"/>
              </w:rPr>
            </w:pPr>
          </w:p>
        </w:tc>
        <w:tc>
          <w:tcPr>
            <w:tcW w:w="14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590</w:t>
            </w:r>
          </w:p>
        </w:tc>
      </w:tr>
      <w:tr>
        <w:trPr>
          <w:trHeight w:val="217"/>
        </w:trPr>
        <w:tc>
          <w:tcPr>
            <w:tcW w:w="712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3.200% Senior Notes, due 2051</w:t>
            </w:r>
          </w:p>
        </w:tc>
        <w:tc>
          <w:tcPr>
            <w:tcW w:w="600" w:type="dxa"/>
            <w:vAlign w:val="bottom"/>
            <w:shd w:val="clear" w:color="auto" w:fill="E5F1F8"/>
          </w:tcPr>
          <w:p>
            <w:pPr>
              <w:spacing w:after="0"/>
              <w:rPr>
                <w:sz w:val="18"/>
                <w:szCs w:val="18"/>
                <w:color w:val="auto"/>
              </w:rPr>
            </w:pPr>
          </w:p>
        </w:tc>
        <w:tc>
          <w:tcPr>
            <w:tcW w:w="148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851</w:t>
            </w:r>
          </w:p>
        </w:tc>
        <w:tc>
          <w:tcPr>
            <w:tcW w:w="580" w:type="dxa"/>
            <w:vAlign w:val="bottom"/>
            <w:shd w:val="clear" w:color="auto" w:fill="E5F1F8"/>
          </w:tcPr>
          <w:p>
            <w:pPr>
              <w:spacing w:after="0"/>
              <w:rPr>
                <w:sz w:val="18"/>
                <w:szCs w:val="18"/>
                <w:color w:val="auto"/>
              </w:rPr>
            </w:pPr>
          </w:p>
        </w:tc>
        <w:tc>
          <w:tcPr>
            <w:tcW w:w="14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850</w:t>
            </w:r>
          </w:p>
        </w:tc>
      </w:tr>
      <w:tr>
        <w:trPr>
          <w:trHeight w:val="215"/>
        </w:trPr>
        <w:tc>
          <w:tcPr>
            <w:tcW w:w="71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5.500% Senior Notes, due 2054</w:t>
            </w:r>
          </w:p>
        </w:tc>
        <w:tc>
          <w:tcPr>
            <w:tcW w:w="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726</w:t>
            </w:r>
          </w:p>
        </w:tc>
        <w:tc>
          <w:tcPr>
            <w:tcW w:w="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0"/>
        </w:trPr>
        <w:tc>
          <w:tcPr>
            <w:tcW w:w="7120" w:type="dxa"/>
            <w:vAlign w:val="bottom"/>
            <w:tcBorders>
              <w:right w:val="single" w:sz="8" w:color="007CBA"/>
            </w:tcBorders>
            <w:shd w:val="clear" w:color="auto" w:fill="E5F1F8"/>
          </w:tcPr>
          <w:p>
            <w:pPr>
              <w:ind w:left="120"/>
              <w:spacing w:after="0" w:line="210" w:lineRule="exact"/>
              <w:rPr>
                <w:sz w:val="20"/>
                <w:szCs w:val="20"/>
                <w:color w:val="auto"/>
              </w:rPr>
            </w:pPr>
            <w:r>
              <w:rPr>
                <w:rFonts w:ascii="Calibri" w:cs="Calibri" w:eastAsia="Calibri" w:hAnsi="Calibri"/>
                <w:sz w:val="18"/>
                <w:szCs w:val="18"/>
                <w:color w:val="auto"/>
              </w:rPr>
              <w:t>Total debt</w:t>
            </w:r>
          </w:p>
        </w:tc>
        <w:tc>
          <w:tcPr>
            <w:tcW w:w="600" w:type="dxa"/>
            <w:vAlign w:val="bottom"/>
            <w:shd w:val="clear" w:color="auto" w:fill="E5F1F8"/>
          </w:tcPr>
          <w:p>
            <w:pPr>
              <w:spacing w:after="0"/>
              <w:rPr>
                <w:sz w:val="18"/>
                <w:szCs w:val="18"/>
                <w:color w:val="auto"/>
              </w:rPr>
            </w:pPr>
          </w:p>
        </w:tc>
        <w:tc>
          <w:tcPr>
            <w:tcW w:w="148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b w:val="1"/>
                <w:bCs w:val="1"/>
                <w:color w:val="auto"/>
              </w:rPr>
              <w:t>5,413</w:t>
            </w:r>
          </w:p>
        </w:tc>
        <w:tc>
          <w:tcPr>
            <w:tcW w:w="580" w:type="dxa"/>
            <w:vAlign w:val="bottom"/>
            <w:shd w:val="clear" w:color="auto" w:fill="E5F1F8"/>
          </w:tcPr>
          <w:p>
            <w:pPr>
              <w:spacing w:after="0"/>
              <w:rPr>
                <w:sz w:val="18"/>
                <w:szCs w:val="18"/>
                <w:color w:val="auto"/>
              </w:rPr>
            </w:pPr>
          </w:p>
        </w:tc>
        <w:tc>
          <w:tcPr>
            <w:tcW w:w="1460" w:type="dxa"/>
            <w:vAlign w:val="bottom"/>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4,346</w:t>
            </w:r>
          </w:p>
        </w:tc>
      </w:tr>
      <w:tr>
        <w:trPr>
          <w:trHeight w:val="215"/>
        </w:trPr>
        <w:tc>
          <w:tcPr>
            <w:tcW w:w="71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Less: current maturites</w:t>
            </w:r>
          </w:p>
        </w:tc>
        <w:tc>
          <w:tcPr>
            <w:tcW w:w="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(125 )</w:t>
            </w:r>
          </w:p>
        </w:tc>
        <w:tc>
          <w:tcPr>
            <w:tcW w:w="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(400 )</w:t>
            </w:r>
          </w:p>
        </w:tc>
      </w:tr>
      <w:tr>
        <w:trPr>
          <w:trHeight w:val="250"/>
        </w:trPr>
        <w:tc>
          <w:tcPr>
            <w:tcW w:w="712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Long-term debt</w:t>
            </w:r>
          </w:p>
        </w:tc>
        <w:tc>
          <w:tcPr>
            <w:tcW w:w="600" w:type="dxa"/>
            <w:vAlign w:val="bottom"/>
            <w:tcBorders>
              <w:bottom w:val="single" w:sz="8" w:color="auto"/>
            </w:tcBorders>
            <w:shd w:val="clear" w:color="auto" w:fill="E5F1F8"/>
          </w:tcPr>
          <w:p>
            <w:pPr>
              <w:jc w:val="right"/>
              <w:ind w:right="210"/>
              <w:spacing w:after="0" w:line="209" w:lineRule="exact"/>
              <w:rPr>
                <w:sz w:val="20"/>
                <w:szCs w:val="20"/>
                <w:color w:val="auto"/>
              </w:rPr>
            </w:pPr>
            <w:r>
              <w:rPr>
                <w:rFonts w:ascii="Calibri" w:cs="Calibri" w:eastAsia="Calibri" w:hAnsi="Calibri"/>
                <w:sz w:val="18"/>
                <w:szCs w:val="18"/>
                <w:b w:val="1"/>
                <w:bCs w:val="1"/>
                <w:color w:val="auto"/>
              </w:rPr>
              <w:t>$</w:t>
            </w:r>
          </w:p>
        </w:tc>
        <w:tc>
          <w:tcPr>
            <w:tcW w:w="148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5,288</w:t>
            </w:r>
          </w:p>
        </w:tc>
        <w:tc>
          <w:tcPr>
            <w:tcW w:w="580" w:type="dxa"/>
            <w:vAlign w:val="bottom"/>
            <w:tcBorders>
              <w:bottom w:val="single" w:sz="8" w:color="auto"/>
            </w:tcBorders>
            <w:shd w:val="clear" w:color="auto" w:fill="E5F1F8"/>
          </w:tcPr>
          <w:p>
            <w:pPr>
              <w:jc w:val="right"/>
              <w:ind w:right="190"/>
              <w:spacing w:after="0" w:line="209"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3,946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1460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-603250</wp:posOffset>
            </wp:positionV>
            <wp:extent cx="33655" cy="1708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-603250</wp:posOffset>
            </wp:positionV>
            <wp:extent cx="33655" cy="1708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-320675</wp:posOffset>
            </wp:positionV>
            <wp:extent cx="33655" cy="3340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-320675</wp:posOffset>
            </wp:positionV>
            <wp:extent cx="33655" cy="3340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On July 2, 2024, the Company used available liquidity to repay the $400 million of 4.250% Senior Notes at maturity.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November 4, 2024, the Company issued $750 million aggregate principal amount of 5.150% Senior Notes due 2034 (the 5.150% Senior Notes due 2034) and $750 million aggregate principal amount of 5.500% Senior Notes due 2054 (the 5.500% Senior Notes due 2054) pursuant to a base indenture, dated as of May 22, 2017 (the Base Indenture), as amended and supplemented from tme to tme, including by the Fifh Supplemental Indenture, dated as of November 4, 2024, and, together with the Base Indenture (the Indenture) between the Company and Regions Bank, as trustee, governing these notes. On the consolidated balance sheets, the 5.150% Senior Notes due 2034 and 5.500% Senior Notes due 2054 are carried net of original issue discount, which will be amortzed using the efectve interest method over the terms of the issues. A porton of the net proceeds of the 5.150% Senior Notes due 2034 and 5.500% Senior Notes due 2054 were used for the repayment of all borrowings outstanding under the Company’s short-term borrowing facilites. The remaining net proceeds were used for general corporate purposes, including acquisitons, land purchases and other capital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86995</wp:posOffset>
            </wp:positionV>
            <wp:extent cx="325755" cy="1968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6" w:name="page87"/>
    <w:bookmarkEnd w:id="86"/>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Prior to September 1, 2034, with respect to the 5.150% Senior Notes due 2034, and prior to June 1, 2054, with respect to the 5.500% Senior Notes due 2054 (each, a Par Call Date), the Company may redeem the notes of a series, at its opton, in whole or in part, at any tme or from tme to tme, at a redempton price equal to the greater of: (i) (a) the sum of the present values of the remaining scheduled payments of principal and interest thereon discounted to the redempton date (assuming the notes of such series are scheduled to mature on the applicable Par Call Date) on a semi-annual basis at the applicable Treasury Rate (as defned in the Indenture) plus 15 basis points, in the case of the 5.150% Senior Notes due 2034, and 20 basis points, in the case of the 5.500% Senior Notes due 2054, less (b) interest accrued to, but excluding, the redempton date, and (ii) 100% of the principal amount of the notes of the applicable series to be redeemed, plus, in either case, accrued and unpaid interest thereon to, but excluding, the redempton date. On or afer the applicable Par Call Date and prior to maturity, the Company may redeem the note of a series, in whole or in part, at any tme and from tme to tme, at a redempton price equal to 100% of the principal amount of the notes of such series being redeemed plus accrued and unpaid interest thereon to, but excluding, the redempton date.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7% Debentures due 2025, 3.450% Senior Notes due 2027, 3.500% Senior Notes due 2027, 2.500% Senior Notes due 2030, 2.400% Senior Notes due 2031, 5.150% Senior Notes due 2034, 6.25% Senior Notes due 2037, 4.250% Senior Notes due 2047, 3.200% Senior Notes due 2051 and 5.500% Senior Notes due 2054 (collectvely, the Senior Notes) are senior unsecured obligatons of the Company, ranking equal in right of payment with the Company’s existng and future unsubordinated indebtedness. The Senior Notes, with the excepton of the 7% Debentures due 2025 and the 6.25% Senior Notes due 2037, are redeemable prior to their respectve par call dates, as defned, at a make-whole redempton price, and at a price equal to 100% of the principal amount afer their respectve par call dates and prior to their respectve maturity dates. The 6.25% Senior Notes due 2037 are redeemable in whole at any tme or in part from tme to tme at a make-whole redempton price. Upon a change-of-control repurchase event and a resultng below-investment-grade credit ratng, the Company would be required to make an ofer to repurchase all outstanding Senior Notes, with the excepton of the 7% Debentures due 2025, at a price in cash equal to 101% of the principal amount of the Senior Notes, plus any accrued and unpaid interest.</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Senior Notes are carried net of original issue discount, which is being amortzed by the efectve interest method over the life of the issue. The principal amount as of December 31, 2024, efectve interest rate and maturity date for the Senior Notes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220" w:type="dxa"/>
            <w:vAlign w:val="bottom"/>
            <w:tcBorders>
              <w:right w:val="single" w:sz="8" w:color="007CBA"/>
            </w:tcBorders>
            <w:shd w:val="clear" w:color="auto" w:fill="007CBA"/>
          </w:tcPr>
          <w:p>
            <w:pPr>
              <w:jc w:val="center"/>
              <w:ind w:right="210"/>
              <w:spacing w:after="0"/>
              <w:rPr>
                <w:sz w:val="20"/>
                <w:szCs w:val="20"/>
                <w:color w:val="auto"/>
              </w:rPr>
            </w:pPr>
            <w:r>
              <w:rPr>
                <w:rFonts w:ascii="Calibri" w:cs="Calibri" w:eastAsia="Calibri" w:hAnsi="Calibri"/>
                <w:sz w:val="18"/>
                <w:szCs w:val="18"/>
                <w:b w:val="1"/>
                <w:bCs w:val="1"/>
                <w:color w:val="FFFFFF"/>
                <w:w w:val="98"/>
              </w:rPr>
              <w:t>Principal</w:t>
            </w:r>
          </w:p>
        </w:tc>
        <w:tc>
          <w:tcPr>
            <w:tcW w:w="2380" w:type="dxa"/>
            <w:vAlign w:val="bottom"/>
            <w:tcBorders>
              <w:right w:val="single" w:sz="8" w:color="007CBA"/>
            </w:tcBorders>
            <w:shd w:val="clear" w:color="auto" w:fill="007CBA"/>
          </w:tcPr>
          <w:p>
            <w:pPr>
              <w:jc w:val="center"/>
              <w:ind w:left="50"/>
              <w:spacing w:after="0"/>
              <w:rPr>
                <w:sz w:val="20"/>
                <w:szCs w:val="20"/>
                <w:color w:val="auto"/>
              </w:rPr>
            </w:pPr>
            <w:r>
              <w:rPr>
                <w:rFonts w:ascii="Calibri" w:cs="Calibri" w:eastAsia="Calibri" w:hAnsi="Calibri"/>
                <w:sz w:val="18"/>
                <w:szCs w:val="18"/>
                <w:b w:val="1"/>
                <w:bCs w:val="1"/>
                <w:color w:val="FFFFFF"/>
              </w:rPr>
              <w:t>Efectve</w:t>
            </w:r>
          </w:p>
        </w:tc>
        <w:tc>
          <w:tcPr>
            <w:tcW w:w="2360" w:type="dxa"/>
            <w:vAlign w:val="bottom"/>
            <w:shd w:val="clear" w:color="auto" w:fill="007CBA"/>
          </w:tcPr>
          <w:p>
            <w:pPr>
              <w:spacing w:after="0"/>
              <w:rPr>
                <w:sz w:val="19"/>
                <w:szCs w:val="19"/>
                <w:color w:val="auto"/>
              </w:rPr>
            </w:pPr>
          </w:p>
        </w:tc>
      </w:tr>
      <w:tr>
        <w:trPr>
          <w:trHeight w:val="215"/>
        </w:trPr>
        <w:tc>
          <w:tcPr>
            <w:tcW w:w="4940" w:type="dxa"/>
            <w:vAlign w:val="bottom"/>
            <w:tcBorders>
              <w:right w:val="single" w:sz="8" w:color="007CBA"/>
            </w:tcBorders>
            <w:shd w:val="clear" w:color="auto" w:fill="007CBA"/>
          </w:tcPr>
          <w:p>
            <w:pPr>
              <w:spacing w:after="0"/>
              <w:rPr>
                <w:sz w:val="18"/>
                <w:szCs w:val="18"/>
                <w:color w:val="auto"/>
              </w:rPr>
            </w:pPr>
          </w:p>
        </w:tc>
        <w:tc>
          <w:tcPr>
            <w:tcW w:w="34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jc w:val="center"/>
              <w:ind w:right="210"/>
              <w:spacing w:after="0" w:line="215" w:lineRule="exact"/>
              <w:rPr>
                <w:sz w:val="20"/>
                <w:szCs w:val="20"/>
                <w:color w:val="auto"/>
              </w:rPr>
            </w:pPr>
            <w:r>
              <w:rPr>
                <w:rFonts w:ascii="Calibri" w:cs="Calibri" w:eastAsia="Calibri" w:hAnsi="Calibri"/>
                <w:sz w:val="18"/>
                <w:szCs w:val="18"/>
                <w:b w:val="1"/>
                <w:bCs w:val="1"/>
                <w:color w:val="FFFFFF"/>
                <w:w w:val="98"/>
              </w:rPr>
              <w:t>Amount</w:t>
            </w:r>
          </w:p>
        </w:tc>
        <w:tc>
          <w:tcPr>
            <w:tcW w:w="2380" w:type="dxa"/>
            <w:vAlign w:val="bottom"/>
            <w:tcBorders>
              <w:right w:val="single" w:sz="8" w:color="007CBA"/>
            </w:tcBorders>
            <w:shd w:val="clear" w:color="auto" w:fill="007CBA"/>
          </w:tcPr>
          <w:p>
            <w:pPr>
              <w:jc w:val="center"/>
              <w:ind w:left="50"/>
              <w:spacing w:after="0" w:line="215" w:lineRule="exact"/>
              <w:rPr>
                <w:sz w:val="20"/>
                <w:szCs w:val="20"/>
                <w:color w:val="auto"/>
              </w:rPr>
            </w:pPr>
            <w:r>
              <w:rPr>
                <w:rFonts w:ascii="Calibri" w:cs="Calibri" w:eastAsia="Calibri" w:hAnsi="Calibri"/>
                <w:sz w:val="18"/>
                <w:szCs w:val="18"/>
                <w:b w:val="1"/>
                <w:bCs w:val="1"/>
                <w:color w:val="FFFFFF"/>
                <w:w w:val="95"/>
              </w:rPr>
              <w:t>Interest</w:t>
            </w:r>
          </w:p>
        </w:tc>
        <w:tc>
          <w:tcPr>
            <w:tcW w:w="2360" w:type="dxa"/>
            <w:vAlign w:val="bottom"/>
            <w:shd w:val="clear" w:color="auto" w:fill="007CBA"/>
          </w:tcPr>
          <w:p>
            <w:pPr>
              <w:spacing w:after="0"/>
              <w:rPr>
                <w:sz w:val="18"/>
                <w:szCs w:val="18"/>
                <w:color w:val="auto"/>
              </w:rPr>
            </w:pPr>
          </w:p>
        </w:tc>
      </w:tr>
      <w:tr>
        <w:trPr>
          <w:trHeight w:val="219"/>
        </w:trPr>
        <w:tc>
          <w:tcPr>
            <w:tcW w:w="4940" w:type="dxa"/>
            <w:vAlign w:val="bottom"/>
            <w:tcBorders>
              <w:bottom w:val="single" w:sz="8" w:color="007CBA"/>
              <w:right w:val="single" w:sz="8" w:color="007CBA"/>
            </w:tcBorders>
            <w:shd w:val="clear" w:color="auto" w:fill="007CBA"/>
          </w:tcPr>
          <w:p>
            <w:pPr>
              <w:spacing w:after="0"/>
              <w:rPr>
                <w:sz w:val="19"/>
                <w:szCs w:val="19"/>
                <w:color w:val="auto"/>
              </w:rPr>
            </w:pPr>
          </w:p>
        </w:tc>
        <w:tc>
          <w:tcPr>
            <w:tcW w:w="340" w:type="dxa"/>
            <w:vAlign w:val="bottom"/>
            <w:tcBorders>
              <w:bottom w:val="single" w:sz="8" w:color="007CBA"/>
            </w:tcBorders>
            <w:shd w:val="clear" w:color="auto" w:fill="007CBA"/>
          </w:tcPr>
          <w:p>
            <w:pPr>
              <w:spacing w:after="0"/>
              <w:rPr>
                <w:sz w:val="19"/>
                <w:szCs w:val="19"/>
                <w:color w:val="auto"/>
              </w:rPr>
            </w:pPr>
          </w:p>
        </w:tc>
        <w:tc>
          <w:tcPr>
            <w:tcW w:w="1220" w:type="dxa"/>
            <w:vAlign w:val="bottom"/>
            <w:tcBorders>
              <w:bottom w:val="single" w:sz="8" w:color="007CBA"/>
              <w:right w:val="single" w:sz="8" w:color="007CBA"/>
            </w:tcBorders>
            <w:shd w:val="clear" w:color="auto" w:fill="007CBA"/>
          </w:tcPr>
          <w:p>
            <w:pPr>
              <w:jc w:val="center"/>
              <w:ind w:right="210"/>
              <w:spacing w:after="0" w:line="216" w:lineRule="exact"/>
              <w:rPr>
                <w:sz w:val="20"/>
                <w:szCs w:val="20"/>
                <w:color w:val="auto"/>
              </w:rPr>
            </w:pPr>
            <w:r>
              <w:rPr>
                <w:rFonts w:ascii="Calibri" w:cs="Calibri" w:eastAsia="Calibri" w:hAnsi="Calibri"/>
                <w:sz w:val="18"/>
                <w:szCs w:val="18"/>
                <w:color w:val="FFFFFF"/>
                <w:w w:val="98"/>
              </w:rPr>
              <w:t>(in millions)</w:t>
            </w:r>
          </w:p>
        </w:tc>
        <w:tc>
          <w:tcPr>
            <w:tcW w:w="2380" w:type="dxa"/>
            <w:vAlign w:val="bottom"/>
            <w:tcBorders>
              <w:bottom w:val="single" w:sz="8" w:color="007CBA"/>
              <w:right w:val="single" w:sz="8" w:color="007CBA"/>
            </w:tcBorders>
            <w:shd w:val="clear" w:color="auto" w:fill="007CBA"/>
          </w:tcPr>
          <w:p>
            <w:pPr>
              <w:jc w:val="center"/>
              <w:ind w:left="50"/>
              <w:spacing w:after="0" w:line="216" w:lineRule="exact"/>
              <w:rPr>
                <w:sz w:val="20"/>
                <w:szCs w:val="20"/>
                <w:color w:val="auto"/>
              </w:rPr>
            </w:pPr>
            <w:r>
              <w:rPr>
                <w:rFonts w:ascii="Calibri" w:cs="Calibri" w:eastAsia="Calibri" w:hAnsi="Calibri"/>
                <w:sz w:val="18"/>
                <w:szCs w:val="18"/>
                <w:b w:val="1"/>
                <w:bCs w:val="1"/>
                <w:color w:val="FFFFFF"/>
                <w:w w:val="93"/>
              </w:rPr>
              <w:t>Rate</w:t>
            </w:r>
          </w:p>
        </w:tc>
        <w:tc>
          <w:tcPr>
            <w:tcW w:w="2360" w:type="dxa"/>
            <w:vAlign w:val="bottom"/>
            <w:tcBorders>
              <w:bottom w:val="single" w:sz="8" w:color="007CBA"/>
            </w:tcBorders>
            <w:shd w:val="clear" w:color="auto" w:fill="007CBA"/>
          </w:tcPr>
          <w:p>
            <w:pPr>
              <w:jc w:val="center"/>
              <w:ind w:left="70"/>
              <w:spacing w:after="0" w:line="216" w:lineRule="exact"/>
              <w:rPr>
                <w:sz w:val="20"/>
                <w:szCs w:val="20"/>
                <w:color w:val="auto"/>
              </w:rPr>
            </w:pPr>
            <w:r>
              <w:rPr>
                <w:rFonts w:ascii="Calibri" w:cs="Calibri" w:eastAsia="Calibri" w:hAnsi="Calibri"/>
                <w:sz w:val="18"/>
                <w:szCs w:val="18"/>
                <w:b w:val="1"/>
                <w:bCs w:val="1"/>
                <w:color w:val="FFFFFF"/>
                <w:w w:val="98"/>
              </w:rPr>
              <w:t>Maturity Date</w:t>
            </w:r>
          </w:p>
        </w:tc>
      </w:tr>
      <w:tr>
        <w:trPr>
          <w:trHeight w:val="216"/>
        </w:trPr>
        <w:tc>
          <w:tcPr>
            <w:tcW w:w="494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7% Debentures</w:t>
            </w:r>
          </w:p>
        </w:tc>
        <w:tc>
          <w:tcPr>
            <w:tcW w:w="340" w:type="dxa"/>
            <w:vAlign w:val="bottom"/>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125</w:t>
            </w:r>
          </w:p>
        </w:tc>
        <w:tc>
          <w:tcPr>
            <w:tcW w:w="2380" w:type="dxa"/>
            <w:vAlign w:val="bottom"/>
            <w:tcBorders>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8"/>
              </w:rPr>
              <w:t>7.05%</w:t>
            </w:r>
          </w:p>
        </w:tc>
        <w:tc>
          <w:tcPr>
            <w:tcW w:w="2360" w:type="dxa"/>
            <w:vAlign w:val="bottom"/>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7"/>
              </w:rPr>
              <w:t>December 1, 2025</w:t>
            </w:r>
          </w:p>
        </w:tc>
      </w:tr>
      <w:tr>
        <w:trPr>
          <w:trHeight w:val="215"/>
        </w:trPr>
        <w:tc>
          <w:tcPr>
            <w:tcW w:w="49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3.450% Senior Notes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300</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3.55%</w:t>
            </w:r>
          </w:p>
        </w:tc>
        <w:tc>
          <w:tcPr>
            <w:tcW w:w="2360" w:type="dxa"/>
            <w:vAlign w:val="bottom"/>
          </w:tcPr>
          <w:p>
            <w:pPr>
              <w:jc w:val="center"/>
              <w:ind w:left="50"/>
              <w:spacing w:after="0" w:line="215" w:lineRule="exact"/>
              <w:rPr>
                <w:sz w:val="20"/>
                <w:szCs w:val="20"/>
                <w:color w:val="auto"/>
              </w:rPr>
            </w:pPr>
            <w:r>
              <w:rPr>
                <w:rFonts w:ascii="Calibri" w:cs="Calibri" w:eastAsia="Calibri" w:hAnsi="Calibri"/>
                <w:sz w:val="18"/>
                <w:szCs w:val="18"/>
                <w:color w:val="auto"/>
                <w:w w:val="97"/>
              </w:rPr>
              <w:t>June 1, 2027</w:t>
            </w:r>
          </w:p>
        </w:tc>
      </w:tr>
      <w:tr>
        <w:trPr>
          <w:trHeight w:val="217"/>
        </w:trPr>
        <w:tc>
          <w:tcPr>
            <w:tcW w:w="49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3.500% Senior Notes</w:t>
            </w:r>
          </w:p>
        </w:tc>
        <w:tc>
          <w:tcPr>
            <w:tcW w:w="34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495</w:t>
            </w:r>
          </w:p>
        </w:tc>
        <w:tc>
          <w:tcPr>
            <w:tcW w:w="2380" w:type="dxa"/>
            <w:vAlign w:val="bottom"/>
            <w:tcBorders>
              <w:right w:val="single" w:sz="8" w:color="007CBA"/>
            </w:tcBorders>
            <w:shd w:val="clear" w:color="auto" w:fill="E5F1F8"/>
          </w:tcPr>
          <w:p>
            <w:pPr>
              <w:jc w:val="center"/>
              <w:ind w:left="50"/>
              <w:spacing w:after="0" w:line="216" w:lineRule="exact"/>
              <w:rPr>
                <w:sz w:val="20"/>
                <w:szCs w:val="20"/>
                <w:color w:val="auto"/>
              </w:rPr>
            </w:pPr>
            <w:r>
              <w:rPr>
                <w:rFonts w:ascii="Calibri" w:cs="Calibri" w:eastAsia="Calibri" w:hAnsi="Calibri"/>
                <w:sz w:val="18"/>
                <w:szCs w:val="18"/>
                <w:color w:val="auto"/>
                <w:w w:val="98"/>
              </w:rPr>
              <w:t>3.61%</w:t>
            </w:r>
          </w:p>
        </w:tc>
        <w:tc>
          <w:tcPr>
            <w:tcW w:w="2360" w:type="dxa"/>
            <w:vAlign w:val="bottom"/>
            <w:shd w:val="clear" w:color="auto" w:fill="E5F1F8"/>
          </w:tcPr>
          <w:p>
            <w:pPr>
              <w:jc w:val="center"/>
              <w:ind w:left="70"/>
              <w:spacing w:after="0" w:line="216" w:lineRule="exact"/>
              <w:rPr>
                <w:sz w:val="20"/>
                <w:szCs w:val="20"/>
                <w:color w:val="auto"/>
              </w:rPr>
            </w:pPr>
            <w:r>
              <w:rPr>
                <w:rFonts w:ascii="Calibri" w:cs="Calibri" w:eastAsia="Calibri" w:hAnsi="Calibri"/>
                <w:sz w:val="18"/>
                <w:szCs w:val="18"/>
                <w:color w:val="auto"/>
                <w:w w:val="97"/>
              </w:rPr>
              <w:t>December 15, 2027</w:t>
            </w:r>
          </w:p>
        </w:tc>
      </w:tr>
      <w:tr>
        <w:trPr>
          <w:trHeight w:val="215"/>
        </w:trPr>
        <w:tc>
          <w:tcPr>
            <w:tcW w:w="49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2.500% Senior Notes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478</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2.71%</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March 15, 2030</w:t>
            </w:r>
          </w:p>
        </w:tc>
      </w:tr>
      <w:tr>
        <w:trPr>
          <w:trHeight w:val="217"/>
        </w:trPr>
        <w:tc>
          <w:tcPr>
            <w:tcW w:w="49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2.400% Senior Notes</w:t>
            </w:r>
          </w:p>
        </w:tc>
        <w:tc>
          <w:tcPr>
            <w:tcW w:w="34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896</w:t>
            </w:r>
          </w:p>
        </w:tc>
        <w:tc>
          <w:tcPr>
            <w:tcW w:w="2380" w:type="dxa"/>
            <w:vAlign w:val="bottom"/>
            <w:tcBorders>
              <w:right w:val="single" w:sz="8" w:color="007CBA"/>
            </w:tcBorders>
            <w:shd w:val="clear" w:color="auto" w:fill="E5F1F8"/>
          </w:tcPr>
          <w:p>
            <w:pPr>
              <w:jc w:val="center"/>
              <w:ind w:left="50"/>
              <w:spacing w:after="0" w:line="216" w:lineRule="exact"/>
              <w:rPr>
                <w:sz w:val="20"/>
                <w:szCs w:val="20"/>
                <w:color w:val="auto"/>
              </w:rPr>
            </w:pPr>
            <w:r>
              <w:rPr>
                <w:rFonts w:ascii="Calibri" w:cs="Calibri" w:eastAsia="Calibri" w:hAnsi="Calibri"/>
                <w:sz w:val="18"/>
                <w:szCs w:val="18"/>
                <w:color w:val="auto"/>
                <w:w w:val="98"/>
              </w:rPr>
              <w:t>2.48%</w:t>
            </w:r>
          </w:p>
        </w:tc>
        <w:tc>
          <w:tcPr>
            <w:tcW w:w="2360" w:type="dxa"/>
            <w:vAlign w:val="bottom"/>
            <w:shd w:val="clear" w:color="auto" w:fill="E5F1F8"/>
          </w:tcPr>
          <w:p>
            <w:pPr>
              <w:jc w:val="center"/>
              <w:ind w:left="70"/>
              <w:spacing w:after="0" w:line="216" w:lineRule="exact"/>
              <w:rPr>
                <w:sz w:val="20"/>
                <w:szCs w:val="20"/>
                <w:color w:val="auto"/>
              </w:rPr>
            </w:pPr>
            <w:r>
              <w:rPr>
                <w:rFonts w:ascii="Calibri" w:cs="Calibri" w:eastAsia="Calibri" w:hAnsi="Calibri"/>
                <w:sz w:val="18"/>
                <w:szCs w:val="18"/>
                <w:color w:val="auto"/>
                <w:w w:val="96"/>
              </w:rPr>
              <w:t>July 15, 2031</w:t>
            </w:r>
          </w:p>
        </w:tc>
      </w:tr>
      <w:tr>
        <w:trPr>
          <w:trHeight w:val="215"/>
        </w:trPr>
        <w:tc>
          <w:tcPr>
            <w:tcW w:w="49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5.150% Senior Notes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750</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5.33%</w:t>
            </w:r>
          </w:p>
        </w:tc>
        <w:tc>
          <w:tcPr>
            <w:tcW w:w="2360" w:type="dxa"/>
            <w:vAlign w:val="bottom"/>
          </w:tcPr>
          <w:p>
            <w:pPr>
              <w:jc w:val="center"/>
              <w:ind w:left="50"/>
              <w:spacing w:after="0" w:line="215" w:lineRule="exact"/>
              <w:rPr>
                <w:sz w:val="20"/>
                <w:szCs w:val="20"/>
                <w:color w:val="auto"/>
              </w:rPr>
            </w:pPr>
            <w:r>
              <w:rPr>
                <w:rFonts w:ascii="Calibri" w:cs="Calibri" w:eastAsia="Calibri" w:hAnsi="Calibri"/>
                <w:sz w:val="18"/>
                <w:szCs w:val="18"/>
                <w:color w:val="auto"/>
                <w:w w:val="97"/>
              </w:rPr>
              <w:t>December 1, 2034</w:t>
            </w:r>
          </w:p>
        </w:tc>
      </w:tr>
      <w:tr>
        <w:trPr>
          <w:trHeight w:val="217"/>
        </w:trPr>
        <w:tc>
          <w:tcPr>
            <w:tcW w:w="49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6.25% Senior Notes</w:t>
            </w:r>
          </w:p>
        </w:tc>
        <w:tc>
          <w:tcPr>
            <w:tcW w:w="34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230</w:t>
            </w:r>
          </w:p>
        </w:tc>
        <w:tc>
          <w:tcPr>
            <w:tcW w:w="2380" w:type="dxa"/>
            <w:vAlign w:val="bottom"/>
            <w:tcBorders>
              <w:right w:val="single" w:sz="8" w:color="007CBA"/>
            </w:tcBorders>
            <w:shd w:val="clear" w:color="auto" w:fill="E5F1F8"/>
          </w:tcPr>
          <w:p>
            <w:pPr>
              <w:jc w:val="center"/>
              <w:ind w:left="50"/>
              <w:spacing w:after="0" w:line="216" w:lineRule="exact"/>
              <w:rPr>
                <w:sz w:val="20"/>
                <w:szCs w:val="20"/>
                <w:color w:val="auto"/>
              </w:rPr>
            </w:pPr>
            <w:r>
              <w:rPr>
                <w:rFonts w:ascii="Calibri" w:cs="Calibri" w:eastAsia="Calibri" w:hAnsi="Calibri"/>
                <w:sz w:val="18"/>
                <w:szCs w:val="18"/>
                <w:color w:val="auto"/>
                <w:w w:val="98"/>
              </w:rPr>
              <w:t>6.32%</w:t>
            </w:r>
          </w:p>
        </w:tc>
        <w:tc>
          <w:tcPr>
            <w:tcW w:w="2360" w:type="dxa"/>
            <w:vAlign w:val="bottom"/>
            <w:shd w:val="clear" w:color="auto" w:fill="E5F1F8"/>
          </w:tcPr>
          <w:p>
            <w:pPr>
              <w:jc w:val="center"/>
              <w:ind w:left="70"/>
              <w:spacing w:after="0" w:line="216" w:lineRule="exact"/>
              <w:rPr>
                <w:sz w:val="20"/>
                <w:szCs w:val="20"/>
                <w:color w:val="auto"/>
              </w:rPr>
            </w:pPr>
            <w:r>
              <w:rPr>
                <w:rFonts w:ascii="Calibri" w:cs="Calibri" w:eastAsia="Calibri" w:hAnsi="Calibri"/>
                <w:sz w:val="18"/>
                <w:szCs w:val="18"/>
                <w:color w:val="auto"/>
                <w:w w:val="97"/>
              </w:rPr>
              <w:t>May 1, 2037</w:t>
            </w:r>
          </w:p>
        </w:tc>
      </w:tr>
      <w:tr>
        <w:trPr>
          <w:trHeight w:val="215"/>
        </w:trPr>
        <w:tc>
          <w:tcPr>
            <w:tcW w:w="49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4.250% Senior Notes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598</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4.32%</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December 15, 2047</w:t>
            </w:r>
          </w:p>
        </w:tc>
      </w:tr>
      <w:tr>
        <w:trPr>
          <w:trHeight w:val="217"/>
        </w:trPr>
        <w:tc>
          <w:tcPr>
            <w:tcW w:w="49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3.200% Senior Notes</w:t>
            </w:r>
          </w:p>
        </w:tc>
        <w:tc>
          <w:tcPr>
            <w:tcW w:w="34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866</w:t>
            </w:r>
          </w:p>
        </w:tc>
        <w:tc>
          <w:tcPr>
            <w:tcW w:w="2380" w:type="dxa"/>
            <w:vAlign w:val="bottom"/>
            <w:tcBorders>
              <w:right w:val="single" w:sz="8" w:color="007CBA"/>
            </w:tcBorders>
            <w:shd w:val="clear" w:color="auto" w:fill="E5F1F8"/>
          </w:tcPr>
          <w:p>
            <w:pPr>
              <w:jc w:val="center"/>
              <w:ind w:left="50"/>
              <w:spacing w:after="0" w:line="216" w:lineRule="exact"/>
              <w:rPr>
                <w:sz w:val="20"/>
                <w:szCs w:val="20"/>
                <w:color w:val="auto"/>
              </w:rPr>
            </w:pPr>
            <w:r>
              <w:rPr>
                <w:rFonts w:ascii="Calibri" w:cs="Calibri" w:eastAsia="Calibri" w:hAnsi="Calibri"/>
                <w:sz w:val="18"/>
                <w:szCs w:val="18"/>
                <w:color w:val="auto"/>
                <w:w w:val="98"/>
              </w:rPr>
              <w:t>3.29%</w:t>
            </w:r>
          </w:p>
        </w:tc>
        <w:tc>
          <w:tcPr>
            <w:tcW w:w="2360" w:type="dxa"/>
            <w:vAlign w:val="bottom"/>
            <w:shd w:val="clear" w:color="auto" w:fill="E5F1F8"/>
          </w:tcPr>
          <w:p>
            <w:pPr>
              <w:jc w:val="center"/>
              <w:ind w:left="70"/>
              <w:spacing w:after="0" w:line="216" w:lineRule="exact"/>
              <w:rPr>
                <w:sz w:val="20"/>
                <w:szCs w:val="20"/>
                <w:color w:val="auto"/>
              </w:rPr>
            </w:pPr>
            <w:r>
              <w:rPr>
                <w:rFonts w:ascii="Calibri" w:cs="Calibri" w:eastAsia="Calibri" w:hAnsi="Calibri"/>
                <w:sz w:val="18"/>
                <w:szCs w:val="18"/>
                <w:color w:val="auto"/>
                <w:w w:val="96"/>
              </w:rPr>
              <w:t>July 15, 2051</w:t>
            </w:r>
          </w:p>
        </w:tc>
      </w:tr>
      <w:tr>
        <w:trPr>
          <w:trHeight w:val="215"/>
        </w:trPr>
        <w:tc>
          <w:tcPr>
            <w:tcW w:w="494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5.500% Senior Notes</w:t>
            </w:r>
          </w:p>
        </w:tc>
        <w:tc>
          <w:tcPr>
            <w:tcW w:w="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750</w:t>
            </w:r>
          </w:p>
        </w:tc>
        <w:tc>
          <w:tcPr>
            <w:tcW w:w="2380" w:type="dxa"/>
            <w:vAlign w:val="bottom"/>
            <w:tcBorders>
              <w:bottom w:val="single" w:sz="8" w:color="auto"/>
            </w:tcBorders>
          </w:tcPr>
          <w:p>
            <w:pPr>
              <w:jc w:val="center"/>
              <w:ind w:left="50"/>
              <w:spacing w:after="0" w:line="215" w:lineRule="exact"/>
              <w:rPr>
                <w:sz w:val="20"/>
                <w:szCs w:val="20"/>
                <w:color w:val="auto"/>
              </w:rPr>
            </w:pPr>
            <w:r>
              <w:rPr>
                <w:rFonts w:ascii="Calibri" w:cs="Calibri" w:eastAsia="Calibri" w:hAnsi="Calibri"/>
                <w:sz w:val="18"/>
                <w:szCs w:val="18"/>
                <w:color w:val="auto"/>
                <w:w w:val="98"/>
              </w:rPr>
              <w:t>5.70%</w:t>
            </w:r>
          </w:p>
        </w:tc>
        <w:tc>
          <w:tcPr>
            <w:tcW w:w="2360" w:type="dxa"/>
            <w:vAlign w:val="bottom"/>
            <w:tcBorders>
              <w:bottom w:val="single" w:sz="8" w:color="auto"/>
            </w:tcBorders>
          </w:tcPr>
          <w:p>
            <w:pPr>
              <w:jc w:val="center"/>
              <w:ind w:left="50"/>
              <w:spacing w:after="0" w:line="215" w:lineRule="exact"/>
              <w:rPr>
                <w:sz w:val="20"/>
                <w:szCs w:val="20"/>
                <w:color w:val="auto"/>
              </w:rPr>
            </w:pPr>
            <w:r>
              <w:rPr>
                <w:rFonts w:ascii="Calibri" w:cs="Calibri" w:eastAsia="Calibri" w:hAnsi="Calibri"/>
                <w:sz w:val="18"/>
                <w:szCs w:val="18"/>
                <w:color w:val="auto"/>
                <w:w w:val="97"/>
              </w:rPr>
              <w:t>December 1, 2054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-157480</wp:posOffset>
            </wp:positionV>
            <wp:extent cx="33655" cy="1708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-157480</wp:posOffset>
            </wp:positionV>
            <wp:extent cx="33655" cy="1708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-157480</wp:posOffset>
            </wp:positionV>
            <wp:extent cx="33655" cy="1708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33655" cy="170815"/>
                    </a:xfrm>
                    <a:prstGeom prst="rect">
                      <a:avLst/>
                    </a:prstGeom>
                    <a:noFill/>
                  </pic:spPr>
                </pic:pic>
              </a:graphicData>
            </a:graphic>
          </wp:anchor>
        </w:drawing>
      </w:r>
    </w:p>
    <w:p>
      <w:pPr>
        <w:spacing w:after="0" w:line="147"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Company has a credit agreement with JPMorgan Chase Bank, N.A., as Administratve Agent, Deutsche Bank Securites, Inc., PNC Bank, N.A., Truist Bank and Wells Fargo Bank, N.A., as Syndicaton Agents, and the lenders party thereto (the Credit Agreement), which provides for a $800 million fve-year senior unsecured revolving facility (the Revolving Facility) with a maturity date of December 21, 2029. Borrowings under the Revolving Facility bear interest, at the Company’s opton, at rates based upon the Secured Overnight Financing Rate (SOFR) or a base rate, plus, for each rate, a margin determined in accordance with a ratngs-based pricing grid. Any outstanding principal amounts, together with interest accrued thereon, are due in full on that maturity date. There were no borrowings outstanding under the Revolving Facility as of December 31, 2024 and 2023. Available borrowings under the Revolving Facility are reduced by any outstanding leters of credit issued by the Company under the Revolving Facility. At December 31, 2024 and 2023, the Company had $3 million of outstanding leters of credit issued and $797 million available for borrowing under the Revolving Facility. The Company paid the bank group an upfront loan commitment fee that is being amortzed over the life of the Revolving Facility. The Revolving Facility includes an annual facility fee.</w:t>
      </w:r>
    </w:p>
    <w:p>
      <w:pPr>
        <w:spacing w:after="0" w:line="10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requires the Company’s rato of consolidated net debt-to-consolidated earnings before interest, taxes, depreciaton, depleton and amortzaton, as defned, for the trailing-twelve months (the Rato) to not exceed 3.50x as of the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83820</wp:posOffset>
            </wp:positionV>
            <wp:extent cx="325755" cy="1968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7" w:name="page88"/>
    <w:bookmarkEnd w:id="87"/>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 any fscal quarter, provided that the Company may exclude from the Rato any debt incurred in connecton with certain acquisitons during the quarter or three preceding quarters so long as the Rato calculated without such exclusion does not exceed 4.00x. Additonally, if no amounts are outstanding under the Revolving Facility or the Company's trade receivable securitzaton facility (discussed later), consolidated debt, as defned, which includes debt for which the Company is a guarantor, shall be reduced in an amount equal to the lesser of $500 million or the sum of the Company’s unrestricted cash and temporary investments, for purposes of the covenant calculaton. The Company was in compliance with the Rato at December 31, 2024.</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through a wholly-owned special-purpose subsidiary, has a $400 million trade receivable securitzaton facility (the Trade Receivable Facility). On September 18, 2024, the Company extended the maturity to September 17, 2025. The Trade Receivable Facility, with Truist Bank, Regions Bank, First-Citzens Bank &amp; Trust Company, and certain other lenders that may become a party to the facility from tme to tme, is backed by eligible trade receivables, as defned. Borrowings are limited to the lesser of the facility limit or the borrowing base, as defned. These receivables are originated by the Company and then sold or contributed to the wholly-owned special-purpose subsidiary. The Company contnues to be responsible for the servicing and administraton of the receivables purchased by the wholly-owned special-purpose subsidiary. Borrowings under the Trade Receivable Facility bear interest at a rate equal to Adjusted Term Secured Overnight Financing Rate (Adjusted Term SOFR), as defned, plus 0.8%. The Trade Receivable Facility contains a cross-default provision to the Company’s other debt agreements. Subject to certain conditons, including lenders providing the requisite commitments, the Trade Receivable Facility may be increased to a borrowing base not to exceed $500 million. At December 31, 2024 and 2023, there were no borrowings outstanding under the Trade Receivable Facility.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960" w:type="dxa"/>
            <w:vAlign w:val="bottom"/>
          </w:tcPr>
          <w:p>
            <w:pPr>
              <w:spacing w:after="0"/>
              <w:rPr>
                <w:sz w:val="20"/>
                <w:szCs w:val="20"/>
                <w:color w:val="auto"/>
              </w:rPr>
            </w:pPr>
            <w:r>
              <w:rPr>
                <w:rFonts w:ascii="Calibri" w:cs="Calibri" w:eastAsia="Calibri" w:hAnsi="Calibri"/>
                <w:sz w:val="18"/>
                <w:szCs w:val="18"/>
                <w:color w:val="auto"/>
              </w:rPr>
              <w:t>The Company’s long-term debt maturites for each of the next fve years and thereafer are as follows:</w:t>
            </w: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32"/>
        </w:trPr>
        <w:tc>
          <w:tcPr>
            <w:tcW w:w="8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16"/>
        </w:trPr>
        <w:tc>
          <w:tcPr>
            <w:tcW w:w="89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060" w:type="dxa"/>
            <w:vAlign w:val="bottom"/>
            <w:shd w:val="clear" w:color="auto" w:fill="007CBA"/>
          </w:tcPr>
          <w:p>
            <w:pPr>
              <w:spacing w:after="0"/>
              <w:rPr>
                <w:sz w:val="18"/>
                <w:szCs w:val="18"/>
                <w:color w:val="auto"/>
              </w:rPr>
            </w:pPr>
          </w:p>
        </w:tc>
        <w:tc>
          <w:tcPr>
            <w:tcW w:w="1220" w:type="dxa"/>
            <w:vAlign w:val="bottom"/>
            <w:shd w:val="clear" w:color="auto" w:fill="007CBA"/>
          </w:tcPr>
          <w:p>
            <w:pPr>
              <w:spacing w:after="0"/>
              <w:rPr>
                <w:sz w:val="18"/>
                <w:szCs w:val="18"/>
                <w:color w:val="auto"/>
              </w:rPr>
            </w:pPr>
          </w:p>
        </w:tc>
      </w:tr>
      <w:tr>
        <w:trPr>
          <w:trHeight w:val="215"/>
        </w:trPr>
        <w:tc>
          <w:tcPr>
            <w:tcW w:w="89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060" w:type="dxa"/>
            <w:vAlign w:val="bottom"/>
          </w:tcPr>
          <w:p>
            <w:pPr>
              <w:jc w:val="right"/>
              <w:ind w:right="6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125</w:t>
            </w:r>
          </w:p>
        </w:tc>
      </w:tr>
      <w:tr>
        <w:trPr>
          <w:trHeight w:val="217"/>
        </w:trPr>
        <w:tc>
          <w:tcPr>
            <w:tcW w:w="89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2026</w:t>
            </w:r>
          </w:p>
        </w:tc>
        <w:tc>
          <w:tcPr>
            <w:tcW w:w="1060" w:type="dxa"/>
            <w:vAlign w:val="bottom"/>
            <w:shd w:val="clear" w:color="auto" w:fill="E5F1F8"/>
          </w:tcPr>
          <w:p>
            <w:pPr>
              <w:spacing w:after="0"/>
              <w:rPr>
                <w:sz w:val="18"/>
                <w:szCs w:val="18"/>
                <w:color w:val="auto"/>
              </w:rPr>
            </w:pPr>
          </w:p>
        </w:tc>
        <w:tc>
          <w:tcPr>
            <w:tcW w:w="1220" w:type="dxa"/>
            <w:vAlign w:val="bottom"/>
            <w:shd w:val="clear" w:color="auto" w:fill="E5F1F8"/>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89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060" w:type="dxa"/>
            <w:vAlign w:val="bottom"/>
          </w:tcPr>
          <w:p>
            <w:pPr>
              <w:spacing w:after="0"/>
              <w:rPr>
                <w:sz w:val="18"/>
                <w:szCs w:val="18"/>
                <w:color w:val="auto"/>
              </w:rPr>
            </w:pPr>
          </w:p>
        </w:tc>
        <w:tc>
          <w:tcPr>
            <w:tcW w:w="12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792</w:t>
            </w:r>
          </w:p>
        </w:tc>
      </w:tr>
      <w:tr>
        <w:trPr>
          <w:trHeight w:val="217"/>
        </w:trPr>
        <w:tc>
          <w:tcPr>
            <w:tcW w:w="89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2028</w:t>
            </w:r>
          </w:p>
        </w:tc>
        <w:tc>
          <w:tcPr>
            <w:tcW w:w="1060" w:type="dxa"/>
            <w:vAlign w:val="bottom"/>
            <w:shd w:val="clear" w:color="auto" w:fill="E5F1F8"/>
          </w:tcPr>
          <w:p>
            <w:pPr>
              <w:spacing w:after="0"/>
              <w:rPr>
                <w:sz w:val="18"/>
                <w:szCs w:val="18"/>
                <w:color w:val="auto"/>
              </w:rPr>
            </w:pPr>
          </w:p>
        </w:tc>
        <w:tc>
          <w:tcPr>
            <w:tcW w:w="1220" w:type="dxa"/>
            <w:vAlign w:val="bottom"/>
            <w:shd w:val="clear" w:color="auto" w:fill="E5F1F8"/>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6"/>
        </w:trPr>
        <w:tc>
          <w:tcPr>
            <w:tcW w:w="89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2029</w:t>
            </w:r>
          </w:p>
        </w:tc>
        <w:tc>
          <w:tcPr>
            <w:tcW w:w="1060" w:type="dxa"/>
            <w:vAlign w:val="bottom"/>
          </w:tcPr>
          <w:p>
            <w:pPr>
              <w:spacing w:after="0"/>
              <w:rPr>
                <w:sz w:val="18"/>
                <w:szCs w:val="18"/>
                <w:color w:val="auto"/>
              </w:rPr>
            </w:pPr>
          </w:p>
        </w:tc>
        <w:tc>
          <w:tcPr>
            <w:tcW w:w="1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89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060" w:type="dxa"/>
            <w:vAlign w:val="bottom"/>
            <w:tcBorders>
              <w:bottom w:val="single" w:sz="8" w:color="auto"/>
            </w:tcBorders>
            <w:shd w:val="clear" w:color="auto" w:fill="E5F1F8"/>
          </w:tcPr>
          <w:p>
            <w:pPr>
              <w:spacing w:after="0"/>
              <w:rPr>
                <w:sz w:val="18"/>
                <w:szCs w:val="18"/>
                <w:color w:val="auto"/>
              </w:rPr>
            </w:pPr>
          </w:p>
        </w:tc>
        <w:tc>
          <w:tcPr>
            <w:tcW w:w="122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4,496</w:t>
            </w:r>
          </w:p>
        </w:tc>
      </w:tr>
      <w:tr>
        <w:trPr>
          <w:trHeight w:val="210"/>
        </w:trPr>
        <w:tc>
          <w:tcPr>
            <w:tcW w:w="896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1060" w:type="dxa"/>
            <w:vAlign w:val="bottom"/>
            <w:tcBorders>
              <w:bottom w:val="single" w:sz="8" w:color="auto"/>
            </w:tcBorders>
          </w:tcPr>
          <w:p>
            <w:pPr>
              <w:jc w:val="right"/>
              <w:ind w:right="610"/>
              <w:spacing w:after="0" w:line="209"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5,413</w:t>
            </w:r>
          </w:p>
        </w:tc>
      </w:tr>
      <w:tr>
        <w:trPr>
          <w:trHeight w:val="20"/>
        </w:trPr>
        <w:tc>
          <w:tcPr>
            <w:tcW w:w="8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-320675</wp:posOffset>
            </wp:positionV>
            <wp:extent cx="33655" cy="3340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H: Financial Instruments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fnancial instruments include temporary cash investments, restricted cash, accounts receivable, accounts payable, publicly-registered long-term notes, debentures and other long-term debt.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Temporary cash investments are placed primarily in money market funds, money market demand deposit accounts and Eurodollar tme deposit accounts with fnancial insttutons. The Company’s cash equivalents have maturites of less than three months. Due to the short maturity of these investments, they are carried on the consolidated balance sheets at cost, which approximates fair value.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Restricted cash at December 31, 2023 was held in a trust account with a third-party intermediary. Due to the short-term nature of this account, the carrying value of restricted cash approximated its fair value.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Accounts receivable are due from a large number of customers, primarily in the constructon industry, and are dispersed across wide geographic and economic regions. However, accounts receivable are more heavily concentrated in certain states, namely Texas, North Carolina, Colorado, California, Georgia, Florida, Minnesota, Arizona, South Carolina and Iowa. The carrying values of accounts receivable approximate their fair values.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Accounts payable represent amounts owed to suppliers and vendors. The estmated carrying value of accounts payable approximates its fair value due to the short-term nature of the payables.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carrying value and fair value of the Company’s long-term debt were $5.4 billion and $4.8 billion, respectvely, at December 31, 2024 and $4.3 billion and $3.9 billion, respectvely, at December 31, 2023. The estmated fair value of the Company’s publicly-registered long-term debt was estmated based on Level 1 of the fair value hierarchy using quoted market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84455</wp:posOffset>
            </wp:positionV>
            <wp:extent cx="325755" cy="1968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8" w:name="page89"/>
    <w:bookmarkEnd w:id="8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I: Income Taxes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components of the Company’s income tax expense from contnuing operatons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32"/>
        </w:trPr>
        <w:tc>
          <w:tcPr>
            <w:tcW w:w="63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2024</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2023</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Federal income taxes:</w:t>
            </w:r>
          </w:p>
        </w:tc>
        <w:tc>
          <w:tcPr>
            <w:tcW w:w="48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638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Current</w:t>
            </w:r>
          </w:p>
        </w:tc>
        <w:tc>
          <w:tcPr>
            <w:tcW w:w="480" w:type="dxa"/>
            <w:vAlign w:val="bottom"/>
            <w:shd w:val="clear" w:color="auto" w:fill="E5F1F8"/>
          </w:tcPr>
          <w:p>
            <w:pPr>
              <w:jc w:val="right"/>
              <w:ind w:right="110"/>
              <w:spacing w:after="0" w:line="216"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565</w:t>
            </w:r>
          </w:p>
        </w:tc>
        <w:tc>
          <w:tcPr>
            <w:tcW w:w="480" w:type="dxa"/>
            <w:vAlign w:val="bottom"/>
            <w:shd w:val="clear" w:color="auto" w:fill="E5F1F8"/>
          </w:tcPr>
          <w:p>
            <w:pPr>
              <w:jc w:val="right"/>
              <w:ind w:right="110"/>
              <w:spacing w:after="0" w:line="216"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264</w:t>
            </w:r>
          </w:p>
        </w:tc>
        <w:tc>
          <w:tcPr>
            <w:tcW w:w="480" w:type="dxa"/>
            <w:vAlign w:val="bottom"/>
            <w:shd w:val="clear" w:color="auto" w:fill="E5F1F8"/>
          </w:tcPr>
          <w:p>
            <w:pPr>
              <w:jc w:val="right"/>
              <w:ind w:right="110"/>
              <w:spacing w:after="0" w:line="216"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175</w:t>
            </w:r>
          </w:p>
        </w:tc>
      </w:tr>
      <w:tr>
        <w:trPr>
          <w:trHeight w:val="215"/>
        </w:trPr>
        <w:tc>
          <w:tcPr>
            <w:tcW w:w="6380" w:type="dxa"/>
            <w:vAlign w:val="bottom"/>
            <w:tcBorders>
              <w:bottom w:val="single" w:sz="8" w:color="auto"/>
            </w:tcBorders>
          </w:tcPr>
          <w:p>
            <w:pPr>
              <w:ind w:left="300"/>
              <w:spacing w:after="0" w:line="215" w:lineRule="exact"/>
              <w:rPr>
                <w:sz w:val="20"/>
                <w:szCs w:val="20"/>
                <w:color w:val="auto"/>
              </w:rPr>
            </w:pPr>
            <w:r>
              <w:rPr>
                <w:rFonts w:ascii="Calibri" w:cs="Calibri" w:eastAsia="Calibri" w:hAnsi="Calibri"/>
                <w:sz w:val="18"/>
                <w:szCs w:val="18"/>
                <w:color w:val="auto"/>
              </w:rPr>
              <w:t>Deferred</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(41 )</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(11 )</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18</w:t>
            </w:r>
          </w:p>
        </w:tc>
      </w:tr>
      <w:tr>
        <w:trPr>
          <w:trHeight w:val="210"/>
        </w:trPr>
        <w:tc>
          <w:tcPr>
            <w:tcW w:w="638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 federal income taxes</w:t>
            </w:r>
          </w:p>
        </w:tc>
        <w:tc>
          <w:tcPr>
            <w:tcW w:w="48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524</w:t>
            </w:r>
          </w:p>
        </w:tc>
        <w:tc>
          <w:tcPr>
            <w:tcW w:w="48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253</w:t>
            </w:r>
          </w:p>
        </w:tc>
        <w:tc>
          <w:tcPr>
            <w:tcW w:w="48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193</w:t>
            </w:r>
          </w:p>
        </w:tc>
      </w:tr>
      <w:tr>
        <w:trPr>
          <w:trHeight w:val="209"/>
        </w:trPr>
        <w:tc>
          <w:tcPr>
            <w:tcW w:w="6380" w:type="dxa"/>
            <w:vAlign w:val="bottom"/>
            <w:tcBorders>
              <w:right w:val="single" w:sz="8" w:color="007CBA"/>
            </w:tcBorders>
          </w:tcPr>
          <w:p>
            <w:pPr>
              <w:ind w:left="120"/>
              <w:spacing w:after="0" w:line="209" w:lineRule="exact"/>
              <w:rPr>
                <w:sz w:val="20"/>
                <w:szCs w:val="20"/>
                <w:color w:val="auto"/>
              </w:rPr>
            </w:pPr>
            <w:r>
              <w:rPr>
                <w:rFonts w:ascii="Calibri" w:cs="Calibri" w:eastAsia="Calibri" w:hAnsi="Calibri"/>
                <w:sz w:val="18"/>
                <w:szCs w:val="18"/>
                <w:color w:val="auto"/>
              </w:rPr>
              <w:t>State income taxes:</w:t>
            </w:r>
          </w:p>
        </w:tc>
        <w:tc>
          <w:tcPr>
            <w:tcW w:w="48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638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Current</w:t>
            </w:r>
          </w:p>
        </w:tc>
        <w:tc>
          <w:tcPr>
            <w:tcW w:w="480" w:type="dxa"/>
            <w:vAlign w:val="bottom"/>
            <w:shd w:val="clear" w:color="auto" w:fill="E5F1F8"/>
          </w:tcPr>
          <w:p>
            <w:pPr>
              <w:spacing w:after="0"/>
              <w:rPr>
                <w:sz w:val="18"/>
                <w:szCs w:val="18"/>
                <w:color w:val="auto"/>
              </w:rPr>
            </w:pPr>
          </w:p>
        </w:tc>
        <w:tc>
          <w:tcPr>
            <w:tcW w:w="11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80</w:t>
            </w:r>
          </w:p>
        </w:tc>
        <w:tc>
          <w:tcPr>
            <w:tcW w:w="480" w:type="dxa"/>
            <w:vAlign w:val="bottom"/>
            <w:shd w:val="clear" w:color="auto" w:fill="E5F1F8"/>
          </w:tcPr>
          <w:p>
            <w:pPr>
              <w:spacing w:after="0"/>
              <w:rPr>
                <w:sz w:val="18"/>
                <w:szCs w:val="18"/>
                <w:color w:val="auto"/>
              </w:rPr>
            </w:pPr>
          </w:p>
        </w:tc>
        <w:tc>
          <w:tcPr>
            <w:tcW w:w="11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43</w:t>
            </w:r>
          </w:p>
        </w:tc>
        <w:tc>
          <w:tcPr>
            <w:tcW w:w="480" w:type="dxa"/>
            <w:vAlign w:val="bottom"/>
            <w:shd w:val="clear" w:color="auto" w:fill="E5F1F8"/>
          </w:tcPr>
          <w:p>
            <w:pPr>
              <w:spacing w:after="0"/>
              <w:rPr>
                <w:sz w:val="18"/>
                <w:szCs w:val="18"/>
                <w:color w:val="auto"/>
              </w:rPr>
            </w:pPr>
          </w:p>
        </w:tc>
        <w:tc>
          <w:tcPr>
            <w:tcW w:w="11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35</w:t>
            </w:r>
          </w:p>
        </w:tc>
      </w:tr>
      <w:tr>
        <w:trPr>
          <w:trHeight w:val="215"/>
        </w:trPr>
        <w:tc>
          <w:tcPr>
            <w:tcW w:w="6380" w:type="dxa"/>
            <w:vAlign w:val="bottom"/>
            <w:tcBorders>
              <w:bottom w:val="single" w:sz="8" w:color="auto"/>
            </w:tcBorders>
          </w:tcPr>
          <w:p>
            <w:pPr>
              <w:ind w:left="300"/>
              <w:spacing w:after="0" w:line="215" w:lineRule="exact"/>
              <w:rPr>
                <w:sz w:val="20"/>
                <w:szCs w:val="20"/>
                <w:color w:val="auto"/>
              </w:rPr>
            </w:pPr>
            <w:r>
              <w:rPr>
                <w:rFonts w:ascii="Calibri" w:cs="Calibri" w:eastAsia="Calibri" w:hAnsi="Calibri"/>
                <w:sz w:val="18"/>
                <w:szCs w:val="18"/>
                <w:color w:val="auto"/>
              </w:rPr>
              <w:t>Deferred</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(4 )</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(3 )</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6</w:t>
            </w:r>
          </w:p>
        </w:tc>
      </w:tr>
      <w:tr>
        <w:trPr>
          <w:trHeight w:val="209"/>
        </w:trPr>
        <w:tc>
          <w:tcPr>
            <w:tcW w:w="638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 state income taxes</w:t>
            </w:r>
          </w:p>
        </w:tc>
        <w:tc>
          <w:tcPr>
            <w:tcW w:w="48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76</w:t>
            </w:r>
          </w:p>
        </w:tc>
        <w:tc>
          <w:tcPr>
            <w:tcW w:w="48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40</w:t>
            </w:r>
          </w:p>
        </w:tc>
        <w:tc>
          <w:tcPr>
            <w:tcW w:w="48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41</w:t>
            </w:r>
          </w:p>
        </w:tc>
      </w:tr>
      <w:tr>
        <w:trPr>
          <w:trHeight w:val="210"/>
        </w:trPr>
        <w:tc>
          <w:tcPr>
            <w:tcW w:w="638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 current foreign income taxes</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1</w:t>
            </w:r>
          </w:p>
        </w:tc>
      </w:tr>
      <w:tr>
        <w:trPr>
          <w:trHeight w:val="250"/>
        </w:trPr>
        <w:tc>
          <w:tcPr>
            <w:tcW w:w="638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Income tax expense</w:t>
            </w:r>
          </w:p>
        </w:tc>
        <w:tc>
          <w:tcPr>
            <w:tcW w:w="48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600</w:t>
            </w:r>
          </w:p>
        </w:tc>
        <w:tc>
          <w:tcPr>
            <w:tcW w:w="48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293</w:t>
            </w:r>
          </w:p>
        </w:tc>
        <w:tc>
          <w:tcPr>
            <w:tcW w:w="48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-1447800</wp:posOffset>
            </wp:positionV>
            <wp:extent cx="7132320" cy="1454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-1177925</wp:posOffset>
            </wp:positionV>
            <wp:extent cx="34290" cy="3168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-1177925</wp:posOffset>
            </wp:positionV>
            <wp:extent cx="33655" cy="3168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-1177925</wp:posOffset>
            </wp:positionV>
            <wp:extent cx="33655" cy="3168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-612140</wp:posOffset>
            </wp:positionV>
            <wp:extent cx="34290" cy="6254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34290" cy="62547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-612140</wp:posOffset>
            </wp:positionV>
            <wp:extent cx="33655" cy="6254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33655" cy="62547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-612140</wp:posOffset>
            </wp:positionV>
            <wp:extent cx="33655" cy="6254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33655" cy="625475"/>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generated foreign pretax earnings of $13 million, earnings of $8 million and a loss of $2 million for the years ended December 31, 2024, 2023 and 2022, respectvely. Deferred foreign income tax expense is not material.</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efectve income tax rate on contnuing operatons varied from the statutory United States income tax rate due to the following tax diferences: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620" w:type="dxa"/>
            <w:vAlign w:val="bottom"/>
            <w:tcBorders>
              <w:right w:val="single" w:sz="8" w:color="007CBA"/>
            </w:tcBorders>
            <w:shd w:val="clear" w:color="auto" w:fill="007CBA"/>
          </w:tcPr>
          <w:p>
            <w:pPr>
              <w:jc w:val="right"/>
              <w:ind w:right="570"/>
              <w:spacing w:after="0"/>
              <w:rPr>
                <w:sz w:val="20"/>
                <w:szCs w:val="20"/>
                <w:color w:val="auto"/>
              </w:rPr>
            </w:pPr>
            <w:r>
              <w:rPr>
                <w:rFonts w:ascii="Calibri" w:cs="Calibri" w:eastAsia="Calibri" w:hAnsi="Calibri"/>
                <w:sz w:val="18"/>
                <w:szCs w:val="18"/>
                <w:b w:val="1"/>
                <w:bCs w:val="1"/>
                <w:color w:val="FFFFFF"/>
              </w:rPr>
              <w:t>2024</w:t>
            </w:r>
          </w:p>
        </w:tc>
        <w:tc>
          <w:tcPr>
            <w:tcW w:w="1660" w:type="dxa"/>
            <w:vAlign w:val="bottom"/>
            <w:tcBorders>
              <w:right w:val="single" w:sz="8" w:color="007CBA"/>
            </w:tcBorders>
            <w:shd w:val="clear" w:color="auto" w:fill="007CBA"/>
          </w:tcPr>
          <w:p>
            <w:pPr>
              <w:jc w:val="right"/>
              <w:ind w:right="590"/>
              <w:spacing w:after="0"/>
              <w:rPr>
                <w:sz w:val="20"/>
                <w:szCs w:val="20"/>
                <w:color w:val="auto"/>
              </w:rPr>
            </w:pPr>
            <w:r>
              <w:rPr>
                <w:rFonts w:ascii="Calibri" w:cs="Calibri" w:eastAsia="Calibri" w:hAnsi="Calibri"/>
                <w:sz w:val="18"/>
                <w:szCs w:val="18"/>
                <w:color w:val="FFFFFF"/>
              </w:rPr>
              <w:t>2023</w:t>
            </w:r>
          </w:p>
        </w:tc>
        <w:tc>
          <w:tcPr>
            <w:tcW w:w="1660" w:type="dxa"/>
            <w:vAlign w:val="bottom"/>
            <w:shd w:val="clear" w:color="auto" w:fill="007CBA"/>
          </w:tcPr>
          <w:p>
            <w:pPr>
              <w:jc w:val="right"/>
              <w:ind w:right="590"/>
              <w:spacing w:after="0"/>
              <w:rPr>
                <w:sz w:val="20"/>
                <w:szCs w:val="20"/>
                <w:color w:val="auto"/>
              </w:rPr>
            </w:pPr>
            <w:r>
              <w:rPr>
                <w:rFonts w:ascii="Calibri" w:cs="Calibri" w:eastAsia="Calibri" w:hAnsi="Calibri"/>
                <w:sz w:val="18"/>
                <w:szCs w:val="18"/>
                <w:color w:val="FFFFFF"/>
              </w:rPr>
              <w:t>2022</w:t>
            </w:r>
          </w:p>
        </w:tc>
      </w:tr>
      <w:tr>
        <w:trPr>
          <w:trHeight w:val="215"/>
        </w:trPr>
        <w:tc>
          <w:tcPr>
            <w:tcW w:w="63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Statutory income tax rate</w:t>
            </w:r>
          </w:p>
        </w:tc>
        <w:tc>
          <w:tcPr>
            <w:tcW w:w="162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21.0 %</w:t>
            </w:r>
          </w:p>
        </w:tc>
        <w:tc>
          <w:tcPr>
            <w:tcW w:w="16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21.0 %</w:t>
            </w: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21.0 %</w:t>
            </w:r>
          </w:p>
        </w:tc>
      </w:tr>
      <w:tr>
        <w:trPr>
          <w:trHeight w:val="217"/>
        </w:trPr>
        <w:tc>
          <w:tcPr>
            <w:tcW w:w="630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(Reducton) increase resultng from:</w:t>
            </w:r>
          </w:p>
        </w:tc>
        <w:tc>
          <w:tcPr>
            <w:tcW w:w="1620" w:type="dxa"/>
            <w:vAlign w:val="bottom"/>
            <w:tcBorders>
              <w:right w:val="single" w:sz="8" w:color="007CBA"/>
            </w:tcBorders>
            <w:shd w:val="clear" w:color="auto" w:fill="E5F1F8"/>
          </w:tcPr>
          <w:p>
            <w:pPr>
              <w:spacing w:after="0"/>
              <w:rPr>
                <w:sz w:val="18"/>
                <w:szCs w:val="18"/>
                <w:color w:val="auto"/>
              </w:rPr>
            </w:pPr>
          </w:p>
        </w:tc>
        <w:tc>
          <w:tcPr>
            <w:tcW w:w="1660" w:type="dxa"/>
            <w:vAlign w:val="bottom"/>
            <w:tcBorders>
              <w:right w:val="single" w:sz="8" w:color="007CBA"/>
            </w:tcBorders>
            <w:shd w:val="clear" w:color="auto" w:fill="E5F1F8"/>
          </w:tcPr>
          <w:p>
            <w:pPr>
              <w:spacing w:after="0"/>
              <w:rPr>
                <w:sz w:val="18"/>
                <w:szCs w:val="18"/>
                <w:color w:val="auto"/>
              </w:rPr>
            </w:pPr>
          </w:p>
        </w:tc>
        <w:tc>
          <w:tcPr>
            <w:tcW w:w="1660" w:type="dxa"/>
            <w:vAlign w:val="bottom"/>
            <w:shd w:val="clear" w:color="auto" w:fill="E5F1F8"/>
          </w:tcPr>
          <w:p>
            <w:pPr>
              <w:spacing w:after="0"/>
              <w:rPr>
                <w:sz w:val="18"/>
                <w:szCs w:val="18"/>
                <w:color w:val="auto"/>
              </w:rPr>
            </w:pPr>
          </w:p>
        </w:tc>
      </w:tr>
      <w:tr>
        <w:trPr>
          <w:trHeight w:val="215"/>
        </w:trPr>
        <w:tc>
          <w:tcPr>
            <w:tcW w:w="63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Efect of statutory depleton</w:t>
            </w:r>
          </w:p>
        </w:tc>
        <w:tc>
          <w:tcPr>
            <w:tcW w:w="1620" w:type="dxa"/>
            <w:vAlign w:val="bottom"/>
            <w:tcBorders>
              <w:right w:val="single" w:sz="8" w:color="007CBA"/>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(1.4 )</w:t>
            </w:r>
          </w:p>
        </w:tc>
        <w:tc>
          <w:tcPr>
            <w:tcW w:w="1660" w:type="dxa"/>
            <w:vAlign w:val="bottom"/>
            <w:tcBorders>
              <w:right w:val="single" w:sz="8" w:color="007CBA"/>
            </w:tcBorders>
          </w:tcPr>
          <w:p>
            <w:pPr>
              <w:jc w:val="right"/>
              <w:ind w:right="10"/>
              <w:spacing w:after="0" w:line="215" w:lineRule="exact"/>
              <w:rPr>
                <w:sz w:val="20"/>
                <w:szCs w:val="20"/>
                <w:color w:val="auto"/>
              </w:rPr>
            </w:pPr>
            <w:r>
              <w:rPr>
                <w:rFonts w:ascii="Calibri" w:cs="Calibri" w:eastAsia="Calibri" w:hAnsi="Calibri"/>
                <w:sz w:val="18"/>
                <w:szCs w:val="18"/>
                <w:color w:val="auto"/>
              </w:rPr>
              <w:t>(2.3 )</w:t>
            </w:r>
          </w:p>
        </w:tc>
        <w:tc>
          <w:tcPr>
            <w:tcW w:w="16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(2.4 )</w:t>
            </w:r>
          </w:p>
        </w:tc>
      </w:tr>
      <w:tr>
        <w:trPr>
          <w:trHeight w:val="217"/>
        </w:trPr>
        <w:tc>
          <w:tcPr>
            <w:tcW w:w="6300" w:type="dxa"/>
            <w:vAlign w:val="bottom"/>
            <w:tcBorders>
              <w:right w:val="single" w:sz="8" w:color="007CBA"/>
            </w:tcBorders>
            <w:shd w:val="clear" w:color="auto" w:fill="E5F1F8"/>
          </w:tcPr>
          <w:p>
            <w:pPr>
              <w:ind w:left="200"/>
              <w:spacing w:after="0" w:line="216" w:lineRule="exact"/>
              <w:rPr>
                <w:sz w:val="20"/>
                <w:szCs w:val="20"/>
                <w:color w:val="auto"/>
              </w:rPr>
            </w:pPr>
            <w:r>
              <w:rPr>
                <w:rFonts w:ascii="Calibri" w:cs="Calibri" w:eastAsia="Calibri" w:hAnsi="Calibri"/>
                <w:sz w:val="18"/>
                <w:szCs w:val="18"/>
                <w:color w:val="auto"/>
              </w:rPr>
              <w:t>State income taxes, net of federal tax beneft</w:t>
            </w:r>
          </w:p>
        </w:tc>
        <w:tc>
          <w:tcPr>
            <w:tcW w:w="1620" w:type="dxa"/>
            <w:vAlign w:val="bottom"/>
            <w:tcBorders>
              <w:right w:val="single" w:sz="8" w:color="007CBA"/>
            </w:tcBorders>
            <w:shd w:val="clear" w:color="auto" w:fill="E5F1F8"/>
          </w:tcPr>
          <w:p>
            <w:pPr>
              <w:jc w:val="right"/>
              <w:ind w:right="110"/>
              <w:spacing w:after="0" w:line="216" w:lineRule="exact"/>
              <w:rPr>
                <w:sz w:val="20"/>
                <w:szCs w:val="20"/>
                <w:color w:val="auto"/>
              </w:rPr>
            </w:pPr>
            <w:r>
              <w:rPr>
                <w:rFonts w:ascii="Calibri" w:cs="Calibri" w:eastAsia="Calibri" w:hAnsi="Calibri"/>
                <w:sz w:val="18"/>
                <w:szCs w:val="18"/>
                <w:b w:val="1"/>
                <w:bCs w:val="1"/>
                <w:color w:val="auto"/>
              </w:rPr>
              <w:t>2.3</w:t>
            </w:r>
          </w:p>
        </w:tc>
        <w:tc>
          <w:tcPr>
            <w:tcW w:w="1660" w:type="dxa"/>
            <w:vAlign w:val="bottom"/>
            <w:tcBorders>
              <w:right w:val="single" w:sz="8" w:color="007CBA"/>
            </w:tcBorders>
            <w:shd w:val="clear" w:color="auto" w:fill="E5F1F8"/>
          </w:tcPr>
          <w:p>
            <w:pPr>
              <w:jc w:val="right"/>
              <w:ind w:right="110"/>
              <w:spacing w:after="0" w:line="216" w:lineRule="exact"/>
              <w:rPr>
                <w:sz w:val="20"/>
                <w:szCs w:val="20"/>
                <w:color w:val="auto"/>
              </w:rPr>
            </w:pPr>
            <w:r>
              <w:rPr>
                <w:rFonts w:ascii="Calibri" w:cs="Calibri" w:eastAsia="Calibri" w:hAnsi="Calibri"/>
                <w:sz w:val="18"/>
                <w:szCs w:val="18"/>
                <w:color w:val="auto"/>
              </w:rPr>
              <w:t>2.1</w:t>
            </w:r>
          </w:p>
        </w:tc>
        <w:tc>
          <w:tcPr>
            <w:tcW w:w="1660" w:type="dxa"/>
            <w:vAlign w:val="bottom"/>
            <w:shd w:val="clear" w:color="auto" w:fill="E5F1F8"/>
          </w:tcPr>
          <w:p>
            <w:pPr>
              <w:jc w:val="right"/>
              <w:ind w:right="110"/>
              <w:spacing w:after="0" w:line="216" w:lineRule="exact"/>
              <w:rPr>
                <w:sz w:val="20"/>
                <w:szCs w:val="20"/>
                <w:color w:val="auto"/>
              </w:rPr>
            </w:pPr>
            <w:r>
              <w:rPr>
                <w:rFonts w:ascii="Calibri" w:cs="Calibri" w:eastAsia="Calibri" w:hAnsi="Calibri"/>
                <w:sz w:val="18"/>
                <w:szCs w:val="18"/>
                <w:color w:val="auto"/>
              </w:rPr>
              <w:t>2.9</w:t>
            </w:r>
          </w:p>
        </w:tc>
      </w:tr>
      <w:tr>
        <w:trPr>
          <w:trHeight w:val="215"/>
        </w:trPr>
        <w:tc>
          <w:tcPr>
            <w:tcW w:w="63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Goodwill write-of for divestture</w:t>
            </w:r>
          </w:p>
        </w:tc>
        <w:tc>
          <w:tcPr>
            <w:tcW w:w="1620" w:type="dxa"/>
            <w:vAlign w:val="bottom"/>
            <w:tcBorders>
              <w:right w:val="single" w:sz="8" w:color="007CBA"/>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1.8</w:t>
            </w:r>
          </w:p>
        </w:tc>
        <w:tc>
          <w:tcPr>
            <w:tcW w:w="1660" w:type="dxa"/>
            <w:vAlign w:val="bottom"/>
            <w:tcBorders>
              <w:right w:val="single" w:sz="8" w:color="007CBA"/>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6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0.5</w:t>
            </w:r>
          </w:p>
        </w:tc>
      </w:tr>
      <w:tr>
        <w:trPr>
          <w:trHeight w:val="217"/>
        </w:trPr>
        <w:tc>
          <w:tcPr>
            <w:tcW w:w="6300" w:type="dxa"/>
            <w:vAlign w:val="bottom"/>
            <w:tcBorders>
              <w:right w:val="single" w:sz="8" w:color="007CBA"/>
            </w:tcBorders>
            <w:shd w:val="clear" w:color="auto" w:fill="E5F1F8"/>
          </w:tcPr>
          <w:p>
            <w:pPr>
              <w:ind w:left="200"/>
              <w:spacing w:after="0" w:line="216" w:lineRule="exact"/>
              <w:rPr>
                <w:sz w:val="20"/>
                <w:szCs w:val="20"/>
                <w:color w:val="auto"/>
              </w:rPr>
            </w:pPr>
            <w:r>
              <w:rPr>
                <w:rFonts w:ascii="Calibri" w:cs="Calibri" w:eastAsia="Calibri" w:hAnsi="Calibri"/>
                <w:sz w:val="18"/>
                <w:szCs w:val="18"/>
                <w:color w:val="auto"/>
              </w:rPr>
              <w:t>Federal tax credits</w:t>
            </w:r>
          </w:p>
        </w:tc>
        <w:tc>
          <w:tcPr>
            <w:tcW w:w="1620" w:type="dxa"/>
            <w:vAlign w:val="bottom"/>
            <w:tcBorders>
              <w:right w:val="single" w:sz="8" w:color="007CBA"/>
            </w:tcBorders>
            <w:shd w:val="clear" w:color="auto" w:fill="E5F1F8"/>
          </w:tcPr>
          <w:p>
            <w:pPr>
              <w:jc w:val="right"/>
              <w:ind w:right="10"/>
              <w:spacing w:after="0" w:line="216" w:lineRule="exact"/>
              <w:rPr>
                <w:sz w:val="20"/>
                <w:szCs w:val="20"/>
                <w:color w:val="auto"/>
              </w:rPr>
            </w:pPr>
            <w:r>
              <w:rPr>
                <w:rFonts w:ascii="Calibri" w:cs="Calibri" w:eastAsia="Calibri" w:hAnsi="Calibri"/>
                <w:sz w:val="18"/>
                <w:szCs w:val="18"/>
                <w:b w:val="1"/>
                <w:bCs w:val="1"/>
                <w:color w:val="auto"/>
              </w:rPr>
              <w:t>(0.5 )</w:t>
            </w:r>
          </w:p>
        </w:tc>
        <w:tc>
          <w:tcPr>
            <w:tcW w:w="1660" w:type="dxa"/>
            <w:vAlign w:val="bottom"/>
            <w:tcBorders>
              <w:right w:val="single" w:sz="8" w:color="007CBA"/>
            </w:tcBorders>
            <w:shd w:val="clear" w:color="auto" w:fill="E5F1F8"/>
          </w:tcPr>
          <w:p>
            <w:pPr>
              <w:jc w:val="right"/>
              <w:ind w:right="10"/>
              <w:spacing w:after="0" w:line="216" w:lineRule="exact"/>
              <w:rPr>
                <w:sz w:val="20"/>
                <w:szCs w:val="20"/>
                <w:color w:val="auto"/>
              </w:rPr>
            </w:pPr>
            <w:r>
              <w:rPr>
                <w:rFonts w:ascii="Calibri" w:cs="Calibri" w:eastAsia="Calibri" w:hAnsi="Calibri"/>
                <w:sz w:val="18"/>
                <w:szCs w:val="18"/>
                <w:color w:val="auto"/>
              </w:rPr>
              <w:t>(0.8 )</w:t>
            </w:r>
          </w:p>
        </w:tc>
        <w:tc>
          <w:tcPr>
            <w:tcW w:w="1660" w:type="dxa"/>
            <w:vAlign w:val="bottom"/>
            <w:shd w:val="clear" w:color="auto" w:fill="E5F1F8"/>
          </w:tcPr>
          <w:p>
            <w:pPr>
              <w:jc w:val="right"/>
              <w:ind w:right="10"/>
              <w:spacing w:after="0" w:line="216" w:lineRule="exact"/>
              <w:rPr>
                <w:sz w:val="20"/>
                <w:szCs w:val="20"/>
                <w:color w:val="auto"/>
              </w:rPr>
            </w:pPr>
            <w:r>
              <w:rPr>
                <w:rFonts w:ascii="Calibri" w:cs="Calibri" w:eastAsia="Calibri" w:hAnsi="Calibri"/>
                <w:sz w:val="18"/>
                <w:szCs w:val="18"/>
                <w:color w:val="auto"/>
              </w:rPr>
              <w:t>(0.9 )</w:t>
            </w:r>
          </w:p>
        </w:tc>
      </w:tr>
      <w:tr>
        <w:trPr>
          <w:trHeight w:val="216"/>
        </w:trPr>
        <w:tc>
          <w:tcPr>
            <w:tcW w:w="63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Equity investments in renewable energy tax credits, net</w:t>
            </w:r>
          </w:p>
        </w:tc>
        <w:tc>
          <w:tcPr>
            <w:tcW w:w="1620" w:type="dxa"/>
            <w:vAlign w:val="bottom"/>
            <w:tcBorders>
              <w:right w:val="single" w:sz="8" w:color="007CBA"/>
            </w:tcBorders>
          </w:tcPr>
          <w:p>
            <w:pPr>
              <w:jc w:val="right"/>
              <w:ind w:right="10"/>
              <w:spacing w:after="0" w:line="215" w:lineRule="exact"/>
              <w:rPr>
                <w:sz w:val="20"/>
                <w:szCs w:val="20"/>
                <w:color w:val="auto"/>
              </w:rPr>
            </w:pPr>
            <w:r>
              <w:rPr>
                <w:rFonts w:ascii="Calibri" w:cs="Calibri" w:eastAsia="Calibri" w:hAnsi="Calibri"/>
                <w:sz w:val="18"/>
                <w:szCs w:val="18"/>
                <w:b w:val="1"/>
                <w:bCs w:val="1"/>
                <w:color w:val="auto"/>
              </w:rPr>
              <w:t>(0.3 )</w:t>
            </w:r>
          </w:p>
        </w:tc>
        <w:tc>
          <w:tcPr>
            <w:tcW w:w="1660" w:type="dxa"/>
            <w:vAlign w:val="bottom"/>
            <w:tcBorders>
              <w:right w:val="single" w:sz="8" w:color="007CBA"/>
            </w:tcBorders>
          </w:tcPr>
          <w:p>
            <w:pPr>
              <w:jc w:val="right"/>
              <w:ind w:right="10"/>
              <w:spacing w:after="0" w:line="215" w:lineRule="exact"/>
              <w:rPr>
                <w:sz w:val="20"/>
                <w:szCs w:val="20"/>
                <w:color w:val="auto"/>
              </w:rPr>
            </w:pPr>
            <w:r>
              <w:rPr>
                <w:rFonts w:ascii="Calibri" w:cs="Calibri" w:eastAsia="Calibri" w:hAnsi="Calibri"/>
                <w:sz w:val="18"/>
                <w:szCs w:val="18"/>
                <w:color w:val="auto"/>
              </w:rPr>
              <w:t>(0.2 )</w:t>
            </w:r>
          </w:p>
        </w:tc>
        <w:tc>
          <w:tcPr>
            <w:tcW w:w="16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300" w:type="dxa"/>
            <w:vAlign w:val="bottom"/>
            <w:tcBorders>
              <w:bottom w:val="single" w:sz="8" w:color="auto"/>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Other items</w:t>
            </w:r>
          </w:p>
        </w:tc>
        <w:tc>
          <w:tcPr>
            <w:tcW w:w="1620" w:type="dxa"/>
            <w:vAlign w:val="bottom"/>
            <w:tcBorders>
              <w:bottom w:val="single" w:sz="8" w:color="auto"/>
              <w:right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b w:val="1"/>
                <w:bCs w:val="1"/>
                <w:color w:val="auto"/>
              </w:rPr>
              <w:t>0.2</w:t>
            </w:r>
          </w:p>
        </w:tc>
        <w:tc>
          <w:tcPr>
            <w:tcW w:w="1660" w:type="dxa"/>
            <w:vAlign w:val="bottom"/>
            <w:tcBorders>
              <w:bottom w:val="single" w:sz="8" w:color="auto"/>
              <w:right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(0.2 )</w:t>
            </w:r>
          </w:p>
        </w:tc>
        <w:tc>
          <w:tcPr>
            <w:tcW w:w="1660" w:type="dxa"/>
            <w:vAlign w:val="bottom"/>
            <w:tcBorders>
              <w:bottom w:val="single" w:sz="8" w:color="auto"/>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0.4</w:t>
            </w:r>
          </w:p>
        </w:tc>
      </w:tr>
      <w:tr>
        <w:trPr>
          <w:trHeight w:val="210"/>
        </w:trPr>
        <w:tc>
          <w:tcPr>
            <w:tcW w:w="630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Efectve income tax rate</w:t>
            </w:r>
          </w:p>
        </w:tc>
        <w:tc>
          <w:tcPr>
            <w:tcW w:w="16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23.1 %</w:t>
            </w:r>
          </w:p>
        </w:tc>
        <w:tc>
          <w:tcPr>
            <w:tcW w:w="16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19.6 %</w:t>
            </w:r>
          </w:p>
        </w:tc>
        <w:tc>
          <w:tcPr>
            <w:tcW w:w="16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21.5 %</w:t>
            </w: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-1276350</wp:posOffset>
            </wp:positionV>
            <wp:extent cx="3180080" cy="12896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3180080" cy="128968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higher 2024 efectve income tax rate versus 2023 was driven by the impact of the February 2024 divestture of the South Texas cement business and certain related ready mixed concrete operatons, which included the write-of of certain nondeductble goodwill. The higher 2022 efectve tax rate versus 2023 was primarily driven by the impact of the divestture of the Colorado and Central Texas ready mixed concrete businesses.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statutory depleton deducton for all years is calculated as a percentage of revenues, subject to certain limitatons. Due to these limitatons, changes in the sales volumes and pretax earnings may not proportonately afect the Company’s statutory depleton deducton and the corresponding impact on the efectve income tax rate. However, the impact of the depleton deducton on the estmated efectve tax rate is inversely afected by increases or decreases in pretax earnings.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invests in renewable energy investment enttes which qualify for tax credits and other tax benefts and are accounted for under the proportonal amortzaton method. For the year ended December 31, 2024, amortzaton of these investments plus income recapture, which are included in the line item </w:t>
      </w:r>
      <w:r>
        <w:rPr>
          <w:rFonts w:ascii="Calibri" w:cs="Calibri" w:eastAsia="Calibri" w:hAnsi="Calibri"/>
          <w:sz w:val="18"/>
          <w:szCs w:val="18"/>
          <w:i w:val="1"/>
          <w:iCs w:val="1"/>
          <w:color w:val="auto"/>
        </w:rPr>
        <w:t>Income tax expense</w:t>
      </w:r>
      <w:r>
        <w:rPr>
          <w:rFonts w:ascii="Calibri" w:cs="Calibri" w:eastAsia="Calibri" w:hAnsi="Calibri"/>
          <w:sz w:val="18"/>
          <w:szCs w:val="18"/>
          <w:color w:val="auto"/>
        </w:rPr>
        <w:t xml:space="preserve"> in the consolidated statements of earnings, were $148 million and $16 million, respectvely, and ofset by $153 million of tax credits and $17 million of other tax benefts. For the year ended December 31, 2023, amortzaton plus income recapture of similar investments were $26 million and $1 million, respectvely, ofset by $24 million of tax credits and $2 million of other tax benefts. There was no investment amortzaton for the year ended December 31, 2022. As of December 31, 2024, the Company has commited to additonal equity contributons of $44 million for tax equity investments related to RETC projects. These amounts, which are expected to be paid in 2025, are recorded in the line item </w:t>
      </w:r>
      <w:r>
        <w:rPr>
          <w:rFonts w:ascii="Calibri" w:cs="Calibri" w:eastAsia="Calibri" w:hAnsi="Calibri"/>
          <w:sz w:val="18"/>
          <w:szCs w:val="18"/>
          <w:i w:val="1"/>
          <w:iCs w:val="1"/>
          <w:color w:val="auto"/>
        </w:rPr>
        <w:t>Other current liabilites</w:t>
      </w:r>
      <w:r>
        <w:rPr>
          <w:rFonts w:ascii="Calibri" w:cs="Calibri" w:eastAsia="Calibri" w:hAnsi="Calibri"/>
          <w:sz w:val="18"/>
          <w:szCs w:val="18"/>
          <w:color w:val="auto"/>
        </w:rPr>
        <w:t xml:space="preserve"> on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86995</wp:posOffset>
            </wp:positionV>
            <wp:extent cx="325755" cy="1968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9" w:name="page90"/>
    <w:bookmarkEnd w:id="89"/>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The Internal Revenue Service has provided certain disaster tax relief for North Carolina businesses afected by Hurricanes Debby and Helene, which allows the Company to defer estmated federal and certain state income, payroll and excise tax payments for the period from August 2024 through April 2025. The deferred obligaton will be due May 1, 2025. The Company deferred income tax payments of $102 million under this provision as of December 31,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60" w:type="dxa"/>
            <w:vAlign w:val="bottom"/>
          </w:tcPr>
          <w:p>
            <w:pPr>
              <w:spacing w:after="0"/>
              <w:rPr>
                <w:sz w:val="20"/>
                <w:szCs w:val="20"/>
                <w:color w:val="auto"/>
              </w:rPr>
            </w:pPr>
            <w:r>
              <w:rPr>
                <w:rFonts w:ascii="Calibri" w:cs="Calibri" w:eastAsia="Calibri" w:hAnsi="Calibri"/>
                <w:sz w:val="18"/>
                <w:szCs w:val="18"/>
                <w:color w:val="auto"/>
              </w:rPr>
              <w:t>The principal components of the Company’s deferred tax assets and liabilites are as follows:</w:t>
            </w: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32"/>
        </w:trPr>
        <w:tc>
          <w:tcPr>
            <w:tcW w:w="7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80" w:type="dxa"/>
            <w:vAlign w:val="bottom"/>
            <w:gridSpan w:val="2"/>
          </w:tcPr>
          <w:p>
            <w:pPr>
              <w:spacing w:after="0"/>
              <w:rPr>
                <w:sz w:val="11"/>
                <w:szCs w:val="11"/>
                <w:color w:val="auto"/>
              </w:rPr>
            </w:pPr>
          </w:p>
        </w:tc>
      </w:tr>
      <w:tr>
        <w:trPr>
          <w:trHeight w:val="215"/>
        </w:trPr>
        <w:tc>
          <w:tcPr>
            <w:tcW w:w="74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580" w:type="dxa"/>
            <w:vAlign w:val="bottom"/>
            <w:shd w:val="clear" w:color="auto" w:fill="007CBA"/>
          </w:tcPr>
          <w:p>
            <w:pPr>
              <w:spacing w:after="0"/>
              <w:rPr>
                <w:sz w:val="18"/>
                <w:szCs w:val="18"/>
                <w:color w:val="auto"/>
              </w:rPr>
            </w:pPr>
          </w:p>
        </w:tc>
        <w:tc>
          <w:tcPr>
            <w:tcW w:w="3200" w:type="dxa"/>
            <w:vAlign w:val="bottom"/>
            <w:gridSpan w:val="3"/>
            <w:shd w:val="clear" w:color="auto" w:fill="007CBA"/>
          </w:tcPr>
          <w:p>
            <w:pPr>
              <w:jc w:val="right"/>
              <w:ind w:right="750"/>
              <w:spacing w:after="0" w:line="215" w:lineRule="exact"/>
              <w:rPr>
                <w:sz w:val="20"/>
                <w:szCs w:val="20"/>
                <w:color w:val="auto"/>
              </w:rPr>
            </w:pPr>
            <w:r>
              <w:rPr>
                <w:rFonts w:ascii="Calibri" w:cs="Calibri" w:eastAsia="Calibri" w:hAnsi="Calibri"/>
                <w:sz w:val="18"/>
                <w:szCs w:val="18"/>
                <w:b w:val="1"/>
                <w:bCs w:val="1"/>
                <w:color w:val="FFFFFF"/>
              </w:rPr>
              <w:t>Deferred Assets (Liabilites)</w:t>
            </w:r>
          </w:p>
        </w:tc>
      </w:tr>
      <w:tr>
        <w:trPr>
          <w:trHeight w:val="224"/>
        </w:trPr>
        <w:tc>
          <w:tcPr>
            <w:tcW w:w="74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80" w:type="dxa"/>
            <w:vAlign w:val="bottom"/>
            <w:tcBorders>
              <w:bottom w:val="single" w:sz="8" w:color="007CBA"/>
            </w:tcBorders>
            <w:shd w:val="clear" w:color="auto" w:fill="007CBA"/>
          </w:tcPr>
          <w:p>
            <w:pPr>
              <w:spacing w:after="0"/>
              <w:rPr>
                <w:sz w:val="19"/>
                <w:szCs w:val="19"/>
                <w:color w:val="auto"/>
              </w:rPr>
            </w:pPr>
          </w:p>
        </w:tc>
        <w:tc>
          <w:tcPr>
            <w:tcW w:w="1320" w:type="dxa"/>
            <w:vAlign w:val="bottom"/>
            <w:tcBorders>
              <w:bottom w:val="single" w:sz="8" w:color="007CBA"/>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tcBorders>
              <w:bottom w:val="single" w:sz="8" w:color="007CBA"/>
            </w:tcBorders>
            <w:shd w:val="clear" w:color="auto" w:fill="007CBA"/>
          </w:tcPr>
          <w:p>
            <w:pPr>
              <w:spacing w:after="0"/>
              <w:rPr>
                <w:sz w:val="19"/>
                <w:szCs w:val="19"/>
                <w:color w:val="auto"/>
              </w:rPr>
            </w:pPr>
          </w:p>
        </w:tc>
        <w:tc>
          <w:tcPr>
            <w:tcW w:w="1320" w:type="dxa"/>
            <w:vAlign w:val="bottom"/>
            <w:tcBorders>
              <w:bottom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2023</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Deferred tax assets related to:</w:t>
            </w:r>
          </w:p>
        </w:tc>
        <w:tc>
          <w:tcPr>
            <w:tcW w:w="580" w:type="dxa"/>
            <w:vAlign w:val="bottom"/>
          </w:tcPr>
          <w:p>
            <w:pPr>
              <w:spacing w:after="0"/>
              <w:rPr>
                <w:sz w:val="18"/>
                <w:szCs w:val="18"/>
                <w:color w:val="auto"/>
              </w:rPr>
            </w:pPr>
          </w:p>
        </w:tc>
        <w:tc>
          <w:tcPr>
            <w:tcW w:w="1320" w:type="dxa"/>
            <w:vAlign w:val="bottom"/>
            <w:tcBorders>
              <w:right w:val="single" w:sz="8" w:color="007CBA"/>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746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Inventories</w:t>
            </w:r>
          </w:p>
        </w:tc>
        <w:tc>
          <w:tcPr>
            <w:tcW w:w="580" w:type="dxa"/>
            <w:vAlign w:val="bottom"/>
            <w:shd w:val="clear" w:color="auto" w:fill="E5F1F8"/>
          </w:tcPr>
          <w:p>
            <w:pPr>
              <w:jc w:val="right"/>
              <w:ind w:right="170"/>
              <w:spacing w:after="0" w:line="216"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b w:val="1"/>
                <w:bCs w:val="1"/>
                <w:color w:val="auto"/>
              </w:rPr>
              <w:t>147</w:t>
            </w:r>
          </w:p>
        </w:tc>
        <w:tc>
          <w:tcPr>
            <w:tcW w:w="560" w:type="dxa"/>
            <w:vAlign w:val="bottom"/>
            <w:shd w:val="clear" w:color="auto" w:fill="E5F1F8"/>
          </w:tcPr>
          <w:p>
            <w:pPr>
              <w:jc w:val="right"/>
              <w:ind w:right="150"/>
              <w:spacing w:after="0" w:line="216" w:lineRule="exact"/>
              <w:rPr>
                <w:sz w:val="20"/>
                <w:szCs w:val="20"/>
                <w:color w:val="auto"/>
              </w:rPr>
            </w:pPr>
            <w:r>
              <w:rPr>
                <w:rFonts w:ascii="Calibri" w:cs="Calibri" w:eastAsia="Calibri" w:hAnsi="Calibri"/>
                <w:sz w:val="18"/>
                <w:szCs w:val="18"/>
                <w:color w:val="auto"/>
              </w:rPr>
              <w:t>$</w:t>
            </w:r>
          </w:p>
        </w:tc>
        <w:tc>
          <w:tcPr>
            <w:tcW w:w="132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121</w:t>
            </w:r>
          </w:p>
        </w:tc>
      </w:tr>
      <w:tr>
        <w:trPr>
          <w:trHeight w:val="215"/>
        </w:trPr>
        <w:tc>
          <w:tcPr>
            <w:tcW w:w="74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Valuaton and other reserves</w:t>
            </w:r>
          </w:p>
        </w:tc>
        <w:tc>
          <w:tcPr>
            <w:tcW w:w="580" w:type="dxa"/>
            <w:vAlign w:val="bottom"/>
          </w:tcPr>
          <w:p>
            <w:pPr>
              <w:spacing w:after="0"/>
              <w:rPr>
                <w:sz w:val="18"/>
                <w:szCs w:val="18"/>
                <w:color w:val="auto"/>
              </w:rPr>
            </w:pPr>
          </w:p>
        </w:tc>
        <w:tc>
          <w:tcPr>
            <w:tcW w:w="13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65</w:t>
            </w:r>
          </w:p>
        </w:tc>
        <w:tc>
          <w:tcPr>
            <w:tcW w:w="560" w:type="dxa"/>
            <w:vAlign w:val="bottom"/>
          </w:tcPr>
          <w:p>
            <w:pPr>
              <w:spacing w:after="0"/>
              <w:rPr>
                <w:sz w:val="18"/>
                <w:szCs w:val="18"/>
                <w:color w:val="auto"/>
              </w:rPr>
            </w:pPr>
          </w:p>
        </w:tc>
        <w:tc>
          <w:tcPr>
            <w:tcW w:w="13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34</w:t>
            </w:r>
          </w:p>
        </w:tc>
      </w:tr>
      <w:tr>
        <w:trPr>
          <w:trHeight w:val="217"/>
        </w:trPr>
        <w:tc>
          <w:tcPr>
            <w:tcW w:w="746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Net operatng loss carryforwards</w:t>
            </w:r>
          </w:p>
        </w:tc>
        <w:tc>
          <w:tcPr>
            <w:tcW w:w="580" w:type="dxa"/>
            <w:vAlign w:val="bottom"/>
            <w:shd w:val="clear" w:color="auto" w:fill="E5F1F8"/>
          </w:tcPr>
          <w:p>
            <w:pPr>
              <w:spacing w:after="0"/>
              <w:rPr>
                <w:sz w:val="18"/>
                <w:szCs w:val="18"/>
                <w:color w:val="auto"/>
              </w:rPr>
            </w:pPr>
          </w:p>
        </w:tc>
        <w:tc>
          <w:tcPr>
            <w:tcW w:w="132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b w:val="1"/>
                <w:bCs w:val="1"/>
                <w:color w:val="auto"/>
              </w:rPr>
              <w:t>2</w:t>
            </w:r>
          </w:p>
        </w:tc>
        <w:tc>
          <w:tcPr>
            <w:tcW w:w="560" w:type="dxa"/>
            <w:vAlign w:val="bottom"/>
            <w:shd w:val="clear" w:color="auto" w:fill="E5F1F8"/>
          </w:tcPr>
          <w:p>
            <w:pPr>
              <w:spacing w:after="0"/>
              <w:rPr>
                <w:sz w:val="18"/>
                <w:szCs w:val="18"/>
                <w:color w:val="auto"/>
              </w:rPr>
            </w:pPr>
          </w:p>
        </w:tc>
        <w:tc>
          <w:tcPr>
            <w:tcW w:w="132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3</w:t>
            </w:r>
          </w:p>
        </w:tc>
      </w:tr>
      <w:tr>
        <w:trPr>
          <w:trHeight w:val="215"/>
        </w:trPr>
        <w:tc>
          <w:tcPr>
            <w:tcW w:w="74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Accumulated other comprehensive loss</w:t>
            </w:r>
          </w:p>
        </w:tc>
        <w:tc>
          <w:tcPr>
            <w:tcW w:w="580" w:type="dxa"/>
            <w:vAlign w:val="bottom"/>
          </w:tcPr>
          <w:p>
            <w:pPr>
              <w:spacing w:after="0"/>
              <w:rPr>
                <w:sz w:val="18"/>
                <w:szCs w:val="18"/>
                <w:color w:val="auto"/>
              </w:rPr>
            </w:pPr>
          </w:p>
        </w:tc>
        <w:tc>
          <w:tcPr>
            <w:tcW w:w="13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41</w:t>
            </w:r>
          </w:p>
        </w:tc>
        <w:tc>
          <w:tcPr>
            <w:tcW w:w="560" w:type="dxa"/>
            <w:vAlign w:val="bottom"/>
          </w:tcPr>
          <w:p>
            <w:pPr>
              <w:spacing w:after="0"/>
              <w:rPr>
                <w:sz w:val="18"/>
                <w:szCs w:val="18"/>
                <w:color w:val="auto"/>
              </w:rPr>
            </w:pPr>
          </w:p>
        </w:tc>
        <w:tc>
          <w:tcPr>
            <w:tcW w:w="13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54</w:t>
            </w:r>
          </w:p>
        </w:tc>
      </w:tr>
      <w:tr>
        <w:trPr>
          <w:trHeight w:val="217"/>
        </w:trPr>
        <w:tc>
          <w:tcPr>
            <w:tcW w:w="746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Lease liabilites</w:t>
            </w:r>
          </w:p>
        </w:tc>
        <w:tc>
          <w:tcPr>
            <w:tcW w:w="580" w:type="dxa"/>
            <w:vAlign w:val="bottom"/>
            <w:shd w:val="clear" w:color="auto" w:fill="E5F1F8"/>
          </w:tcPr>
          <w:p>
            <w:pPr>
              <w:spacing w:after="0"/>
              <w:rPr>
                <w:sz w:val="18"/>
                <w:szCs w:val="18"/>
                <w:color w:val="auto"/>
              </w:rPr>
            </w:pPr>
          </w:p>
        </w:tc>
        <w:tc>
          <w:tcPr>
            <w:tcW w:w="132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b w:val="1"/>
                <w:bCs w:val="1"/>
                <w:color w:val="auto"/>
              </w:rPr>
              <w:t>147</w:t>
            </w:r>
          </w:p>
        </w:tc>
        <w:tc>
          <w:tcPr>
            <w:tcW w:w="560" w:type="dxa"/>
            <w:vAlign w:val="bottom"/>
            <w:shd w:val="clear" w:color="auto" w:fill="E5F1F8"/>
          </w:tcPr>
          <w:p>
            <w:pPr>
              <w:spacing w:after="0"/>
              <w:rPr>
                <w:sz w:val="18"/>
                <w:szCs w:val="18"/>
                <w:color w:val="auto"/>
              </w:rPr>
            </w:pPr>
          </w:p>
        </w:tc>
        <w:tc>
          <w:tcPr>
            <w:tcW w:w="132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142</w:t>
            </w:r>
          </w:p>
        </w:tc>
      </w:tr>
      <w:tr>
        <w:trPr>
          <w:trHeight w:val="215"/>
        </w:trPr>
        <w:tc>
          <w:tcPr>
            <w:tcW w:w="7460" w:type="dxa"/>
            <w:vAlign w:val="bottom"/>
            <w:tcBorders>
              <w:bottom w:val="single" w:sz="8" w:color="auto"/>
            </w:tcBorders>
          </w:tcPr>
          <w:p>
            <w:pPr>
              <w:ind w:left="300"/>
              <w:spacing w:after="0" w:line="215" w:lineRule="exact"/>
              <w:rPr>
                <w:sz w:val="20"/>
                <w:szCs w:val="20"/>
                <w:color w:val="auto"/>
              </w:rPr>
            </w:pPr>
            <w:r>
              <w:rPr>
                <w:rFonts w:ascii="Calibri" w:cs="Calibri" w:eastAsia="Calibri" w:hAnsi="Calibri"/>
                <w:sz w:val="18"/>
                <w:szCs w:val="18"/>
                <w:color w:val="auto"/>
              </w:rPr>
              <w:t>Other items, net</w:t>
            </w: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13</w:t>
            </w: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4</w:t>
            </w:r>
          </w:p>
        </w:tc>
      </w:tr>
      <w:tr>
        <w:trPr>
          <w:trHeight w:val="210"/>
        </w:trPr>
        <w:tc>
          <w:tcPr>
            <w:tcW w:w="7460" w:type="dxa"/>
            <w:vAlign w:val="bottom"/>
            <w:tcBorders>
              <w:right w:val="single" w:sz="8" w:color="007CBA"/>
            </w:tcBorders>
            <w:shd w:val="clear" w:color="auto" w:fill="E5F1F8"/>
          </w:tcPr>
          <w:p>
            <w:pPr>
              <w:ind w:left="120"/>
              <w:spacing w:after="0" w:line="210" w:lineRule="exact"/>
              <w:rPr>
                <w:sz w:val="20"/>
                <w:szCs w:val="20"/>
                <w:color w:val="auto"/>
              </w:rPr>
            </w:pPr>
            <w:r>
              <w:rPr>
                <w:rFonts w:ascii="Calibri" w:cs="Calibri" w:eastAsia="Calibri" w:hAnsi="Calibri"/>
                <w:sz w:val="18"/>
                <w:szCs w:val="18"/>
                <w:color w:val="auto"/>
              </w:rPr>
              <w:t>Gross deferred tax assets</w:t>
            </w:r>
          </w:p>
        </w:tc>
        <w:tc>
          <w:tcPr>
            <w:tcW w:w="580" w:type="dxa"/>
            <w:vAlign w:val="bottom"/>
            <w:shd w:val="clear" w:color="auto" w:fill="E5F1F8"/>
          </w:tcPr>
          <w:p>
            <w:pPr>
              <w:spacing w:after="0"/>
              <w:rPr>
                <w:sz w:val="18"/>
                <w:szCs w:val="18"/>
                <w:color w:val="auto"/>
              </w:rPr>
            </w:pPr>
          </w:p>
        </w:tc>
        <w:tc>
          <w:tcPr>
            <w:tcW w:w="1320" w:type="dxa"/>
            <w:vAlign w:val="bottom"/>
            <w:tcBorders>
              <w:right w:val="single" w:sz="8" w:color="007CBA"/>
            </w:tcBorders>
            <w:shd w:val="clear" w:color="auto" w:fill="E5F1F8"/>
          </w:tcPr>
          <w:p>
            <w:pPr>
              <w:jc w:val="right"/>
              <w:ind w:right="30"/>
              <w:spacing w:after="0" w:line="210" w:lineRule="exact"/>
              <w:rPr>
                <w:sz w:val="20"/>
                <w:szCs w:val="20"/>
                <w:color w:val="auto"/>
              </w:rPr>
            </w:pPr>
            <w:r>
              <w:rPr>
                <w:rFonts w:ascii="Calibri" w:cs="Calibri" w:eastAsia="Calibri" w:hAnsi="Calibri"/>
                <w:sz w:val="18"/>
                <w:szCs w:val="18"/>
                <w:b w:val="1"/>
                <w:bCs w:val="1"/>
                <w:color w:val="auto"/>
              </w:rPr>
              <w:t>415</w:t>
            </w:r>
          </w:p>
        </w:tc>
        <w:tc>
          <w:tcPr>
            <w:tcW w:w="560" w:type="dxa"/>
            <w:vAlign w:val="bottom"/>
            <w:shd w:val="clear" w:color="auto" w:fill="E5F1F8"/>
          </w:tcPr>
          <w:p>
            <w:pPr>
              <w:spacing w:after="0"/>
              <w:rPr>
                <w:sz w:val="18"/>
                <w:szCs w:val="18"/>
                <w:color w:val="auto"/>
              </w:rPr>
            </w:pPr>
          </w:p>
        </w:tc>
        <w:tc>
          <w:tcPr>
            <w:tcW w:w="1320" w:type="dxa"/>
            <w:vAlign w:val="bottom"/>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358</w:t>
            </w:r>
          </w:p>
        </w:tc>
      </w:tr>
      <w:tr>
        <w:trPr>
          <w:trHeight w:val="215"/>
        </w:trPr>
        <w:tc>
          <w:tcPr>
            <w:tcW w:w="746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Valuaton allowance on deferred tax assets</w:t>
            </w: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(2 )</w:t>
            </w: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(3 )</w:t>
            </w:r>
          </w:p>
        </w:tc>
      </w:tr>
      <w:tr>
        <w:trPr>
          <w:trHeight w:val="210"/>
        </w:trPr>
        <w:tc>
          <w:tcPr>
            <w:tcW w:w="746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 net deferred tax assets</w:t>
            </w:r>
          </w:p>
        </w:tc>
        <w:tc>
          <w:tcPr>
            <w:tcW w:w="58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right w:val="single" w:sz="8" w:color="E5F1F8"/>
            </w:tcBorders>
            <w:shd w:val="clear" w:color="auto" w:fill="E5F1F8"/>
          </w:tcPr>
          <w:p>
            <w:pPr>
              <w:jc w:val="right"/>
              <w:ind w:right="30"/>
              <w:spacing w:after="0" w:line="209" w:lineRule="exact"/>
              <w:rPr>
                <w:sz w:val="20"/>
                <w:szCs w:val="20"/>
                <w:color w:val="auto"/>
              </w:rPr>
            </w:pPr>
            <w:r>
              <w:rPr>
                <w:rFonts w:ascii="Calibri" w:cs="Calibri" w:eastAsia="Calibri" w:hAnsi="Calibri"/>
                <w:sz w:val="18"/>
                <w:szCs w:val="18"/>
                <w:b w:val="1"/>
                <w:bCs w:val="1"/>
                <w:color w:val="auto"/>
              </w:rPr>
              <w:t>413</w:t>
            </w:r>
          </w:p>
        </w:tc>
        <w:tc>
          <w:tcPr>
            <w:tcW w:w="56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355</w:t>
            </w:r>
          </w:p>
        </w:tc>
      </w:tr>
      <w:tr>
        <w:trPr>
          <w:trHeight w:val="209"/>
        </w:trPr>
        <w:tc>
          <w:tcPr>
            <w:tcW w:w="7460" w:type="dxa"/>
            <w:vAlign w:val="bottom"/>
            <w:tcBorders>
              <w:right w:val="single" w:sz="8" w:color="007CBA"/>
            </w:tcBorders>
          </w:tcPr>
          <w:p>
            <w:pPr>
              <w:ind w:left="120"/>
              <w:spacing w:after="0" w:line="209" w:lineRule="exact"/>
              <w:rPr>
                <w:sz w:val="20"/>
                <w:szCs w:val="20"/>
                <w:color w:val="auto"/>
              </w:rPr>
            </w:pPr>
            <w:r>
              <w:rPr>
                <w:rFonts w:ascii="Calibri" w:cs="Calibri" w:eastAsia="Calibri" w:hAnsi="Calibri"/>
                <w:sz w:val="18"/>
                <w:szCs w:val="18"/>
                <w:color w:val="auto"/>
              </w:rPr>
              <w:t>Deferred tax liabilites related to:</w:t>
            </w:r>
          </w:p>
        </w:tc>
        <w:tc>
          <w:tcPr>
            <w:tcW w:w="580" w:type="dxa"/>
            <w:vAlign w:val="bottom"/>
          </w:tcPr>
          <w:p>
            <w:pPr>
              <w:spacing w:after="0"/>
              <w:rPr>
                <w:sz w:val="18"/>
                <w:szCs w:val="18"/>
                <w:color w:val="auto"/>
              </w:rPr>
            </w:pPr>
          </w:p>
        </w:tc>
        <w:tc>
          <w:tcPr>
            <w:tcW w:w="1320" w:type="dxa"/>
            <w:vAlign w:val="bottom"/>
            <w:tcBorders>
              <w:right w:val="single" w:sz="8" w:color="007CBA"/>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746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Property, plant and equipment</w:t>
            </w:r>
          </w:p>
        </w:tc>
        <w:tc>
          <w:tcPr>
            <w:tcW w:w="580" w:type="dxa"/>
            <w:vAlign w:val="bottom"/>
            <w:shd w:val="clear" w:color="auto" w:fill="E5F1F8"/>
          </w:tcPr>
          <w:p>
            <w:pPr>
              <w:spacing w:after="0"/>
              <w:rPr>
                <w:sz w:val="18"/>
                <w:szCs w:val="18"/>
                <w:color w:val="auto"/>
              </w:rPr>
            </w:pPr>
          </w:p>
        </w:tc>
        <w:tc>
          <w:tcPr>
            <w:tcW w:w="132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(1,158 )</w:t>
            </w:r>
          </w:p>
        </w:tc>
        <w:tc>
          <w:tcPr>
            <w:tcW w:w="560" w:type="dxa"/>
            <w:vAlign w:val="bottom"/>
            <w:shd w:val="clear" w:color="auto" w:fill="E5F1F8"/>
          </w:tcPr>
          <w:p>
            <w:pPr>
              <w:spacing w:after="0"/>
              <w:rPr>
                <w:sz w:val="18"/>
                <w:szCs w:val="18"/>
                <w:color w:val="auto"/>
              </w:rPr>
            </w:pPr>
          </w:p>
        </w:tc>
        <w:tc>
          <w:tcPr>
            <w:tcW w:w="132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(828 )</w:t>
            </w:r>
          </w:p>
        </w:tc>
      </w:tr>
      <w:tr>
        <w:trPr>
          <w:trHeight w:val="215"/>
        </w:trPr>
        <w:tc>
          <w:tcPr>
            <w:tcW w:w="74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Goodwill and other intangibles</w:t>
            </w:r>
          </w:p>
        </w:tc>
        <w:tc>
          <w:tcPr>
            <w:tcW w:w="580" w:type="dxa"/>
            <w:vAlign w:val="bottom"/>
          </w:tcPr>
          <w:p>
            <w:pPr>
              <w:spacing w:after="0"/>
              <w:rPr>
                <w:sz w:val="18"/>
                <w:szCs w:val="18"/>
                <w:color w:val="auto"/>
              </w:rPr>
            </w:pPr>
          </w:p>
        </w:tc>
        <w:tc>
          <w:tcPr>
            <w:tcW w:w="132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(171 )</w:t>
            </w:r>
          </w:p>
        </w:tc>
        <w:tc>
          <w:tcPr>
            <w:tcW w:w="5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(168 )</w:t>
            </w:r>
          </w:p>
        </w:tc>
      </w:tr>
      <w:tr>
        <w:trPr>
          <w:trHeight w:val="217"/>
        </w:trPr>
        <w:tc>
          <w:tcPr>
            <w:tcW w:w="746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Right-of-use assets</w:t>
            </w:r>
          </w:p>
        </w:tc>
        <w:tc>
          <w:tcPr>
            <w:tcW w:w="580" w:type="dxa"/>
            <w:vAlign w:val="bottom"/>
            <w:shd w:val="clear" w:color="auto" w:fill="E5F1F8"/>
          </w:tcPr>
          <w:p>
            <w:pPr>
              <w:spacing w:after="0"/>
              <w:rPr>
                <w:sz w:val="18"/>
                <w:szCs w:val="18"/>
                <w:color w:val="auto"/>
              </w:rPr>
            </w:pPr>
          </w:p>
        </w:tc>
        <w:tc>
          <w:tcPr>
            <w:tcW w:w="132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(144 )</w:t>
            </w:r>
          </w:p>
        </w:tc>
        <w:tc>
          <w:tcPr>
            <w:tcW w:w="560" w:type="dxa"/>
            <w:vAlign w:val="bottom"/>
            <w:shd w:val="clear" w:color="auto" w:fill="E5F1F8"/>
          </w:tcPr>
          <w:p>
            <w:pPr>
              <w:spacing w:after="0"/>
              <w:rPr>
                <w:sz w:val="18"/>
                <w:szCs w:val="18"/>
                <w:color w:val="auto"/>
              </w:rPr>
            </w:pPr>
          </w:p>
        </w:tc>
        <w:tc>
          <w:tcPr>
            <w:tcW w:w="132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(142 )</w:t>
            </w:r>
          </w:p>
        </w:tc>
      </w:tr>
      <w:tr>
        <w:trPr>
          <w:trHeight w:val="216"/>
        </w:trPr>
        <w:tc>
          <w:tcPr>
            <w:tcW w:w="74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Partnerships and joint ventures</w:t>
            </w:r>
          </w:p>
        </w:tc>
        <w:tc>
          <w:tcPr>
            <w:tcW w:w="580" w:type="dxa"/>
            <w:vAlign w:val="bottom"/>
          </w:tcPr>
          <w:p>
            <w:pPr>
              <w:spacing w:after="0"/>
              <w:rPr>
                <w:sz w:val="18"/>
                <w:szCs w:val="18"/>
                <w:color w:val="auto"/>
              </w:rPr>
            </w:pPr>
          </w:p>
        </w:tc>
        <w:tc>
          <w:tcPr>
            <w:tcW w:w="132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(47 )</w:t>
            </w:r>
          </w:p>
        </w:tc>
        <w:tc>
          <w:tcPr>
            <w:tcW w:w="5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(34 )</w:t>
            </w:r>
          </w:p>
        </w:tc>
      </w:tr>
      <w:tr>
        <w:trPr>
          <w:trHeight w:val="215"/>
        </w:trPr>
        <w:tc>
          <w:tcPr>
            <w:tcW w:w="7460" w:type="dxa"/>
            <w:vAlign w:val="bottom"/>
            <w:tcBorders>
              <w:bottom w:val="single" w:sz="8" w:color="auto"/>
              <w:right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Employee benefts</w:t>
            </w:r>
          </w:p>
        </w:tc>
        <w:tc>
          <w:tcPr>
            <w:tcW w:w="58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(62 )</w:t>
            </w:r>
          </w:p>
        </w:tc>
        <w:tc>
          <w:tcPr>
            <w:tcW w:w="56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(57 )</w:t>
            </w:r>
          </w:p>
        </w:tc>
      </w:tr>
      <w:tr>
        <w:trPr>
          <w:trHeight w:val="210"/>
        </w:trPr>
        <w:tc>
          <w:tcPr>
            <w:tcW w:w="746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 deferred tax liabilites</w:t>
            </w: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(1,582 )</w:t>
            </w: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(1,229 )</w:t>
            </w:r>
          </w:p>
        </w:tc>
      </w:tr>
      <w:tr>
        <w:trPr>
          <w:trHeight w:val="249"/>
        </w:trPr>
        <w:tc>
          <w:tcPr>
            <w:tcW w:w="746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Deferred income taxes, net</w:t>
            </w:r>
          </w:p>
        </w:tc>
        <w:tc>
          <w:tcPr>
            <w:tcW w:w="580" w:type="dxa"/>
            <w:vAlign w:val="bottom"/>
            <w:tcBorders>
              <w:bottom w:val="single" w:sz="8" w:color="auto"/>
            </w:tcBorders>
            <w:shd w:val="clear" w:color="auto" w:fill="E5F1F8"/>
          </w:tcPr>
          <w:p>
            <w:pPr>
              <w:jc w:val="right"/>
              <w:ind w:right="170"/>
              <w:spacing w:after="0" w:line="209"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right w:val="single" w:sz="8" w:color="E5F1F8"/>
            </w:tcBorders>
            <w:shd w:val="clear" w:color="auto" w:fill="E5F1F8"/>
          </w:tcPr>
          <w:p>
            <w:pPr>
              <w:jc w:val="right"/>
              <w:spacing w:after="0" w:line="209" w:lineRule="exact"/>
              <w:rPr>
                <w:sz w:val="20"/>
                <w:szCs w:val="20"/>
                <w:color w:val="auto"/>
              </w:rPr>
            </w:pPr>
            <w:r>
              <w:rPr>
                <w:rFonts w:ascii="Calibri" w:cs="Calibri" w:eastAsia="Calibri" w:hAnsi="Calibri"/>
                <w:sz w:val="18"/>
                <w:szCs w:val="18"/>
                <w:b w:val="1"/>
                <w:bCs w:val="1"/>
                <w:color w:val="auto"/>
              </w:rPr>
              <w:t>(1,169 )</w:t>
            </w:r>
          </w:p>
        </w:tc>
        <w:tc>
          <w:tcPr>
            <w:tcW w:w="560" w:type="dxa"/>
            <w:vAlign w:val="bottom"/>
            <w:tcBorders>
              <w:bottom w:val="single" w:sz="8" w:color="auto"/>
            </w:tcBorders>
            <w:shd w:val="clear" w:color="auto" w:fill="E5F1F8"/>
          </w:tcPr>
          <w:p>
            <w:pPr>
              <w:jc w:val="right"/>
              <w:ind w:right="150"/>
              <w:spacing w:after="0" w:line="209"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shd w:val="clear" w:color="auto" w:fill="E5F1F8"/>
          </w:tcPr>
          <w:p>
            <w:pPr>
              <w:jc w:val="right"/>
              <w:spacing w:after="0" w:line="209" w:lineRule="exact"/>
              <w:rPr>
                <w:sz w:val="20"/>
                <w:szCs w:val="20"/>
                <w:color w:val="auto"/>
              </w:rPr>
            </w:pPr>
            <w:r>
              <w:rPr>
                <w:rFonts w:ascii="Calibri" w:cs="Calibri" w:eastAsia="Calibri" w:hAnsi="Calibri"/>
                <w:sz w:val="18"/>
                <w:szCs w:val="18"/>
                <w:color w:val="auto"/>
              </w:rPr>
              <w:t>(874 )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-2694940</wp:posOffset>
            </wp:positionV>
            <wp:extent cx="7132320" cy="2959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32320" cy="29591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-1726565</wp:posOffset>
            </wp:positionV>
            <wp:extent cx="34290" cy="1708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-1726565</wp:posOffset>
            </wp:positionV>
            <wp:extent cx="34290" cy="1708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-1443990</wp:posOffset>
            </wp:positionV>
            <wp:extent cx="34290" cy="3168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-1443990</wp:posOffset>
            </wp:positionV>
            <wp:extent cx="34290" cy="3168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-466090</wp:posOffset>
            </wp:positionV>
            <wp:extent cx="34290" cy="4794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34290" cy="47942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-466090</wp:posOffset>
            </wp:positionV>
            <wp:extent cx="34290" cy="4794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34290" cy="47942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had immaterial gross domestc federal net operatng loss (NOL) carryforwards at both December 31, 2024 and 2023. The Company had gross domestc state NOL carryforwards of $24 million and $43 million at December 31, 2024 and 2023, respectvely. The domestc federal and state carryforwards have various expiraton dates through 2044. The Company also had immaterial domestc state tax credit carryforwards at December 31, 2024 and 2023, which have various expiraton dates through 2044.</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expects to reinvest the earnings from its wholly-owned Canadian and Bahamian subsidiaries indefnitely, and accordingly, has not provided deferred taxes on the subsidiaries’ undistributed net earnings or basis diferences. The Company believes that the tax liability that would be incurred upon repatriaton of the foreign earnings was immaterial at December 31, 2024 and 2023.</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unrecognized tax benefts are immaterial for the years ended December 31, 2024, 2023 and 2022. Unrecognized tax benefts are reversed as a discrete event if an examinaton of applicable tax returns is not initated by a federal or state tax authority within the statute of limitatons or upon efectve setlement with federal or state tax authorites. Management believes its accrual for unrecognized tax benefts is sufcient to cover uncertain tax positons reviewed during audits by taxing authorites. The Company antcipates an immaterial decrease in its unrecognized tax benefts during the twelve months ending December 31, 2025, due to the expiraton of the statutes of limitatons for the 2021 tax year.</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tax years subject to federal, state or foreign examinatons are 2020 through 2024.</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J: Retrement and Other Beneft Plans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Defned Beneft Retrement Plans. </w:t>
      </w:r>
      <w:r>
        <w:rPr>
          <w:rFonts w:ascii="Calibri" w:cs="Calibri" w:eastAsia="Calibri" w:hAnsi="Calibri"/>
          <w:sz w:val="18"/>
          <w:szCs w:val="18"/>
          <w:color w:val="000000"/>
        </w:rPr>
        <w:t>The Company sponsors defned beneft retrement plans that cover substantally all employees. Defned retrement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benefts for salaried employees are based on each employee’s years of service and average compensaton for a specifed period of tme before retrement. Defned retrement benefts for hourly employees are generally stated amounts for specifed periods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84455</wp:posOffset>
            </wp:positionV>
            <wp:extent cx="325755" cy="1968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0" w:name="page91"/>
    <w:bookmarkEnd w:id="90"/>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sponsors a Supplemental Excess Retrement Plan (SERP) that generally provides for the payment of retrement benefts in excess of allowable Internal Revenue Code limits. The SERP generally provides for a lump-sum payment of vested benefts. When these beneft payments exceed the sum of the service and interest costs for the SERP during a year, the Company recognizes a pro rata porton of the SERP’s unrecognized actuarial loss as setlement expense.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80" w:type="dxa"/>
            <w:vAlign w:val="bottom"/>
          </w:tcPr>
          <w:p>
            <w:pPr>
              <w:spacing w:after="0"/>
              <w:rPr>
                <w:sz w:val="20"/>
                <w:szCs w:val="20"/>
                <w:color w:val="auto"/>
              </w:rPr>
            </w:pPr>
            <w:r>
              <w:rPr>
                <w:rFonts w:ascii="Calibri" w:cs="Calibri" w:eastAsia="Calibri" w:hAnsi="Calibri"/>
                <w:sz w:val="18"/>
                <w:szCs w:val="18"/>
                <w:color w:val="auto"/>
                <w:w w:val="98"/>
              </w:rPr>
              <w:t>The net periodic beneft cost of defned beneft plans includes the following components:</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31"/>
        </w:trPr>
        <w:tc>
          <w:tcPr>
            <w:tcW w:w="6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4"/>
        </w:trPr>
        <w:tc>
          <w:tcPr>
            <w:tcW w:w="638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1160" w:type="dxa"/>
            <w:vAlign w:val="bottom"/>
            <w:shd w:val="clear" w:color="auto" w:fill="007CBA"/>
          </w:tcPr>
          <w:p>
            <w:pPr>
              <w:spacing w:after="0"/>
              <w:rPr>
                <w:sz w:val="16"/>
                <w:szCs w:val="16"/>
                <w:color w:val="auto"/>
              </w:rPr>
            </w:pPr>
          </w:p>
        </w:tc>
      </w:tr>
      <w:tr>
        <w:trPr>
          <w:trHeight w:val="218"/>
        </w:trPr>
        <w:tc>
          <w:tcPr>
            <w:tcW w:w="63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2024</w:t>
            </w:r>
          </w:p>
        </w:tc>
        <w:tc>
          <w:tcPr>
            <w:tcW w:w="46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2023</w:t>
            </w:r>
          </w:p>
        </w:tc>
        <w:tc>
          <w:tcPr>
            <w:tcW w:w="46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Service cost</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38</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33</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48</w:t>
            </w:r>
          </w:p>
        </w:tc>
      </w:tr>
      <w:tr>
        <w:trPr>
          <w:trHeight w:val="217"/>
        </w:trPr>
        <w:tc>
          <w:tcPr>
            <w:tcW w:w="63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Interest cost</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55</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51</w:t>
            </w: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41</w:t>
            </w:r>
          </w:p>
        </w:tc>
      </w:tr>
      <w:tr>
        <w:trPr>
          <w:trHeight w:val="215"/>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Expected return on assets</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(79 )</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(71 )</w:t>
            </w:r>
          </w:p>
        </w:tc>
        <w:tc>
          <w:tcPr>
            <w:tcW w:w="4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(77 )</w:t>
            </w:r>
          </w:p>
        </w:tc>
      </w:tr>
      <w:tr>
        <w:trPr>
          <w:trHeight w:val="217"/>
        </w:trPr>
        <w:tc>
          <w:tcPr>
            <w:tcW w:w="63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Amortzaton of:</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spacing w:after="0"/>
              <w:rPr>
                <w:sz w:val="18"/>
                <w:szCs w:val="18"/>
                <w:color w:val="auto"/>
              </w:rPr>
            </w:pPr>
          </w:p>
        </w:tc>
      </w:tr>
      <w:tr>
        <w:trPr>
          <w:trHeight w:val="215"/>
        </w:trPr>
        <w:tc>
          <w:tcPr>
            <w:tcW w:w="638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Prior service cost</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6</w:t>
            </w:r>
          </w:p>
        </w:tc>
        <w:tc>
          <w:tcPr>
            <w:tcW w:w="46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4</w:t>
            </w:r>
          </w:p>
        </w:tc>
      </w:tr>
      <w:tr>
        <w:trPr>
          <w:trHeight w:val="217"/>
        </w:trPr>
        <w:tc>
          <w:tcPr>
            <w:tcW w:w="638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Actuarial loss</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2</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w:t>
            </w: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w:t>
            </w:r>
          </w:p>
        </w:tc>
      </w:tr>
      <w:tr>
        <w:trPr>
          <w:trHeight w:val="215"/>
        </w:trPr>
        <w:tc>
          <w:tcPr>
            <w:tcW w:w="638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Setlement charge</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5</w:t>
            </w:r>
          </w:p>
        </w:tc>
      </w:tr>
      <w:tr>
        <w:trPr>
          <w:trHeight w:val="250"/>
        </w:trPr>
        <w:tc>
          <w:tcPr>
            <w:tcW w:w="638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Net periodic beneft cost</w:t>
            </w:r>
          </w:p>
        </w:tc>
        <w:tc>
          <w:tcPr>
            <w:tcW w:w="460" w:type="dxa"/>
            <w:vAlign w:val="bottom"/>
            <w:tcBorders>
              <w:bottom w:val="single" w:sz="8" w:color="auto"/>
            </w:tcBorders>
            <w:shd w:val="clear" w:color="auto" w:fill="E5F1F8"/>
          </w:tcPr>
          <w:p>
            <w:pPr>
              <w:jc w:val="right"/>
              <w:ind w:right="90"/>
              <w:spacing w:after="0" w:line="209"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22</w:t>
            </w:r>
          </w:p>
        </w:tc>
        <w:tc>
          <w:tcPr>
            <w:tcW w:w="460" w:type="dxa"/>
            <w:vAlign w:val="bottom"/>
            <w:tcBorders>
              <w:bottom w:val="single" w:sz="8" w:color="auto"/>
            </w:tcBorders>
            <w:shd w:val="clear" w:color="auto" w:fill="E5F1F8"/>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20</w:t>
            </w:r>
          </w:p>
        </w:tc>
        <w:tc>
          <w:tcPr>
            <w:tcW w:w="460" w:type="dxa"/>
            <w:vAlign w:val="bottom"/>
            <w:tcBorders>
              <w:bottom w:val="single" w:sz="8" w:color="auto"/>
            </w:tcBorders>
            <w:shd w:val="clear" w:color="auto" w:fill="E5F1F8"/>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-320675</wp:posOffset>
            </wp:positionV>
            <wp:extent cx="34290" cy="3340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-320675</wp:posOffset>
            </wp:positionV>
            <wp:extent cx="33655" cy="3340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-320675</wp:posOffset>
            </wp:positionV>
            <wp:extent cx="33655" cy="3340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components of net periodic beneft cost, other than service cost, are included in the line item </w:t>
      </w:r>
      <w:r>
        <w:rPr>
          <w:rFonts w:ascii="Calibri" w:cs="Calibri" w:eastAsia="Calibri" w:hAnsi="Calibri"/>
          <w:sz w:val="18"/>
          <w:szCs w:val="18"/>
          <w:i w:val="1"/>
          <w:iCs w:val="1"/>
          <w:color w:val="auto"/>
        </w:rPr>
        <w:t>Other nonoperatng income, net</w:t>
      </w:r>
      <w:r>
        <w:rPr>
          <w:rFonts w:ascii="Calibri" w:cs="Calibri" w:eastAsia="Calibri" w:hAnsi="Calibri"/>
          <w:sz w:val="18"/>
          <w:szCs w:val="18"/>
          <w:color w:val="auto"/>
        </w:rPr>
        <w:t xml:space="preserve">, in the consolidated statements of earnings. Based on the roles of the employees, service cost is included in </w:t>
      </w:r>
      <w:r>
        <w:rPr>
          <w:rFonts w:ascii="Calibri" w:cs="Calibri" w:eastAsia="Calibri" w:hAnsi="Calibri"/>
          <w:sz w:val="18"/>
          <w:szCs w:val="18"/>
          <w:i w:val="1"/>
          <w:iCs w:val="1"/>
          <w:color w:val="auto"/>
        </w:rPr>
        <w:t>Cost of revenues</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Selling</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general and administratve expenses</w:t>
      </w:r>
      <w:r>
        <w:rPr>
          <w:rFonts w:ascii="Calibri" w:cs="Calibri" w:eastAsia="Calibri" w:hAnsi="Calibri"/>
          <w:sz w:val="18"/>
          <w:szCs w:val="18"/>
          <w:color w:val="auto"/>
        </w:rPr>
        <w:t xml:space="preserve"> line items in the consolidated statements of earnings.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expected return on assets is calculated by applying an annually selected expected long-term rate of return assumpton to the estmated fair value of the plan assets during the year, giving consideraton to contributons and benefts paid.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recognized the following pretax amounts in consolidated comprehensive earnings: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16"/>
        </w:trPr>
        <w:tc>
          <w:tcPr>
            <w:tcW w:w="638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2024</w:t>
            </w: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2023</w:t>
            </w: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Actuarial (gain) loss</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(44 )</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21</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(115 )</w:t>
            </w:r>
          </w:p>
        </w:tc>
      </w:tr>
      <w:tr>
        <w:trPr>
          <w:trHeight w:val="217"/>
        </w:trPr>
        <w:tc>
          <w:tcPr>
            <w:tcW w:w="63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Prior service cost</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b w:val="1"/>
                <w:bCs w:val="1"/>
                <w:color w:val="auto"/>
              </w:rPr>
              <w:t>—</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48</w:t>
            </w:r>
          </w:p>
        </w:tc>
      </w:tr>
      <w:tr>
        <w:trPr>
          <w:trHeight w:val="215"/>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Amortzaton of:</w:t>
            </w:r>
          </w:p>
        </w:tc>
        <w:tc>
          <w:tcPr>
            <w:tcW w:w="46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38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Prior service cost</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(6 )</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(6 )</w:t>
            </w: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(4 )</w:t>
            </w:r>
          </w:p>
        </w:tc>
      </w:tr>
      <w:tr>
        <w:trPr>
          <w:trHeight w:val="216"/>
        </w:trPr>
        <w:tc>
          <w:tcPr>
            <w:tcW w:w="638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Actuarial loss</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(2 )</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(1 )</w:t>
            </w:r>
          </w:p>
        </w:tc>
        <w:tc>
          <w:tcPr>
            <w:tcW w:w="4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(4 )</w:t>
            </w:r>
          </w:p>
        </w:tc>
      </w:tr>
      <w:tr>
        <w:trPr>
          <w:trHeight w:val="215"/>
        </w:trPr>
        <w:tc>
          <w:tcPr>
            <w:tcW w:w="63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Setlement charge</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(5 )</w:t>
            </w:r>
          </w:p>
        </w:tc>
      </w:tr>
      <w:tr>
        <w:trPr>
          <w:trHeight w:val="210"/>
        </w:trPr>
        <w:tc>
          <w:tcPr>
            <w:tcW w:w="638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46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(52 )</w:t>
            </w:r>
          </w:p>
        </w:tc>
        <w:tc>
          <w:tcPr>
            <w:tcW w:w="46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14</w:t>
            </w:r>
          </w:p>
        </w:tc>
        <w:tc>
          <w:tcPr>
            <w:tcW w:w="46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(80 )</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-320675</wp:posOffset>
            </wp:positionV>
            <wp:extent cx="34290" cy="3340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-320675</wp:posOffset>
            </wp:positionV>
            <wp:extent cx="33655" cy="3340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-320675</wp:posOffset>
            </wp:positionV>
            <wp:extent cx="33655" cy="3340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2022, the Company amended its qualifed pension plan to provide an enhanced beneft for eligible hourly actve partcipants who retre subsequent to April 30, 2022, which resulted in a remeasurement of the qualifed pension plan as of February 28, 2022. The remeasurement increased the defned beneft plans’ unrecognized prior service cost by $48 million.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Accumulated other comprehensive loss includes the following amounts that have not yet been recognized in net periodic beneft cost: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00" w:type="dxa"/>
            <w:vAlign w:val="bottom"/>
            <w:shd w:val="clear" w:color="auto" w:fill="007CBA"/>
          </w:tcPr>
          <w:p>
            <w:pPr>
              <w:spacing w:after="0"/>
              <w:rPr>
                <w:sz w:val="19"/>
                <w:szCs w:val="19"/>
                <w:color w:val="auto"/>
              </w:rPr>
            </w:pPr>
          </w:p>
        </w:tc>
        <w:tc>
          <w:tcPr>
            <w:tcW w:w="1360" w:type="dxa"/>
            <w:vAlign w:val="bottom"/>
            <w:gridSpan w:val="2"/>
            <w:shd w:val="clear" w:color="auto" w:fill="007CBA"/>
          </w:tcPr>
          <w:p>
            <w:pPr>
              <w:jc w:val="right"/>
              <w:ind w:right="50"/>
              <w:spacing w:after="0"/>
              <w:rPr>
                <w:sz w:val="20"/>
                <w:szCs w:val="20"/>
                <w:color w:val="auto"/>
              </w:rPr>
            </w:pPr>
            <w:r>
              <w:rPr>
                <w:rFonts w:ascii="Calibri" w:cs="Calibri" w:eastAsia="Calibri" w:hAnsi="Calibri"/>
                <w:sz w:val="18"/>
                <w:szCs w:val="18"/>
                <w:b w:val="1"/>
                <w:bCs w:val="1"/>
                <w:color w:val="FFFFFF"/>
              </w:rPr>
              <w:t>2024</w:t>
            </w:r>
          </w:p>
        </w:tc>
        <w:tc>
          <w:tcPr>
            <w:tcW w:w="110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320" w:type="dxa"/>
            <w:vAlign w:val="bottom"/>
            <w:gridSpan w:val="2"/>
            <w:shd w:val="clear" w:color="auto" w:fill="007CBA"/>
          </w:tcPr>
          <w:p>
            <w:pPr>
              <w:jc w:val="right"/>
              <w:ind w:right="10"/>
              <w:spacing w:after="0"/>
              <w:rPr>
                <w:sz w:val="20"/>
                <w:szCs w:val="20"/>
                <w:color w:val="auto"/>
              </w:rPr>
            </w:pPr>
            <w:r>
              <w:rPr>
                <w:rFonts w:ascii="Calibri" w:cs="Calibri" w:eastAsia="Calibri" w:hAnsi="Calibri"/>
                <w:sz w:val="18"/>
                <w:szCs w:val="18"/>
                <w:color w:val="FFFFFF"/>
              </w:rPr>
              <w:t>2023</w:t>
            </w:r>
          </w:p>
        </w:tc>
        <w:tc>
          <w:tcPr>
            <w:tcW w:w="1100" w:type="dxa"/>
            <w:vAlign w:val="bottom"/>
            <w:shd w:val="clear" w:color="auto" w:fill="007CBA"/>
          </w:tcPr>
          <w:p>
            <w:pPr>
              <w:spacing w:after="0"/>
              <w:rPr>
                <w:sz w:val="19"/>
                <w:szCs w:val="19"/>
                <w:color w:val="auto"/>
              </w:rPr>
            </w:pPr>
          </w:p>
        </w:tc>
      </w:tr>
      <w:tr>
        <w:trPr>
          <w:trHeight w:val="216"/>
        </w:trPr>
        <w:tc>
          <w:tcPr>
            <w:tcW w:w="558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00" w:type="dxa"/>
            <w:vAlign w:val="bottom"/>
            <w:shd w:val="clear" w:color="auto" w:fill="007CBA"/>
          </w:tcPr>
          <w:p>
            <w:pPr>
              <w:spacing w:after="0"/>
              <w:rPr>
                <w:sz w:val="18"/>
                <w:szCs w:val="18"/>
                <w:color w:val="auto"/>
              </w:rPr>
            </w:pPr>
          </w:p>
        </w:tc>
        <w:tc>
          <w:tcPr>
            <w:tcW w:w="1060" w:type="dxa"/>
            <w:vAlign w:val="bottom"/>
            <w:tcBorders>
              <w:right w:val="single" w:sz="8" w:color="007CBA"/>
            </w:tcBorders>
            <w:shd w:val="clear" w:color="auto" w:fill="007CBA"/>
          </w:tcPr>
          <w:p>
            <w:pPr>
              <w:jc w:val="right"/>
              <w:ind w:right="410"/>
              <w:spacing w:after="0" w:line="215" w:lineRule="exact"/>
              <w:rPr>
                <w:sz w:val="20"/>
                <w:szCs w:val="20"/>
                <w:color w:val="auto"/>
              </w:rPr>
            </w:pPr>
            <w:r>
              <w:rPr>
                <w:rFonts w:ascii="Calibri" w:cs="Calibri" w:eastAsia="Calibri" w:hAnsi="Calibri"/>
                <w:sz w:val="18"/>
                <w:szCs w:val="18"/>
                <w:b w:val="1"/>
                <w:bCs w:val="1"/>
                <w:color w:val="FFFFFF"/>
              </w:rPr>
              <w:t>Gross</w:t>
            </w:r>
          </w:p>
        </w:tc>
        <w:tc>
          <w:tcPr>
            <w:tcW w:w="30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right"/>
              <w:ind w:right="250"/>
              <w:spacing w:after="0" w:line="215" w:lineRule="exact"/>
              <w:rPr>
                <w:sz w:val="20"/>
                <w:szCs w:val="20"/>
                <w:color w:val="auto"/>
              </w:rPr>
            </w:pPr>
            <w:r>
              <w:rPr>
                <w:rFonts w:ascii="Calibri" w:cs="Calibri" w:eastAsia="Calibri" w:hAnsi="Calibri"/>
                <w:sz w:val="18"/>
                <w:szCs w:val="18"/>
                <w:b w:val="1"/>
                <w:bCs w:val="1"/>
                <w:color w:val="FFFFFF"/>
                <w:w w:val="99"/>
              </w:rPr>
              <w:t>Net of tax</w:t>
            </w:r>
          </w:p>
        </w:tc>
        <w:tc>
          <w:tcPr>
            <w:tcW w:w="380" w:type="dxa"/>
            <w:vAlign w:val="bottom"/>
            <w:shd w:val="clear" w:color="auto" w:fill="007CBA"/>
          </w:tcPr>
          <w:p>
            <w:pPr>
              <w:spacing w:after="0"/>
              <w:rPr>
                <w:sz w:val="18"/>
                <w:szCs w:val="18"/>
                <w:color w:val="auto"/>
              </w:rPr>
            </w:pPr>
          </w:p>
        </w:tc>
        <w:tc>
          <w:tcPr>
            <w:tcW w:w="1020" w:type="dxa"/>
            <w:vAlign w:val="bottom"/>
            <w:tcBorders>
              <w:right w:val="single" w:sz="8" w:color="007CBA"/>
            </w:tcBorders>
            <w:shd w:val="clear" w:color="auto" w:fill="007CBA"/>
          </w:tcPr>
          <w:p>
            <w:pPr>
              <w:jc w:val="right"/>
              <w:ind w:right="390"/>
              <w:spacing w:after="0" w:line="215" w:lineRule="exact"/>
              <w:rPr>
                <w:sz w:val="20"/>
                <w:szCs w:val="20"/>
                <w:color w:val="auto"/>
              </w:rPr>
            </w:pPr>
            <w:r>
              <w:rPr>
                <w:rFonts w:ascii="Calibri" w:cs="Calibri" w:eastAsia="Calibri" w:hAnsi="Calibri"/>
                <w:sz w:val="18"/>
                <w:szCs w:val="18"/>
                <w:b w:val="1"/>
                <w:bCs w:val="1"/>
                <w:color w:val="FFFFFF"/>
              </w:rPr>
              <w:t>Gross</w:t>
            </w:r>
          </w:p>
        </w:tc>
        <w:tc>
          <w:tcPr>
            <w:tcW w:w="300" w:type="dxa"/>
            <w:vAlign w:val="bottom"/>
            <w:shd w:val="clear" w:color="auto" w:fill="007CBA"/>
          </w:tcPr>
          <w:p>
            <w:pPr>
              <w:spacing w:after="0"/>
              <w:rPr>
                <w:sz w:val="18"/>
                <w:szCs w:val="18"/>
                <w:color w:val="auto"/>
              </w:rPr>
            </w:pPr>
          </w:p>
        </w:tc>
        <w:tc>
          <w:tcPr>
            <w:tcW w:w="1100" w:type="dxa"/>
            <w:vAlign w:val="bottom"/>
            <w:shd w:val="clear" w:color="auto" w:fill="007CBA"/>
          </w:tcPr>
          <w:p>
            <w:pPr>
              <w:jc w:val="right"/>
              <w:ind w:right="230"/>
              <w:spacing w:after="0" w:line="215" w:lineRule="exact"/>
              <w:rPr>
                <w:sz w:val="20"/>
                <w:szCs w:val="20"/>
                <w:color w:val="auto"/>
              </w:rPr>
            </w:pPr>
            <w:r>
              <w:rPr>
                <w:rFonts w:ascii="Calibri" w:cs="Calibri" w:eastAsia="Calibri" w:hAnsi="Calibri"/>
                <w:sz w:val="18"/>
                <w:szCs w:val="18"/>
                <w:b w:val="1"/>
                <w:bCs w:val="1"/>
                <w:color w:val="FFFFFF"/>
              </w:rPr>
              <w:t>Net of tax</w:t>
            </w:r>
          </w:p>
        </w:tc>
      </w:tr>
      <w:tr>
        <w:trPr>
          <w:trHeight w:val="216"/>
        </w:trPr>
        <w:tc>
          <w:tcPr>
            <w:tcW w:w="5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Prior service cost</w:t>
            </w:r>
          </w:p>
        </w:tc>
        <w:tc>
          <w:tcPr>
            <w:tcW w:w="40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37</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7</w:t>
            </w:r>
          </w:p>
        </w:tc>
        <w:tc>
          <w:tcPr>
            <w:tcW w:w="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42</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20</w:t>
            </w:r>
          </w:p>
        </w:tc>
      </w:tr>
      <w:tr>
        <w:trPr>
          <w:trHeight w:val="215"/>
        </w:trPr>
        <w:tc>
          <w:tcPr>
            <w:tcW w:w="55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Actuarial loss</w:t>
            </w:r>
          </w:p>
        </w:tc>
        <w:tc>
          <w:tcPr>
            <w:tcW w:w="400" w:type="dxa"/>
            <w:vAlign w:val="bottom"/>
            <w:tcBorders>
              <w:bottom w:val="single" w:sz="8" w:color="auto"/>
            </w:tcBorders>
            <w:shd w:val="clear" w:color="auto" w:fill="E5F1F8"/>
          </w:tcPr>
          <w:p>
            <w:pPr>
              <w:spacing w:after="0"/>
              <w:rPr>
                <w:sz w:val="18"/>
                <w:szCs w:val="18"/>
                <w:color w:val="auto"/>
              </w:rPr>
            </w:pPr>
          </w:p>
        </w:tc>
        <w:tc>
          <w:tcPr>
            <w:tcW w:w="106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17</w:t>
            </w:r>
          </w:p>
        </w:tc>
        <w:tc>
          <w:tcPr>
            <w:tcW w:w="300" w:type="dxa"/>
            <w:vAlign w:val="bottom"/>
            <w:tcBorders>
              <w:bottom w:val="single" w:sz="8" w:color="auto"/>
            </w:tcBorders>
            <w:shd w:val="clear" w:color="auto" w:fill="E5F1F8"/>
          </w:tcPr>
          <w:p>
            <w:pPr>
              <w:spacing w:after="0"/>
              <w:rPr>
                <w:sz w:val="18"/>
                <w:szCs w:val="18"/>
                <w:color w:val="auto"/>
              </w:rPr>
            </w:pPr>
          </w:p>
        </w:tc>
        <w:tc>
          <w:tcPr>
            <w:tcW w:w="110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w:t>
            </w:r>
          </w:p>
        </w:tc>
        <w:tc>
          <w:tcPr>
            <w:tcW w:w="380" w:type="dxa"/>
            <w:vAlign w:val="bottom"/>
            <w:tcBorders>
              <w:bottom w:val="single" w:sz="8" w:color="auto"/>
            </w:tcBorders>
            <w:shd w:val="clear" w:color="auto" w:fill="E5F1F8"/>
          </w:tcPr>
          <w:p>
            <w:pPr>
              <w:spacing w:after="0"/>
              <w:rPr>
                <w:sz w:val="18"/>
                <w:szCs w:val="18"/>
                <w:color w:val="auto"/>
              </w:rPr>
            </w:pPr>
          </w:p>
        </w:tc>
        <w:tc>
          <w:tcPr>
            <w:tcW w:w="102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64</w:t>
            </w:r>
          </w:p>
        </w:tc>
        <w:tc>
          <w:tcPr>
            <w:tcW w:w="300" w:type="dxa"/>
            <w:vAlign w:val="bottom"/>
            <w:tcBorders>
              <w:bottom w:val="single" w:sz="8" w:color="auto"/>
            </w:tcBorders>
            <w:shd w:val="clear" w:color="auto" w:fill="E5F1F8"/>
          </w:tcPr>
          <w:p>
            <w:pPr>
              <w:spacing w:after="0"/>
              <w:rPr>
                <w:sz w:val="18"/>
                <w:szCs w:val="18"/>
                <w:color w:val="auto"/>
              </w:rPr>
            </w:pPr>
          </w:p>
        </w:tc>
        <w:tc>
          <w:tcPr>
            <w:tcW w:w="110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30</w:t>
            </w:r>
          </w:p>
        </w:tc>
      </w:tr>
      <w:tr>
        <w:trPr>
          <w:trHeight w:val="209"/>
        </w:trPr>
        <w:tc>
          <w:tcPr>
            <w:tcW w:w="558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40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54</w:t>
            </w:r>
          </w:p>
        </w:tc>
        <w:tc>
          <w:tcPr>
            <w:tcW w:w="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10</w:t>
            </w:r>
          </w:p>
        </w:tc>
        <w:tc>
          <w:tcPr>
            <w:tcW w:w="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106</w:t>
            </w:r>
          </w:p>
        </w:tc>
        <w:tc>
          <w:tcPr>
            <w:tcW w:w="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50</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205740</wp:posOffset>
            </wp:positionV>
            <wp:extent cx="325755" cy="1968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-591185</wp:posOffset>
            </wp:positionV>
            <wp:extent cx="34886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-320675</wp:posOffset>
            </wp:positionV>
            <wp:extent cx="33655" cy="3340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-320675</wp:posOffset>
            </wp:positionV>
            <wp:extent cx="34290" cy="3340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-320675</wp:posOffset>
            </wp:positionV>
            <wp:extent cx="33655" cy="3340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-320675</wp:posOffset>
            </wp:positionV>
            <wp:extent cx="34290" cy="3340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308"/>
        </w:trPr>
        <w:tc>
          <w:tcPr>
            <w:tcW w:w="61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w:t>
            </w:r>
          </w:p>
        </w:tc>
        <w:tc>
          <w:tcPr>
            <w:tcW w:w="3440" w:type="dxa"/>
            <w:vAlign w:val="bottom"/>
            <w:gridSpan w:val="3"/>
          </w:tcPr>
          <w:p>
            <w:pPr>
              <w:jc w:val="right"/>
              <w:spacing w:after="0"/>
              <w:rPr>
                <w:sz w:val="20"/>
                <w:szCs w:val="20"/>
                <w:color w:val="auto"/>
              </w:rPr>
            </w:pPr>
            <w:r>
              <w:rPr>
                <w:rFonts w:ascii="Calibri" w:cs="Calibri" w:eastAsia="Calibri" w:hAnsi="Calibri"/>
                <w:sz w:val="18"/>
                <w:szCs w:val="18"/>
                <w:color w:val="auto"/>
                <w:w w:val="97"/>
              </w:rPr>
              <w:t>– Financial Statements and Supplementary Data</w:t>
            </w:r>
          </w:p>
        </w:tc>
      </w:tr>
      <w:tr>
        <w:trPr>
          <w:trHeight w:val="361"/>
        </w:trPr>
        <w:tc>
          <w:tcPr>
            <w:tcW w:w="6100" w:type="dxa"/>
            <w:vAlign w:val="bottom"/>
          </w:tcPr>
          <w:p>
            <w:pPr>
              <w:spacing w:after="0"/>
              <w:rPr>
                <w:sz w:val="20"/>
                <w:szCs w:val="20"/>
                <w:color w:val="auto"/>
              </w:rPr>
            </w:pPr>
            <w:r>
              <w:rPr>
                <w:rFonts w:ascii="Calibri" w:cs="Calibri" w:eastAsia="Calibri" w:hAnsi="Calibri"/>
                <w:sz w:val="18"/>
                <w:szCs w:val="18"/>
                <w:color w:val="auto"/>
              </w:rPr>
              <w:t>The defned beneft plans’ change in projected beneft obligaton is as follows:</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32"/>
        </w:trPr>
        <w:tc>
          <w:tcPr>
            <w:tcW w:w="6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15"/>
        </w:trPr>
        <w:tc>
          <w:tcPr>
            <w:tcW w:w="6100" w:type="dxa"/>
            <w:vAlign w:val="bottom"/>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140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56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40" w:type="dxa"/>
            <w:vAlign w:val="bottom"/>
            <w:shd w:val="clear" w:color="auto" w:fill="007CBA"/>
          </w:tcPr>
          <w:p>
            <w:pPr>
              <w:spacing w:after="0"/>
              <w:rPr>
                <w:sz w:val="18"/>
                <w:szCs w:val="18"/>
                <w:color w:val="auto"/>
              </w:rPr>
            </w:pPr>
          </w:p>
        </w:tc>
      </w:tr>
      <w:tr>
        <w:trPr>
          <w:trHeight w:val="217"/>
        </w:trPr>
        <w:tc>
          <w:tcPr>
            <w:tcW w:w="6100" w:type="dxa"/>
            <w:vAlign w:val="bottom"/>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40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560" w:type="dxa"/>
            <w:vAlign w:val="bottom"/>
            <w:tcBorders>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b w:val="1"/>
                <w:bCs w:val="1"/>
                <w:color w:val="FFFFFF"/>
              </w:rPr>
              <w:t>2024</w:t>
            </w:r>
          </w:p>
        </w:tc>
        <w:tc>
          <w:tcPr>
            <w:tcW w:w="540" w:type="dxa"/>
            <w:vAlign w:val="bottom"/>
            <w:shd w:val="clear" w:color="auto" w:fill="007CBA"/>
          </w:tcPr>
          <w:p>
            <w:pPr>
              <w:spacing w:after="0"/>
              <w:rPr>
                <w:sz w:val="18"/>
                <w:szCs w:val="18"/>
                <w:color w:val="auto"/>
              </w:rPr>
            </w:pPr>
          </w:p>
        </w:tc>
        <w:tc>
          <w:tcPr>
            <w:tcW w:w="1340" w:type="dxa"/>
            <w:vAlign w:val="bottom"/>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2023</w:t>
            </w:r>
          </w:p>
        </w:tc>
      </w:tr>
      <w:tr>
        <w:trPr>
          <w:trHeight w:val="215"/>
        </w:trPr>
        <w:tc>
          <w:tcPr>
            <w:tcW w:w="6100" w:type="dxa"/>
            <w:vAlign w:val="bottom"/>
          </w:tcPr>
          <w:p>
            <w:pPr>
              <w:ind w:left="120"/>
              <w:spacing w:after="0" w:line="215" w:lineRule="exact"/>
              <w:rPr>
                <w:sz w:val="20"/>
                <w:szCs w:val="20"/>
                <w:color w:val="auto"/>
              </w:rPr>
            </w:pPr>
            <w:r>
              <w:rPr>
                <w:rFonts w:ascii="Calibri" w:cs="Calibri" w:eastAsia="Calibri" w:hAnsi="Calibri"/>
                <w:sz w:val="18"/>
                <w:szCs w:val="18"/>
                <w:color w:val="auto"/>
              </w:rPr>
              <w:t>Net projected beneft obligaton at beginning of year</w:t>
            </w:r>
          </w:p>
        </w:tc>
        <w:tc>
          <w:tcPr>
            <w:tcW w:w="1400" w:type="dxa"/>
            <w:vAlign w:val="bottom"/>
            <w:tcBorders>
              <w:right w:val="single" w:sz="8" w:color="007CBA"/>
            </w:tcBorders>
          </w:tcPr>
          <w:p>
            <w:pPr>
              <w:spacing w:after="0"/>
              <w:rPr>
                <w:sz w:val="18"/>
                <w:szCs w:val="18"/>
                <w:color w:val="auto"/>
              </w:rPr>
            </w:pPr>
          </w:p>
        </w:tc>
        <w:tc>
          <w:tcPr>
            <w:tcW w:w="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5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970</w:t>
            </w:r>
          </w:p>
        </w:tc>
        <w:tc>
          <w:tcPr>
            <w:tcW w:w="5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858</w:t>
            </w:r>
          </w:p>
        </w:tc>
      </w:tr>
      <w:tr>
        <w:trPr>
          <w:trHeight w:val="217"/>
        </w:trPr>
        <w:tc>
          <w:tcPr>
            <w:tcW w:w="6100" w:type="dxa"/>
            <w:vAlign w:val="bottom"/>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Service cost</w:t>
            </w:r>
          </w:p>
        </w:tc>
        <w:tc>
          <w:tcPr>
            <w:tcW w:w="1400" w:type="dxa"/>
            <w:vAlign w:val="bottom"/>
            <w:tcBorders>
              <w:right w:val="single" w:sz="8" w:color="007CBA"/>
            </w:tcBorders>
            <w:shd w:val="clear" w:color="auto" w:fill="E5F1F8"/>
          </w:tcPr>
          <w:p>
            <w:pPr>
              <w:spacing w:after="0"/>
              <w:rPr>
                <w:sz w:val="18"/>
                <w:szCs w:val="18"/>
                <w:color w:val="auto"/>
              </w:rPr>
            </w:pPr>
          </w:p>
        </w:tc>
        <w:tc>
          <w:tcPr>
            <w:tcW w:w="300" w:type="dxa"/>
            <w:vAlign w:val="bottom"/>
            <w:shd w:val="clear" w:color="auto" w:fill="E5F1F8"/>
          </w:tcPr>
          <w:p>
            <w:pPr>
              <w:spacing w:after="0"/>
              <w:rPr>
                <w:sz w:val="18"/>
                <w:szCs w:val="18"/>
                <w:color w:val="auto"/>
              </w:rPr>
            </w:pPr>
          </w:p>
        </w:tc>
        <w:tc>
          <w:tcPr>
            <w:tcW w:w="156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b w:val="1"/>
                <w:bCs w:val="1"/>
                <w:color w:val="auto"/>
              </w:rPr>
              <w:t>38</w:t>
            </w:r>
          </w:p>
        </w:tc>
        <w:tc>
          <w:tcPr>
            <w:tcW w:w="540" w:type="dxa"/>
            <w:vAlign w:val="bottom"/>
            <w:shd w:val="clear" w:color="auto" w:fill="E5F1F8"/>
          </w:tcPr>
          <w:p>
            <w:pPr>
              <w:spacing w:after="0"/>
              <w:rPr>
                <w:sz w:val="18"/>
                <w:szCs w:val="18"/>
                <w:color w:val="auto"/>
              </w:rPr>
            </w:pPr>
          </w:p>
        </w:tc>
        <w:tc>
          <w:tcPr>
            <w:tcW w:w="13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33</w:t>
            </w:r>
          </w:p>
        </w:tc>
      </w:tr>
      <w:tr>
        <w:trPr>
          <w:trHeight w:val="215"/>
        </w:trPr>
        <w:tc>
          <w:tcPr>
            <w:tcW w:w="6100" w:type="dxa"/>
            <w:vAlign w:val="bottom"/>
          </w:tcPr>
          <w:p>
            <w:pPr>
              <w:ind w:left="120"/>
              <w:spacing w:after="0" w:line="215" w:lineRule="exact"/>
              <w:rPr>
                <w:sz w:val="20"/>
                <w:szCs w:val="20"/>
                <w:color w:val="auto"/>
              </w:rPr>
            </w:pPr>
            <w:r>
              <w:rPr>
                <w:rFonts w:ascii="Calibri" w:cs="Calibri" w:eastAsia="Calibri" w:hAnsi="Calibri"/>
                <w:sz w:val="18"/>
                <w:szCs w:val="18"/>
                <w:color w:val="auto"/>
              </w:rPr>
              <w:t>Interest cost</w:t>
            </w:r>
          </w:p>
        </w:tc>
        <w:tc>
          <w:tcPr>
            <w:tcW w:w="1400" w:type="dxa"/>
            <w:vAlign w:val="bottom"/>
            <w:tcBorders>
              <w:right w:val="single" w:sz="8" w:color="007CBA"/>
            </w:tcBorders>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55</w:t>
            </w:r>
          </w:p>
        </w:tc>
        <w:tc>
          <w:tcPr>
            <w:tcW w:w="540" w:type="dxa"/>
            <w:vAlign w:val="bottom"/>
          </w:tcPr>
          <w:p>
            <w:pPr>
              <w:spacing w:after="0"/>
              <w:rPr>
                <w:sz w:val="18"/>
                <w:szCs w:val="18"/>
                <w:color w:val="auto"/>
              </w:rPr>
            </w:pPr>
          </w:p>
        </w:tc>
        <w:tc>
          <w:tcPr>
            <w:tcW w:w="13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51</w:t>
            </w:r>
          </w:p>
        </w:tc>
      </w:tr>
      <w:tr>
        <w:trPr>
          <w:trHeight w:val="217"/>
        </w:trPr>
        <w:tc>
          <w:tcPr>
            <w:tcW w:w="6100" w:type="dxa"/>
            <w:vAlign w:val="bottom"/>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Actuarial (gain) loss</w:t>
            </w:r>
          </w:p>
        </w:tc>
        <w:tc>
          <w:tcPr>
            <w:tcW w:w="1400" w:type="dxa"/>
            <w:vAlign w:val="bottom"/>
            <w:tcBorders>
              <w:right w:val="single" w:sz="8" w:color="007CBA"/>
            </w:tcBorders>
            <w:shd w:val="clear" w:color="auto" w:fill="E5F1F8"/>
          </w:tcPr>
          <w:p>
            <w:pPr>
              <w:spacing w:after="0"/>
              <w:rPr>
                <w:sz w:val="18"/>
                <w:szCs w:val="18"/>
                <w:color w:val="auto"/>
              </w:rPr>
            </w:pPr>
          </w:p>
        </w:tc>
        <w:tc>
          <w:tcPr>
            <w:tcW w:w="300" w:type="dxa"/>
            <w:vAlign w:val="bottom"/>
            <w:shd w:val="clear" w:color="auto" w:fill="E5F1F8"/>
          </w:tcPr>
          <w:p>
            <w:pPr>
              <w:spacing w:after="0"/>
              <w:rPr>
                <w:sz w:val="18"/>
                <w:szCs w:val="18"/>
                <w:color w:val="auto"/>
              </w:rPr>
            </w:pPr>
          </w:p>
        </w:tc>
        <w:tc>
          <w:tcPr>
            <w:tcW w:w="156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(46 )</w:t>
            </w:r>
          </w:p>
        </w:tc>
        <w:tc>
          <w:tcPr>
            <w:tcW w:w="540" w:type="dxa"/>
            <w:vAlign w:val="bottom"/>
            <w:shd w:val="clear" w:color="auto" w:fill="E5F1F8"/>
          </w:tcPr>
          <w:p>
            <w:pPr>
              <w:spacing w:after="0"/>
              <w:rPr>
                <w:sz w:val="18"/>
                <w:szCs w:val="18"/>
                <w:color w:val="auto"/>
              </w:rPr>
            </w:pPr>
          </w:p>
        </w:tc>
        <w:tc>
          <w:tcPr>
            <w:tcW w:w="13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73</w:t>
            </w:r>
          </w:p>
        </w:tc>
      </w:tr>
      <w:tr>
        <w:trPr>
          <w:trHeight w:val="215"/>
        </w:trPr>
        <w:tc>
          <w:tcPr>
            <w:tcW w:w="610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Gross benefts paid</w:t>
            </w:r>
          </w:p>
        </w:tc>
        <w:tc>
          <w:tcPr>
            <w:tcW w:w="1400" w:type="dxa"/>
            <w:vAlign w:val="bottom"/>
            <w:tcBorders>
              <w:bottom w:val="single" w:sz="8" w:color="auto"/>
              <w:right w:val="single" w:sz="8" w:color="007CB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(50 )</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(45 )</w:t>
            </w:r>
          </w:p>
        </w:tc>
      </w:tr>
      <w:tr>
        <w:trPr>
          <w:trHeight w:val="250"/>
        </w:trPr>
        <w:tc>
          <w:tcPr>
            <w:tcW w:w="6100" w:type="dxa"/>
            <w:vAlign w:val="bottom"/>
            <w:tcBorders>
              <w:bottom w:val="single" w:sz="8" w:color="auto"/>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Net projected beneft obligaton at end of year</w:t>
            </w:r>
          </w:p>
        </w:tc>
        <w:tc>
          <w:tcPr>
            <w:tcW w:w="1700" w:type="dxa"/>
            <w:vAlign w:val="bottom"/>
            <w:tcBorders>
              <w:bottom w:val="single" w:sz="8" w:color="auto"/>
            </w:tcBorders>
            <w:gridSpan w:val="2"/>
            <w:shd w:val="clear" w:color="auto" w:fill="E5F1F8"/>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560" w:type="dxa"/>
            <w:vAlign w:val="bottom"/>
            <w:tcBorders>
              <w:bottom w:val="single" w:sz="8" w:color="auto"/>
              <w:right w:val="single" w:sz="8" w:color="E5F1F8"/>
            </w:tcBorders>
            <w:shd w:val="clear" w:color="auto" w:fill="E5F1F8"/>
          </w:tcPr>
          <w:p>
            <w:pPr>
              <w:jc w:val="right"/>
              <w:ind w:right="30"/>
              <w:spacing w:after="0" w:line="209" w:lineRule="exact"/>
              <w:rPr>
                <w:sz w:val="20"/>
                <w:szCs w:val="20"/>
                <w:color w:val="auto"/>
              </w:rPr>
            </w:pPr>
            <w:r>
              <w:rPr>
                <w:rFonts w:ascii="Calibri" w:cs="Calibri" w:eastAsia="Calibri" w:hAnsi="Calibri"/>
                <w:sz w:val="18"/>
                <w:szCs w:val="18"/>
                <w:b w:val="1"/>
                <w:bCs w:val="1"/>
                <w:color w:val="auto"/>
              </w:rPr>
              <w:t>967</w:t>
            </w:r>
          </w:p>
        </w:tc>
        <w:tc>
          <w:tcPr>
            <w:tcW w:w="540" w:type="dxa"/>
            <w:vAlign w:val="bottom"/>
            <w:tcBorders>
              <w:bottom w:val="single" w:sz="8" w:color="auto"/>
            </w:tcBorders>
            <w:shd w:val="clear" w:color="auto" w:fill="E5F1F8"/>
          </w:tcPr>
          <w:p>
            <w:pPr>
              <w:jc w:val="right"/>
              <w:ind w:right="150"/>
              <w:spacing w:after="0" w:line="209"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-183515</wp:posOffset>
            </wp:positionV>
            <wp:extent cx="33655" cy="1968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-183515</wp:posOffset>
            </wp:positionV>
            <wp:extent cx="34290" cy="1968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34290" cy="19685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largest component of the actuarial gain in 2024 was the impact of the higher discount rate compared with 2023. The actuarial loss in 2023 was primarily atributable to a lower discount rate compared with 2022.</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change in plan assets, funded status and amounts recognized on the Company’s consolidated balance sheets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00" w:type="dxa"/>
            <w:vAlign w:val="bottom"/>
            <w:tcBorders>
              <w:right w:val="single" w:sz="8" w:color="007CBA"/>
            </w:tcBorders>
            <w:gridSpan w:val="2"/>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40" w:type="dxa"/>
            <w:vAlign w:val="bottom"/>
            <w:shd w:val="clear" w:color="auto" w:fill="007CBA"/>
          </w:tcPr>
          <w:p>
            <w:pPr>
              <w:spacing w:after="0"/>
              <w:rPr>
                <w:sz w:val="19"/>
                <w:szCs w:val="19"/>
                <w:color w:val="auto"/>
              </w:rPr>
            </w:pPr>
          </w:p>
        </w:tc>
        <w:tc>
          <w:tcPr>
            <w:tcW w:w="132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320" w:type="dxa"/>
            <w:vAlign w:val="bottom"/>
            <w:shd w:val="clear" w:color="auto" w:fill="007CBA"/>
          </w:tcPr>
          <w:p>
            <w:pPr>
              <w:spacing w:after="0"/>
              <w:rPr>
                <w:sz w:val="19"/>
                <w:szCs w:val="19"/>
                <w:color w:val="auto"/>
              </w:rPr>
            </w:pPr>
          </w:p>
        </w:tc>
      </w:tr>
      <w:tr>
        <w:trPr>
          <w:trHeight w:val="216"/>
        </w:trPr>
        <w:tc>
          <w:tcPr>
            <w:tcW w:w="7500" w:type="dxa"/>
            <w:vAlign w:val="bottom"/>
            <w:tcBorders>
              <w:right w:val="single" w:sz="8" w:color="007CBA"/>
            </w:tcBorders>
            <w:gridSpan w:val="2"/>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40" w:type="dxa"/>
            <w:vAlign w:val="bottom"/>
            <w:shd w:val="clear" w:color="auto" w:fill="007CBA"/>
          </w:tcPr>
          <w:p>
            <w:pPr>
              <w:spacing w:after="0"/>
              <w:rPr>
                <w:sz w:val="18"/>
                <w:szCs w:val="18"/>
                <w:color w:val="auto"/>
              </w:rPr>
            </w:pPr>
          </w:p>
        </w:tc>
        <w:tc>
          <w:tcPr>
            <w:tcW w:w="1320" w:type="dxa"/>
            <w:vAlign w:val="bottom"/>
            <w:tcBorders>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2023</w:t>
            </w:r>
          </w:p>
        </w:tc>
      </w:tr>
      <w:tr>
        <w:trPr>
          <w:trHeight w:val="215"/>
        </w:trPr>
        <w:tc>
          <w:tcPr>
            <w:tcW w:w="7500" w:type="dxa"/>
            <w:vAlign w:val="bottom"/>
            <w:tcBorders>
              <w:right w:val="single" w:sz="8" w:color="007CBA"/>
            </w:tcBorders>
            <w:gridSpan w:val="2"/>
          </w:tcPr>
          <w:p>
            <w:pPr>
              <w:ind w:left="120"/>
              <w:spacing w:after="0" w:line="215" w:lineRule="exact"/>
              <w:rPr>
                <w:sz w:val="20"/>
                <w:szCs w:val="20"/>
                <w:color w:val="auto"/>
              </w:rPr>
            </w:pPr>
            <w:r>
              <w:rPr>
                <w:rFonts w:ascii="Calibri" w:cs="Calibri" w:eastAsia="Calibri" w:hAnsi="Calibri"/>
                <w:sz w:val="18"/>
                <w:szCs w:val="18"/>
                <w:color w:val="auto"/>
              </w:rPr>
              <w:t>Fair value of plan assets at beginning of year</w:t>
            </w:r>
          </w:p>
        </w:tc>
        <w:tc>
          <w:tcPr>
            <w:tcW w:w="54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1,177</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1,067</w:t>
            </w:r>
          </w:p>
        </w:tc>
      </w:tr>
      <w:tr>
        <w:trPr>
          <w:trHeight w:val="217"/>
        </w:trPr>
        <w:tc>
          <w:tcPr>
            <w:tcW w:w="7500" w:type="dxa"/>
            <w:vAlign w:val="bottom"/>
            <w:tcBorders>
              <w:right w:val="single" w:sz="8" w:color="007CBA"/>
            </w:tcBorders>
            <w:gridSpan w:val="2"/>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Actual return on plan assets, net</w:t>
            </w:r>
          </w:p>
        </w:tc>
        <w:tc>
          <w:tcPr>
            <w:tcW w:w="540" w:type="dxa"/>
            <w:vAlign w:val="bottom"/>
            <w:shd w:val="clear" w:color="auto" w:fill="E5F1F8"/>
          </w:tcPr>
          <w:p>
            <w:pPr>
              <w:spacing w:after="0"/>
              <w:rPr>
                <w:sz w:val="18"/>
                <w:szCs w:val="18"/>
                <w:color w:val="auto"/>
              </w:rPr>
            </w:pPr>
          </w:p>
        </w:tc>
        <w:tc>
          <w:tcPr>
            <w:tcW w:w="132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b w:val="1"/>
                <w:bCs w:val="1"/>
                <w:color w:val="auto"/>
              </w:rPr>
              <w:t>77</w:t>
            </w:r>
          </w:p>
        </w:tc>
        <w:tc>
          <w:tcPr>
            <w:tcW w:w="560" w:type="dxa"/>
            <w:vAlign w:val="bottom"/>
            <w:shd w:val="clear" w:color="auto" w:fill="E5F1F8"/>
          </w:tcPr>
          <w:p>
            <w:pPr>
              <w:spacing w:after="0"/>
              <w:rPr>
                <w:sz w:val="18"/>
                <w:szCs w:val="18"/>
                <w:color w:val="auto"/>
              </w:rPr>
            </w:pPr>
          </w:p>
        </w:tc>
        <w:tc>
          <w:tcPr>
            <w:tcW w:w="132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123</w:t>
            </w:r>
          </w:p>
        </w:tc>
      </w:tr>
      <w:tr>
        <w:trPr>
          <w:trHeight w:val="216"/>
        </w:trPr>
        <w:tc>
          <w:tcPr>
            <w:tcW w:w="7500" w:type="dxa"/>
            <w:vAlign w:val="bottom"/>
            <w:tcBorders>
              <w:right w:val="single" w:sz="8" w:color="007CBA"/>
            </w:tcBorders>
            <w:gridSpan w:val="2"/>
          </w:tcPr>
          <w:p>
            <w:pPr>
              <w:ind w:left="120"/>
              <w:spacing w:after="0" w:line="215" w:lineRule="exact"/>
              <w:rPr>
                <w:sz w:val="20"/>
                <w:szCs w:val="20"/>
                <w:color w:val="auto"/>
              </w:rPr>
            </w:pPr>
            <w:r>
              <w:rPr>
                <w:rFonts w:ascii="Calibri" w:cs="Calibri" w:eastAsia="Calibri" w:hAnsi="Calibri"/>
                <w:sz w:val="18"/>
                <w:szCs w:val="18"/>
                <w:color w:val="auto"/>
              </w:rPr>
              <w:t>Employer contributons</w:t>
            </w:r>
          </w:p>
        </w:tc>
        <w:tc>
          <w:tcPr>
            <w:tcW w:w="540" w:type="dxa"/>
            <w:vAlign w:val="bottom"/>
          </w:tcPr>
          <w:p>
            <w:pPr>
              <w:spacing w:after="0"/>
              <w:rPr>
                <w:sz w:val="18"/>
                <w:szCs w:val="18"/>
                <w:color w:val="auto"/>
              </w:rPr>
            </w:pPr>
          </w:p>
        </w:tc>
        <w:tc>
          <w:tcPr>
            <w:tcW w:w="13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34</w:t>
            </w:r>
          </w:p>
        </w:tc>
        <w:tc>
          <w:tcPr>
            <w:tcW w:w="560" w:type="dxa"/>
            <w:vAlign w:val="bottom"/>
          </w:tcPr>
          <w:p>
            <w:pPr>
              <w:spacing w:after="0"/>
              <w:rPr>
                <w:sz w:val="18"/>
                <w:szCs w:val="18"/>
                <w:color w:val="auto"/>
              </w:rPr>
            </w:pPr>
          </w:p>
        </w:tc>
        <w:tc>
          <w:tcPr>
            <w:tcW w:w="13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32</w:t>
            </w:r>
          </w:p>
        </w:tc>
      </w:tr>
      <w:tr>
        <w:trPr>
          <w:trHeight w:val="215"/>
        </w:trPr>
        <w:tc>
          <w:tcPr>
            <w:tcW w:w="7500" w:type="dxa"/>
            <w:vAlign w:val="bottom"/>
            <w:tcBorders>
              <w:bottom w:val="single" w:sz="8" w:color="auto"/>
              <w:right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benefts paid</w:t>
            </w:r>
          </w:p>
        </w:tc>
        <w:tc>
          <w:tcPr>
            <w:tcW w:w="54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(50 )</w:t>
            </w:r>
          </w:p>
        </w:tc>
        <w:tc>
          <w:tcPr>
            <w:tcW w:w="56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(45 )</w:t>
            </w:r>
          </w:p>
        </w:tc>
      </w:tr>
      <w:tr>
        <w:trPr>
          <w:trHeight w:val="209"/>
        </w:trPr>
        <w:tc>
          <w:tcPr>
            <w:tcW w:w="7500" w:type="dxa"/>
            <w:vAlign w:val="bottom"/>
            <w:tcBorders>
              <w:bottom w:val="single" w:sz="8" w:color="auto"/>
            </w:tcBorders>
            <w:gridSpan w:val="2"/>
          </w:tcPr>
          <w:p>
            <w:pPr>
              <w:ind w:left="120"/>
              <w:spacing w:after="0" w:line="209" w:lineRule="exact"/>
              <w:rPr>
                <w:sz w:val="20"/>
                <w:szCs w:val="20"/>
                <w:color w:val="auto"/>
              </w:rPr>
            </w:pPr>
            <w:r>
              <w:rPr>
                <w:rFonts w:ascii="Calibri" w:cs="Calibri" w:eastAsia="Calibri" w:hAnsi="Calibri"/>
                <w:sz w:val="18"/>
                <w:szCs w:val="18"/>
                <w:color w:val="auto"/>
              </w:rPr>
              <w:t>Fair value of plan assets at end of year</w:t>
            </w:r>
          </w:p>
        </w:tc>
        <w:tc>
          <w:tcPr>
            <w:tcW w:w="54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1,238</w:t>
            </w:r>
          </w:p>
        </w:tc>
        <w:tc>
          <w:tcPr>
            <w:tcW w:w="56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1,177</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5"/>
        </w:trPr>
        <w:tc>
          <w:tcPr>
            <w:tcW w:w="74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4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20" w:type="dxa"/>
            <w:vAlign w:val="bottom"/>
            <w:tcBorders>
              <w:right w:val="single" w:sz="8" w:color="007CBA"/>
            </w:tcBorders>
            <w:shd w:val="clear" w:color="auto" w:fill="007CBA"/>
          </w:tcPr>
          <w:p>
            <w:pPr>
              <w:spacing w:after="0"/>
              <w:rPr>
                <w:sz w:val="18"/>
                <w:szCs w:val="18"/>
                <w:color w:val="auto"/>
              </w:rPr>
            </w:pP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spacing w:after="0"/>
              <w:rPr>
                <w:sz w:val="18"/>
                <w:szCs w:val="18"/>
                <w:color w:val="auto"/>
              </w:rPr>
            </w:pPr>
          </w:p>
        </w:tc>
      </w:tr>
      <w:tr>
        <w:trPr>
          <w:trHeight w:val="217"/>
        </w:trPr>
        <w:tc>
          <w:tcPr>
            <w:tcW w:w="74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20" w:type="dxa"/>
            <w:vAlign w:val="bottom"/>
            <w:tcBorders>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2023</w:t>
            </w:r>
          </w:p>
        </w:tc>
      </w:tr>
      <w:tr>
        <w:trPr>
          <w:trHeight w:val="216"/>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Funded status of the plan at end of year</w:t>
            </w:r>
          </w:p>
        </w:tc>
        <w:tc>
          <w:tcPr>
            <w:tcW w:w="40" w:type="dxa"/>
            <w:vAlign w:val="bottom"/>
          </w:tcPr>
          <w:p>
            <w:pPr>
              <w:spacing w:after="0"/>
              <w:rPr>
                <w:sz w:val="18"/>
                <w:szCs w:val="18"/>
                <w:color w:val="auto"/>
              </w:rPr>
            </w:pPr>
          </w:p>
        </w:tc>
        <w:tc>
          <w:tcPr>
            <w:tcW w:w="54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271</w:t>
            </w:r>
          </w:p>
        </w:tc>
        <w:tc>
          <w:tcPr>
            <w:tcW w:w="5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207</w:t>
            </w:r>
          </w:p>
        </w:tc>
      </w:tr>
      <w:tr>
        <w:trPr>
          <w:trHeight w:val="215"/>
        </w:trPr>
        <w:tc>
          <w:tcPr>
            <w:tcW w:w="7500" w:type="dxa"/>
            <w:vAlign w:val="bottom"/>
            <w:tcBorders>
              <w:bottom w:val="single" w:sz="8" w:color="auto"/>
              <w:right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Accrued beneft credit</w:t>
            </w:r>
          </w:p>
        </w:tc>
        <w:tc>
          <w:tcPr>
            <w:tcW w:w="540" w:type="dxa"/>
            <w:vAlign w:val="bottom"/>
            <w:tcBorders>
              <w:bottom w:val="single" w:sz="8" w:color="auto"/>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271</w:t>
            </w:r>
          </w:p>
        </w:tc>
        <w:tc>
          <w:tcPr>
            <w:tcW w:w="560" w:type="dxa"/>
            <w:vAlign w:val="bottom"/>
            <w:tcBorders>
              <w:bottom w:val="single" w:sz="8" w:color="auto"/>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207</w:t>
            </w:r>
          </w:p>
        </w:tc>
      </w:tr>
      <w:tr>
        <w:trPr>
          <w:trHeight w:val="210"/>
        </w:trPr>
        <w:tc>
          <w:tcPr>
            <w:tcW w:w="750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4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4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20" w:type="dxa"/>
            <w:vAlign w:val="bottom"/>
            <w:tcBorders>
              <w:right w:val="single" w:sz="8" w:color="007CBA"/>
            </w:tcBorders>
            <w:shd w:val="clear" w:color="auto" w:fill="007CBA"/>
          </w:tcPr>
          <w:p>
            <w:pPr>
              <w:spacing w:after="0"/>
              <w:rPr>
                <w:sz w:val="18"/>
                <w:szCs w:val="18"/>
                <w:color w:val="auto"/>
              </w:rPr>
            </w:pP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spacing w:after="0"/>
              <w:rPr>
                <w:sz w:val="18"/>
                <w:szCs w:val="18"/>
                <w:color w:val="auto"/>
              </w:rPr>
            </w:pPr>
          </w:p>
        </w:tc>
      </w:tr>
      <w:tr>
        <w:trPr>
          <w:trHeight w:val="217"/>
        </w:trPr>
        <w:tc>
          <w:tcPr>
            <w:tcW w:w="74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20" w:type="dxa"/>
            <w:vAlign w:val="bottom"/>
            <w:tcBorders>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2023</w:t>
            </w:r>
          </w:p>
        </w:tc>
      </w:tr>
      <w:tr>
        <w:trPr>
          <w:trHeight w:val="216"/>
        </w:trPr>
        <w:tc>
          <w:tcPr>
            <w:tcW w:w="746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Amounts recognized on consolidated balance sheets consist of:</w:t>
            </w:r>
          </w:p>
        </w:tc>
        <w:tc>
          <w:tcPr>
            <w:tcW w:w="40" w:type="dxa"/>
            <w:vAlign w:val="bottom"/>
            <w:tcBorders>
              <w:right w:val="single" w:sz="8" w:color="E5F1F8"/>
            </w:tcBorders>
            <w:shd w:val="clear" w:color="auto" w:fill="E5F1F8"/>
          </w:tcPr>
          <w:p>
            <w:pPr>
              <w:spacing w:after="0"/>
              <w:rPr>
                <w:sz w:val="18"/>
                <w:szCs w:val="18"/>
                <w:color w:val="auto"/>
              </w:rPr>
            </w:pPr>
          </w:p>
        </w:tc>
        <w:tc>
          <w:tcPr>
            <w:tcW w:w="540" w:type="dxa"/>
            <w:vAlign w:val="bottom"/>
            <w:shd w:val="clear" w:color="auto" w:fill="E5F1F8"/>
          </w:tcPr>
          <w:p>
            <w:pPr>
              <w:spacing w:after="0"/>
              <w:rPr>
                <w:sz w:val="18"/>
                <w:szCs w:val="18"/>
                <w:color w:val="auto"/>
              </w:rPr>
            </w:pPr>
          </w:p>
        </w:tc>
        <w:tc>
          <w:tcPr>
            <w:tcW w:w="1320" w:type="dxa"/>
            <w:vAlign w:val="bottom"/>
            <w:tcBorders>
              <w:right w:val="single" w:sz="8" w:color="007CBA"/>
            </w:tcBorders>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320" w:type="dxa"/>
            <w:vAlign w:val="bottom"/>
            <w:shd w:val="clear" w:color="auto" w:fill="E5F1F8"/>
          </w:tcPr>
          <w:p>
            <w:pPr>
              <w:spacing w:after="0"/>
              <w:rPr>
                <w:sz w:val="18"/>
                <w:szCs w:val="18"/>
                <w:color w:val="auto"/>
              </w:rPr>
            </w:pP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Noncurrent asset</w:t>
            </w:r>
          </w:p>
        </w:tc>
        <w:tc>
          <w:tcPr>
            <w:tcW w:w="40" w:type="dxa"/>
            <w:vAlign w:val="bottom"/>
          </w:tcPr>
          <w:p>
            <w:pPr>
              <w:spacing w:after="0"/>
              <w:rPr>
                <w:sz w:val="18"/>
                <w:szCs w:val="18"/>
                <w:color w:val="auto"/>
              </w:rPr>
            </w:pPr>
          </w:p>
        </w:tc>
        <w:tc>
          <w:tcPr>
            <w:tcW w:w="54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371</w:t>
            </w:r>
          </w:p>
        </w:tc>
        <w:tc>
          <w:tcPr>
            <w:tcW w:w="5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308</w:t>
            </w:r>
          </w:p>
        </w:tc>
      </w:tr>
      <w:tr>
        <w:trPr>
          <w:trHeight w:val="217"/>
        </w:trPr>
        <w:tc>
          <w:tcPr>
            <w:tcW w:w="74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Current liability</w:t>
            </w:r>
          </w:p>
        </w:tc>
        <w:tc>
          <w:tcPr>
            <w:tcW w:w="40" w:type="dxa"/>
            <w:vAlign w:val="bottom"/>
            <w:tcBorders>
              <w:right w:val="single" w:sz="8" w:color="E5F1F8"/>
            </w:tcBorders>
            <w:shd w:val="clear" w:color="auto" w:fill="E5F1F8"/>
          </w:tcPr>
          <w:p>
            <w:pPr>
              <w:spacing w:after="0"/>
              <w:rPr>
                <w:sz w:val="18"/>
                <w:szCs w:val="18"/>
                <w:color w:val="auto"/>
              </w:rPr>
            </w:pPr>
          </w:p>
        </w:tc>
        <w:tc>
          <w:tcPr>
            <w:tcW w:w="540" w:type="dxa"/>
            <w:vAlign w:val="bottom"/>
            <w:shd w:val="clear" w:color="auto" w:fill="E5F1F8"/>
          </w:tcPr>
          <w:p>
            <w:pPr>
              <w:spacing w:after="0"/>
              <w:rPr>
                <w:sz w:val="18"/>
                <w:szCs w:val="18"/>
                <w:color w:val="auto"/>
              </w:rPr>
            </w:pPr>
          </w:p>
        </w:tc>
        <w:tc>
          <w:tcPr>
            <w:tcW w:w="132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(13 )</w:t>
            </w:r>
          </w:p>
        </w:tc>
        <w:tc>
          <w:tcPr>
            <w:tcW w:w="560" w:type="dxa"/>
            <w:vAlign w:val="bottom"/>
            <w:shd w:val="clear" w:color="auto" w:fill="E5F1F8"/>
          </w:tcPr>
          <w:p>
            <w:pPr>
              <w:spacing w:after="0"/>
              <w:rPr>
                <w:sz w:val="18"/>
                <w:szCs w:val="18"/>
                <w:color w:val="auto"/>
              </w:rPr>
            </w:pPr>
          </w:p>
        </w:tc>
        <w:tc>
          <w:tcPr>
            <w:tcW w:w="132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(8 )</w:t>
            </w:r>
          </w:p>
        </w:tc>
      </w:tr>
      <w:tr>
        <w:trPr>
          <w:trHeight w:val="215"/>
        </w:trPr>
        <w:tc>
          <w:tcPr>
            <w:tcW w:w="7500" w:type="dxa"/>
            <w:vAlign w:val="bottom"/>
            <w:tcBorders>
              <w:bottom w:val="single" w:sz="8" w:color="auto"/>
            </w:tcBorders>
            <w:gridSpan w:val="2"/>
          </w:tcPr>
          <w:p>
            <w:pPr>
              <w:ind w:left="120"/>
              <w:spacing w:after="0" w:line="215" w:lineRule="exact"/>
              <w:rPr>
                <w:sz w:val="20"/>
                <w:szCs w:val="20"/>
                <w:color w:val="auto"/>
              </w:rPr>
            </w:pPr>
            <w:r>
              <w:rPr>
                <w:rFonts w:ascii="Calibri" w:cs="Calibri" w:eastAsia="Calibri" w:hAnsi="Calibri"/>
                <w:sz w:val="18"/>
                <w:szCs w:val="18"/>
                <w:color w:val="auto"/>
              </w:rPr>
              <w:t>Noncurrent liability</w:t>
            </w: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(87 )</w:t>
            </w: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(93 )</w:t>
            </w:r>
          </w:p>
        </w:tc>
      </w:tr>
      <w:tr>
        <w:trPr>
          <w:trHeight w:val="250"/>
        </w:trPr>
        <w:tc>
          <w:tcPr>
            <w:tcW w:w="7500" w:type="dxa"/>
            <w:vAlign w:val="bottom"/>
            <w:tcBorders>
              <w:bottom w:val="single" w:sz="8" w:color="auto"/>
              <w:right w:val="single" w:sz="8" w:color="E5F1F8"/>
            </w:tcBorders>
            <w:gridSpan w:val="2"/>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Net amount recognized at end of year</w:t>
            </w:r>
          </w:p>
        </w:tc>
        <w:tc>
          <w:tcPr>
            <w:tcW w:w="540" w:type="dxa"/>
            <w:vAlign w:val="bottom"/>
            <w:tcBorders>
              <w:bottom w:val="single" w:sz="8" w:color="auto"/>
            </w:tcBorders>
            <w:shd w:val="clear" w:color="auto" w:fill="E5F1F8"/>
          </w:tcPr>
          <w:p>
            <w:pPr>
              <w:jc w:val="right"/>
              <w:ind w:right="170"/>
              <w:spacing w:after="0" w:line="209"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right w:val="single" w:sz="8" w:color="E5F1F8"/>
            </w:tcBorders>
            <w:shd w:val="clear" w:color="auto" w:fill="E5F1F8"/>
          </w:tcPr>
          <w:p>
            <w:pPr>
              <w:jc w:val="right"/>
              <w:ind w:right="30"/>
              <w:spacing w:after="0" w:line="209" w:lineRule="exact"/>
              <w:rPr>
                <w:sz w:val="20"/>
                <w:szCs w:val="20"/>
                <w:color w:val="auto"/>
              </w:rPr>
            </w:pPr>
            <w:r>
              <w:rPr>
                <w:rFonts w:ascii="Calibri" w:cs="Calibri" w:eastAsia="Calibri" w:hAnsi="Calibri"/>
                <w:sz w:val="18"/>
                <w:szCs w:val="18"/>
                <w:b w:val="1"/>
                <w:bCs w:val="1"/>
                <w:color w:val="auto"/>
              </w:rPr>
              <w:t>271</w:t>
            </w:r>
          </w:p>
        </w:tc>
        <w:tc>
          <w:tcPr>
            <w:tcW w:w="560" w:type="dxa"/>
            <w:vAlign w:val="bottom"/>
            <w:tcBorders>
              <w:bottom w:val="single" w:sz="8" w:color="auto"/>
            </w:tcBorders>
            <w:shd w:val="clear" w:color="auto" w:fill="E5F1F8"/>
          </w:tcPr>
          <w:p>
            <w:pPr>
              <w:jc w:val="right"/>
              <w:ind w:right="150"/>
              <w:spacing w:after="0" w:line="209"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-2146300</wp:posOffset>
            </wp:positionV>
            <wp:extent cx="33655" cy="3340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-2146300</wp:posOffset>
            </wp:positionV>
            <wp:extent cx="34290" cy="3340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-1289050</wp:posOffset>
            </wp:positionV>
            <wp:extent cx="34290" cy="1714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-1289050</wp:posOffset>
            </wp:positionV>
            <wp:extent cx="34290" cy="1714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-320675</wp:posOffset>
            </wp:positionV>
            <wp:extent cx="34290" cy="3340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-320675</wp:posOffset>
            </wp:positionV>
            <wp:extent cx="34290" cy="3340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accumulated beneft obligaton for all defned beneft pension plans was $879 million and $882 million at December 31, 2024 and 2023, respectvely.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Beneft obligatons and fair value of plan assets for pension plans with accumulated beneft obligatons in excess of plan assets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80" w:type="dxa"/>
            <w:vAlign w:val="bottom"/>
            <w:shd w:val="clear" w:color="auto" w:fill="007CBA"/>
          </w:tcPr>
          <w:p>
            <w:pPr>
              <w:spacing w:after="0"/>
              <w:rPr>
                <w:sz w:val="19"/>
                <w:szCs w:val="19"/>
                <w:color w:val="auto"/>
              </w:rPr>
            </w:pPr>
          </w:p>
        </w:tc>
        <w:tc>
          <w:tcPr>
            <w:tcW w:w="132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320" w:type="dxa"/>
            <w:vAlign w:val="bottom"/>
            <w:shd w:val="clear" w:color="auto" w:fill="007CBA"/>
          </w:tcPr>
          <w:p>
            <w:pPr>
              <w:spacing w:after="0"/>
              <w:rPr>
                <w:sz w:val="19"/>
                <w:szCs w:val="19"/>
                <w:color w:val="auto"/>
              </w:rPr>
            </w:pPr>
          </w:p>
        </w:tc>
      </w:tr>
      <w:tr>
        <w:trPr>
          <w:trHeight w:val="216"/>
        </w:trPr>
        <w:tc>
          <w:tcPr>
            <w:tcW w:w="74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80" w:type="dxa"/>
            <w:vAlign w:val="bottom"/>
            <w:shd w:val="clear" w:color="auto" w:fill="007CBA"/>
          </w:tcPr>
          <w:p>
            <w:pPr>
              <w:spacing w:after="0"/>
              <w:rPr>
                <w:sz w:val="18"/>
                <w:szCs w:val="18"/>
                <w:color w:val="auto"/>
              </w:rPr>
            </w:pPr>
          </w:p>
        </w:tc>
        <w:tc>
          <w:tcPr>
            <w:tcW w:w="1320" w:type="dxa"/>
            <w:vAlign w:val="bottom"/>
            <w:tcBorders>
              <w:right w:val="single" w:sz="8" w:color="007CBA"/>
            </w:tcBorders>
            <w:shd w:val="clear" w:color="auto" w:fill="007CBA"/>
          </w:tcPr>
          <w:p>
            <w:pPr>
              <w:ind w:left="24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2023</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Projected beneft obligaton</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100</w:t>
            </w:r>
          </w:p>
        </w:tc>
        <w:tc>
          <w:tcPr>
            <w:tcW w:w="5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101</w:t>
            </w:r>
          </w:p>
        </w:tc>
      </w:tr>
      <w:tr>
        <w:trPr>
          <w:trHeight w:val="217"/>
        </w:trPr>
        <w:tc>
          <w:tcPr>
            <w:tcW w:w="74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Accumulated beneft obligaton</w:t>
            </w:r>
          </w:p>
        </w:tc>
        <w:tc>
          <w:tcPr>
            <w:tcW w:w="580" w:type="dxa"/>
            <w:vAlign w:val="bottom"/>
            <w:shd w:val="clear" w:color="auto" w:fill="E5F1F8"/>
          </w:tcPr>
          <w:p>
            <w:pPr>
              <w:jc w:val="right"/>
              <w:ind w:right="170"/>
              <w:spacing w:after="0" w:line="216"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b w:val="1"/>
                <w:bCs w:val="1"/>
                <w:color w:val="auto"/>
              </w:rPr>
              <w:t>90</w:t>
            </w:r>
          </w:p>
        </w:tc>
        <w:tc>
          <w:tcPr>
            <w:tcW w:w="560" w:type="dxa"/>
            <w:vAlign w:val="bottom"/>
            <w:shd w:val="clear" w:color="auto" w:fill="E5F1F8"/>
          </w:tcPr>
          <w:p>
            <w:pPr>
              <w:jc w:val="right"/>
              <w:ind w:right="150"/>
              <w:spacing w:after="0" w:line="216" w:lineRule="exact"/>
              <w:rPr>
                <w:sz w:val="20"/>
                <w:szCs w:val="20"/>
                <w:color w:val="auto"/>
              </w:rPr>
            </w:pPr>
            <w:r>
              <w:rPr>
                <w:rFonts w:ascii="Calibri" w:cs="Calibri" w:eastAsia="Calibri" w:hAnsi="Calibri"/>
                <w:sz w:val="18"/>
                <w:szCs w:val="18"/>
                <w:color w:val="auto"/>
              </w:rPr>
              <w:t>$</w:t>
            </w:r>
          </w:p>
        </w:tc>
        <w:tc>
          <w:tcPr>
            <w:tcW w:w="132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91</w:t>
            </w:r>
          </w:p>
        </w:tc>
      </w:tr>
      <w:tr>
        <w:trPr>
          <w:trHeight w:val="215"/>
        </w:trPr>
        <w:tc>
          <w:tcPr>
            <w:tcW w:w="746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Fair value of plan assets</w:t>
            </w:r>
          </w:p>
        </w:tc>
        <w:tc>
          <w:tcPr>
            <w:tcW w:w="58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56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1</w:t>
            </w:r>
          </w:p>
        </w:tc>
      </w:tr>
      <w:tr>
        <w:trPr>
          <w:trHeight w:val="362"/>
        </w:trPr>
        <w:tc>
          <w:tcPr>
            <w:tcW w:w="7460" w:type="dxa"/>
            <w:vAlign w:val="bottom"/>
          </w:tcPr>
          <w:p>
            <w:pPr>
              <w:spacing w:after="0"/>
              <w:rPr>
                <w:sz w:val="20"/>
                <w:szCs w:val="20"/>
                <w:color w:val="auto"/>
              </w:rPr>
            </w:pPr>
            <w:r>
              <w:rPr>
                <w:rFonts w:ascii="Calibri" w:cs="Calibri" w:eastAsia="Calibri" w:hAnsi="Calibri"/>
                <w:sz w:val="18"/>
                <w:szCs w:val="18"/>
                <w:color w:val="auto"/>
              </w:rPr>
              <w:t>Weighted-average assumptons used to determine beneft obligatons as of December 31 are:</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31"/>
        </w:trPr>
        <w:tc>
          <w:tcPr>
            <w:tcW w:w="7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16"/>
        </w:trPr>
        <w:tc>
          <w:tcPr>
            <w:tcW w:w="7460" w:type="dxa"/>
            <w:vAlign w:val="bottom"/>
            <w:tcBorders>
              <w:right w:val="single" w:sz="8" w:color="007CBA"/>
            </w:tcBorders>
            <w:shd w:val="clear" w:color="auto" w:fill="007CBA"/>
          </w:tcPr>
          <w:p>
            <w:pPr>
              <w:spacing w:after="0"/>
              <w:rPr>
                <w:sz w:val="18"/>
                <w:szCs w:val="18"/>
                <w:color w:val="auto"/>
              </w:rPr>
            </w:pPr>
          </w:p>
        </w:tc>
        <w:tc>
          <w:tcPr>
            <w:tcW w:w="580" w:type="dxa"/>
            <w:vAlign w:val="bottom"/>
            <w:shd w:val="clear" w:color="auto" w:fill="007CBA"/>
          </w:tcPr>
          <w:p>
            <w:pPr>
              <w:spacing w:after="0"/>
              <w:rPr>
                <w:sz w:val="18"/>
                <w:szCs w:val="18"/>
                <w:color w:val="auto"/>
              </w:rPr>
            </w:pPr>
          </w:p>
        </w:tc>
        <w:tc>
          <w:tcPr>
            <w:tcW w:w="1320" w:type="dxa"/>
            <w:vAlign w:val="bottom"/>
            <w:tcBorders>
              <w:right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shd w:val="clear" w:color="auto" w:fill="007CBA"/>
          </w:tcPr>
          <w:p>
            <w:pPr>
              <w:spacing w:after="0"/>
              <w:rPr>
                <w:sz w:val="18"/>
                <w:szCs w:val="18"/>
                <w:color w:val="auto"/>
              </w:rPr>
            </w:pPr>
          </w:p>
        </w:tc>
        <w:tc>
          <w:tcPr>
            <w:tcW w:w="1320" w:type="dxa"/>
            <w:vAlign w:val="bottom"/>
            <w:shd w:val="clear" w:color="auto" w:fill="007CBA"/>
          </w:tcPr>
          <w:p>
            <w:pPr>
              <w:jc w:val="center"/>
              <w:ind w:right="270"/>
              <w:spacing w:after="0" w:line="215" w:lineRule="exact"/>
              <w:rPr>
                <w:sz w:val="20"/>
                <w:szCs w:val="20"/>
                <w:color w:val="auto"/>
              </w:rPr>
            </w:pPr>
            <w:r>
              <w:rPr>
                <w:rFonts w:ascii="Calibri" w:cs="Calibri" w:eastAsia="Calibri" w:hAnsi="Calibri"/>
                <w:sz w:val="18"/>
                <w:szCs w:val="18"/>
                <w:color w:val="FFFFFF"/>
                <w:w w:val="98"/>
              </w:rPr>
              <w:t>2023</w:t>
            </w:r>
          </w:p>
        </w:tc>
      </w:tr>
      <w:tr>
        <w:trPr>
          <w:trHeight w:val="216"/>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Discount rate</w:t>
            </w:r>
          </w:p>
        </w:tc>
        <w:tc>
          <w:tcPr>
            <w:tcW w:w="580" w:type="dxa"/>
            <w:vAlign w:val="bottom"/>
          </w:tcPr>
          <w:p>
            <w:pPr>
              <w:spacing w:after="0"/>
              <w:rPr>
                <w:sz w:val="18"/>
                <w:szCs w:val="18"/>
                <w:color w:val="auto"/>
              </w:rPr>
            </w:pPr>
          </w:p>
        </w:tc>
        <w:tc>
          <w:tcPr>
            <w:tcW w:w="132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b w:val="1"/>
                <w:bCs w:val="1"/>
                <w:color w:val="auto"/>
              </w:rPr>
              <w:t>6.00%</w:t>
            </w:r>
          </w:p>
        </w:tc>
        <w:tc>
          <w:tcPr>
            <w:tcW w:w="560" w:type="dxa"/>
            <w:vAlign w:val="bottom"/>
          </w:tcPr>
          <w:p>
            <w:pPr>
              <w:spacing w:after="0"/>
              <w:rPr>
                <w:sz w:val="18"/>
                <w:szCs w:val="18"/>
                <w:color w:val="auto"/>
              </w:rPr>
            </w:pPr>
          </w:p>
        </w:tc>
        <w:tc>
          <w:tcPr>
            <w:tcW w:w="1320" w:type="dxa"/>
            <w:vAlign w:val="bottom"/>
          </w:tcPr>
          <w:p>
            <w:pPr>
              <w:jc w:val="center"/>
              <w:ind w:right="270"/>
              <w:spacing w:after="0" w:line="215" w:lineRule="exact"/>
              <w:rPr>
                <w:sz w:val="20"/>
                <w:szCs w:val="20"/>
                <w:color w:val="auto"/>
              </w:rPr>
            </w:pPr>
            <w:r>
              <w:rPr>
                <w:rFonts w:ascii="Calibri" w:cs="Calibri" w:eastAsia="Calibri" w:hAnsi="Calibri"/>
                <w:sz w:val="18"/>
                <w:szCs w:val="18"/>
                <w:color w:val="auto"/>
                <w:w w:val="98"/>
              </w:rPr>
              <w:t>5.58%</w:t>
            </w:r>
          </w:p>
        </w:tc>
      </w:tr>
      <w:tr>
        <w:trPr>
          <w:trHeight w:val="215"/>
        </w:trPr>
        <w:tc>
          <w:tcPr>
            <w:tcW w:w="74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Rate of increase in future compensaton levels</w:t>
            </w:r>
          </w:p>
        </w:tc>
        <w:tc>
          <w:tcPr>
            <w:tcW w:w="58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right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b w:val="1"/>
                <w:bCs w:val="1"/>
                <w:color w:val="auto"/>
              </w:rPr>
              <w:t>4.50%</w:t>
            </w:r>
          </w:p>
        </w:tc>
        <w:tc>
          <w:tcPr>
            <w:tcW w:w="56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tcBorders>
            <w:shd w:val="clear" w:color="auto" w:fill="E5F1F8"/>
          </w:tcPr>
          <w:p>
            <w:pPr>
              <w:jc w:val="center"/>
              <w:ind w:right="270"/>
              <w:spacing w:after="0" w:line="215" w:lineRule="exact"/>
              <w:rPr>
                <w:sz w:val="20"/>
                <w:szCs w:val="20"/>
                <w:color w:val="auto"/>
              </w:rPr>
            </w:pPr>
            <w:r>
              <w:rPr>
                <w:rFonts w:ascii="Calibri" w:cs="Calibri" w:eastAsia="Calibri" w:hAnsi="Calibri"/>
                <w:sz w:val="18"/>
                <w:szCs w:val="18"/>
                <w:color w:val="auto"/>
                <w:w w:val="98"/>
              </w:rPr>
              <w:t>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205740</wp:posOffset>
            </wp:positionV>
            <wp:extent cx="325755" cy="1968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-894715</wp:posOffset>
            </wp:positionV>
            <wp:extent cx="34290" cy="1714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-894715</wp:posOffset>
            </wp:positionV>
            <wp:extent cx="34290" cy="1714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-158115</wp:posOffset>
            </wp:positionV>
            <wp:extent cx="34290" cy="1714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-158115</wp:posOffset>
            </wp:positionV>
            <wp:extent cx="34290" cy="171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308"/>
        </w:trPr>
        <w:tc>
          <w:tcPr>
            <w:tcW w:w="6400" w:type="dxa"/>
            <w:vAlign w:val="bottom"/>
          </w:tcPr>
          <w:p>
            <w:pPr>
              <w:spacing w:after="0"/>
              <w:rPr>
                <w:sz w:val="24"/>
                <w:szCs w:val="24"/>
                <w:color w:val="auto"/>
              </w:rPr>
            </w:pPr>
          </w:p>
        </w:tc>
        <w:tc>
          <w:tcPr>
            <w:tcW w:w="4840" w:type="dxa"/>
            <w:vAlign w:val="bottom"/>
            <w:gridSpan w:val="4"/>
          </w:tcPr>
          <w:p>
            <w:pPr>
              <w:jc w:val="center"/>
              <w:ind w:left="130"/>
              <w:spacing w:after="0"/>
              <w:rPr>
                <w:sz w:val="20"/>
                <w:szCs w:val="20"/>
                <w:color w:val="auto"/>
              </w:rPr>
            </w:pPr>
            <w:r>
              <w:rPr>
                <w:rFonts w:ascii="Calibri" w:cs="Calibri" w:eastAsia="Calibri" w:hAnsi="Calibri"/>
                <w:sz w:val="18"/>
                <w:szCs w:val="18"/>
                <w:color w:val="auto"/>
                <w:w w:val="99"/>
              </w:rPr>
              <w:t xml:space="preserve">Part II </w:t>
            </w:r>
            <w:r>
              <w:rPr>
                <w:rFonts w:ascii="Arial" w:cs="Arial" w:eastAsia="Arial" w:hAnsi="Arial"/>
                <w:sz w:val="23"/>
                <w:szCs w:val="23"/>
                <w:color w:val="0070C0"/>
                <w:w w:val="99"/>
              </w:rPr>
              <w:t>♦</w:t>
            </w:r>
            <w:r>
              <w:rPr>
                <w:rFonts w:ascii="Calibri" w:cs="Calibri" w:eastAsia="Calibri" w:hAnsi="Calibri"/>
                <w:sz w:val="18"/>
                <w:szCs w:val="18"/>
                <w:color w:val="auto"/>
                <w:w w:val="99"/>
              </w:rPr>
              <w:t xml:space="preserve"> Item 8 – Financial Statements and Supplementary Data</w:t>
            </w:r>
          </w:p>
        </w:tc>
      </w:tr>
      <w:tr>
        <w:trPr>
          <w:trHeight w:val="361"/>
        </w:trPr>
        <w:tc>
          <w:tcPr>
            <w:tcW w:w="8420" w:type="dxa"/>
            <w:vAlign w:val="bottom"/>
            <w:gridSpan w:val="3"/>
          </w:tcPr>
          <w:p>
            <w:pPr>
              <w:spacing w:after="0"/>
              <w:rPr>
                <w:sz w:val="20"/>
                <w:szCs w:val="20"/>
                <w:color w:val="auto"/>
              </w:rPr>
            </w:pPr>
            <w:r>
              <w:rPr>
                <w:rFonts w:ascii="Calibri" w:cs="Calibri" w:eastAsia="Calibri" w:hAnsi="Calibri"/>
                <w:sz w:val="18"/>
                <w:szCs w:val="18"/>
                <w:color w:val="auto"/>
              </w:rPr>
              <w:t>Weighted-average assumptons used to determine net periodic beneft cost for the years ended December 31 are:</w:t>
            </w: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32"/>
        </w:trPr>
        <w:tc>
          <w:tcPr>
            <w:tcW w:w="64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216"/>
        </w:trPr>
        <w:tc>
          <w:tcPr>
            <w:tcW w:w="6400" w:type="dxa"/>
            <w:vAlign w:val="bottom"/>
            <w:tcBorders>
              <w:right w:val="single" w:sz="8" w:color="007CBA"/>
            </w:tcBorders>
            <w:shd w:val="clear" w:color="auto" w:fill="007CBA"/>
          </w:tcPr>
          <w:p>
            <w:pPr>
              <w:spacing w:after="0"/>
              <w:rPr>
                <w:sz w:val="18"/>
                <w:szCs w:val="18"/>
                <w:color w:val="auto"/>
              </w:rPr>
            </w:pPr>
          </w:p>
        </w:tc>
        <w:tc>
          <w:tcPr>
            <w:tcW w:w="1640" w:type="dxa"/>
            <w:vAlign w:val="bottom"/>
            <w:tcBorders>
              <w:right w:val="single" w:sz="8" w:color="007CBA"/>
            </w:tcBorders>
            <w:shd w:val="clear" w:color="auto" w:fill="007CBA"/>
          </w:tcPr>
          <w:p>
            <w:pPr>
              <w:jc w:val="center"/>
              <w:ind w:left="70"/>
              <w:spacing w:after="0" w:line="215" w:lineRule="exact"/>
              <w:rPr>
                <w:sz w:val="20"/>
                <w:szCs w:val="20"/>
                <w:color w:val="auto"/>
              </w:rPr>
            </w:pPr>
            <w:r>
              <w:rPr>
                <w:rFonts w:ascii="Calibri" w:cs="Calibri" w:eastAsia="Calibri" w:hAnsi="Calibri"/>
                <w:sz w:val="18"/>
                <w:szCs w:val="18"/>
                <w:b w:val="1"/>
                <w:bCs w:val="1"/>
                <w:color w:val="FFFFFF"/>
                <w:w w:val="98"/>
              </w:rPr>
              <w:t>2024</w:t>
            </w:r>
          </w:p>
        </w:tc>
        <w:tc>
          <w:tcPr>
            <w:tcW w:w="38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jc w:val="center"/>
              <w:ind w:right="130"/>
              <w:spacing w:after="0" w:line="215" w:lineRule="exact"/>
              <w:rPr>
                <w:sz w:val="20"/>
                <w:szCs w:val="20"/>
                <w:color w:val="auto"/>
              </w:rPr>
            </w:pPr>
            <w:r>
              <w:rPr>
                <w:rFonts w:ascii="Calibri" w:cs="Calibri" w:eastAsia="Calibri" w:hAnsi="Calibri"/>
                <w:sz w:val="18"/>
                <w:szCs w:val="18"/>
                <w:color w:val="FFFFFF"/>
                <w:w w:val="98"/>
              </w:rPr>
              <w:t>2023</w:t>
            </w:r>
          </w:p>
        </w:tc>
        <w:tc>
          <w:tcPr>
            <w:tcW w:w="1600" w:type="dxa"/>
            <w:vAlign w:val="bottom"/>
            <w:shd w:val="clear" w:color="auto" w:fill="007CBA"/>
          </w:tcPr>
          <w:p>
            <w:pPr>
              <w:jc w:val="center"/>
              <w:ind w:left="70"/>
              <w:spacing w:after="0" w:line="215" w:lineRule="exact"/>
              <w:rPr>
                <w:sz w:val="20"/>
                <w:szCs w:val="20"/>
                <w:color w:val="auto"/>
              </w:rPr>
            </w:pPr>
            <w:r>
              <w:rPr>
                <w:rFonts w:ascii="Calibri" w:cs="Calibri" w:eastAsia="Calibri" w:hAnsi="Calibri"/>
                <w:sz w:val="18"/>
                <w:szCs w:val="18"/>
                <w:color w:val="FFFFFF"/>
                <w:w w:val="98"/>
              </w:rPr>
              <w:t>2022</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Discount rate</w:t>
            </w:r>
          </w:p>
        </w:tc>
        <w:tc>
          <w:tcPr>
            <w:tcW w:w="1640" w:type="dxa"/>
            <w:vAlign w:val="bottom"/>
            <w:tcBorders>
              <w:right w:val="single" w:sz="8" w:color="007CBA"/>
            </w:tcBorders>
          </w:tcPr>
          <w:p>
            <w:pPr>
              <w:jc w:val="center"/>
              <w:ind w:left="70"/>
              <w:spacing w:after="0" w:line="215" w:lineRule="exact"/>
              <w:rPr>
                <w:sz w:val="20"/>
                <w:szCs w:val="20"/>
                <w:color w:val="auto"/>
              </w:rPr>
            </w:pPr>
            <w:r>
              <w:rPr>
                <w:rFonts w:ascii="Calibri" w:cs="Calibri" w:eastAsia="Calibri" w:hAnsi="Calibri"/>
                <w:sz w:val="18"/>
                <w:szCs w:val="18"/>
                <w:b w:val="1"/>
                <w:bCs w:val="1"/>
                <w:color w:val="auto"/>
                <w:w w:val="97"/>
              </w:rPr>
              <w:t>5.58%</w:t>
            </w:r>
          </w:p>
        </w:tc>
        <w:tc>
          <w:tcPr>
            <w:tcW w:w="380" w:type="dxa"/>
            <w:vAlign w:val="bottom"/>
          </w:tcPr>
          <w:p>
            <w:pPr>
              <w:spacing w:after="0"/>
              <w:rPr>
                <w:sz w:val="18"/>
                <w:szCs w:val="18"/>
                <w:color w:val="auto"/>
              </w:rPr>
            </w:pPr>
          </w:p>
        </w:tc>
        <w:tc>
          <w:tcPr>
            <w:tcW w:w="1220" w:type="dxa"/>
            <w:vAlign w:val="bottom"/>
            <w:tcBorders>
              <w:right w:val="single" w:sz="8" w:color="007CBA"/>
            </w:tcBorders>
          </w:tcPr>
          <w:p>
            <w:pPr>
              <w:jc w:val="center"/>
              <w:ind w:right="170"/>
              <w:spacing w:after="0" w:line="215" w:lineRule="exact"/>
              <w:rPr>
                <w:sz w:val="20"/>
                <w:szCs w:val="20"/>
                <w:color w:val="auto"/>
              </w:rPr>
            </w:pPr>
            <w:r>
              <w:rPr>
                <w:rFonts w:ascii="Calibri" w:cs="Calibri" w:eastAsia="Calibri" w:hAnsi="Calibri"/>
                <w:sz w:val="18"/>
                <w:szCs w:val="18"/>
                <w:color w:val="auto"/>
                <w:w w:val="98"/>
              </w:rPr>
              <w:t>5.88%</w:t>
            </w:r>
          </w:p>
        </w:tc>
        <w:tc>
          <w:tcPr>
            <w:tcW w:w="160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8"/>
              </w:rPr>
              <w:t>3.44%</w:t>
            </w:r>
          </w:p>
        </w:tc>
      </w:tr>
      <w:tr>
        <w:trPr>
          <w:trHeight w:val="217"/>
        </w:trPr>
        <w:tc>
          <w:tcPr>
            <w:tcW w:w="640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Rate of increase in future compensaton levels</w:t>
            </w:r>
          </w:p>
        </w:tc>
        <w:tc>
          <w:tcPr>
            <w:tcW w:w="1640" w:type="dxa"/>
            <w:vAlign w:val="bottom"/>
            <w:tcBorders>
              <w:right w:val="single" w:sz="8" w:color="007CBA"/>
            </w:tcBorders>
            <w:shd w:val="clear" w:color="auto" w:fill="E5F1F8"/>
          </w:tcPr>
          <w:p>
            <w:pPr>
              <w:jc w:val="center"/>
              <w:ind w:left="70"/>
              <w:spacing w:after="0" w:line="216" w:lineRule="exact"/>
              <w:rPr>
                <w:sz w:val="20"/>
                <w:szCs w:val="20"/>
                <w:color w:val="auto"/>
              </w:rPr>
            </w:pPr>
            <w:r>
              <w:rPr>
                <w:rFonts w:ascii="Calibri" w:cs="Calibri" w:eastAsia="Calibri" w:hAnsi="Calibri"/>
                <w:sz w:val="18"/>
                <w:szCs w:val="18"/>
                <w:b w:val="1"/>
                <w:bCs w:val="1"/>
                <w:color w:val="auto"/>
                <w:w w:val="97"/>
              </w:rPr>
              <w:t>4.50%</w:t>
            </w:r>
          </w:p>
        </w:tc>
        <w:tc>
          <w:tcPr>
            <w:tcW w:w="380" w:type="dxa"/>
            <w:vAlign w:val="bottom"/>
            <w:shd w:val="clear" w:color="auto" w:fill="E5F1F8"/>
          </w:tcPr>
          <w:p>
            <w:pPr>
              <w:spacing w:after="0"/>
              <w:rPr>
                <w:sz w:val="18"/>
                <w:szCs w:val="18"/>
                <w:color w:val="auto"/>
              </w:rPr>
            </w:pPr>
          </w:p>
        </w:tc>
        <w:tc>
          <w:tcPr>
            <w:tcW w:w="1220" w:type="dxa"/>
            <w:vAlign w:val="bottom"/>
            <w:tcBorders>
              <w:right w:val="single" w:sz="8" w:color="007CBA"/>
            </w:tcBorders>
            <w:shd w:val="clear" w:color="auto" w:fill="E5F1F8"/>
          </w:tcPr>
          <w:p>
            <w:pPr>
              <w:jc w:val="center"/>
              <w:ind w:right="170"/>
              <w:spacing w:after="0" w:line="216" w:lineRule="exact"/>
              <w:rPr>
                <w:sz w:val="20"/>
                <w:szCs w:val="20"/>
                <w:color w:val="auto"/>
              </w:rPr>
            </w:pPr>
            <w:r>
              <w:rPr>
                <w:rFonts w:ascii="Calibri" w:cs="Calibri" w:eastAsia="Calibri" w:hAnsi="Calibri"/>
                <w:sz w:val="18"/>
                <w:szCs w:val="18"/>
                <w:color w:val="auto"/>
                <w:w w:val="98"/>
              </w:rPr>
              <w:t>4.50%</w:t>
            </w:r>
          </w:p>
        </w:tc>
        <w:tc>
          <w:tcPr>
            <w:tcW w:w="1600" w:type="dxa"/>
            <w:vAlign w:val="bottom"/>
            <w:shd w:val="clear" w:color="auto" w:fill="E5F1F8"/>
          </w:tcPr>
          <w:p>
            <w:pPr>
              <w:jc w:val="center"/>
              <w:ind w:left="70"/>
              <w:spacing w:after="0" w:line="216" w:lineRule="exact"/>
              <w:rPr>
                <w:sz w:val="20"/>
                <w:szCs w:val="20"/>
                <w:color w:val="auto"/>
              </w:rPr>
            </w:pPr>
            <w:r>
              <w:rPr>
                <w:rFonts w:ascii="Calibri" w:cs="Calibri" w:eastAsia="Calibri" w:hAnsi="Calibri"/>
                <w:sz w:val="18"/>
                <w:szCs w:val="18"/>
                <w:color w:val="auto"/>
                <w:w w:val="98"/>
              </w:rPr>
              <w:t>4.50%</w:t>
            </w:r>
          </w:p>
        </w:tc>
      </w:tr>
      <w:tr>
        <w:trPr>
          <w:trHeight w:val="215"/>
        </w:trPr>
        <w:tc>
          <w:tcPr>
            <w:tcW w:w="640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Expected long-term rate of return on assets</w:t>
            </w:r>
          </w:p>
        </w:tc>
        <w:tc>
          <w:tcPr>
            <w:tcW w:w="1640" w:type="dxa"/>
            <w:vAlign w:val="bottom"/>
            <w:tcBorders>
              <w:bottom w:val="single" w:sz="8" w:color="auto"/>
            </w:tcBorders>
          </w:tcPr>
          <w:p>
            <w:pPr>
              <w:jc w:val="center"/>
              <w:ind w:left="70"/>
              <w:spacing w:after="0" w:line="215" w:lineRule="exact"/>
              <w:rPr>
                <w:sz w:val="20"/>
                <w:szCs w:val="20"/>
                <w:color w:val="auto"/>
              </w:rPr>
            </w:pPr>
            <w:r>
              <w:rPr>
                <w:rFonts w:ascii="Calibri" w:cs="Calibri" w:eastAsia="Calibri" w:hAnsi="Calibri"/>
                <w:sz w:val="18"/>
                <w:szCs w:val="18"/>
                <w:b w:val="1"/>
                <w:bCs w:val="1"/>
                <w:color w:val="auto"/>
                <w:w w:val="97"/>
              </w:rPr>
              <w:t>6.75%</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70"/>
              <w:spacing w:after="0" w:line="215" w:lineRule="exact"/>
              <w:rPr>
                <w:sz w:val="20"/>
                <w:szCs w:val="20"/>
                <w:color w:val="auto"/>
              </w:rPr>
            </w:pPr>
            <w:r>
              <w:rPr>
                <w:rFonts w:ascii="Calibri" w:cs="Calibri" w:eastAsia="Calibri" w:hAnsi="Calibri"/>
                <w:sz w:val="18"/>
                <w:szCs w:val="18"/>
                <w:color w:val="auto"/>
                <w:w w:val="98"/>
              </w:rPr>
              <w:t>6.75%</w:t>
            </w:r>
          </w:p>
        </w:tc>
        <w:tc>
          <w:tcPr>
            <w:tcW w:w="1600" w:type="dxa"/>
            <w:vAlign w:val="bottom"/>
            <w:tcBorders>
              <w:bottom w:val="single" w:sz="8" w:color="auto"/>
            </w:tcBorders>
          </w:tcPr>
          <w:p>
            <w:pPr>
              <w:jc w:val="center"/>
              <w:ind w:left="70"/>
              <w:spacing w:after="0" w:line="215" w:lineRule="exact"/>
              <w:rPr>
                <w:sz w:val="20"/>
                <w:szCs w:val="20"/>
                <w:color w:val="auto"/>
              </w:rPr>
            </w:pPr>
            <w:r>
              <w:rPr>
                <w:rFonts w:ascii="Calibri" w:cs="Calibri" w:eastAsia="Calibri" w:hAnsi="Calibri"/>
                <w:sz w:val="18"/>
                <w:szCs w:val="18"/>
                <w:color w:val="auto"/>
                <w:w w:val="98"/>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-158115</wp:posOffset>
            </wp:positionV>
            <wp:extent cx="33655" cy="1708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-158115</wp:posOffset>
            </wp:positionV>
            <wp:extent cx="33655" cy="1708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-158115</wp:posOffset>
            </wp:positionV>
            <wp:extent cx="34290" cy="1708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34290" cy="17081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expected long-term rate of return on pension fund assets is based on the current asset class mix of the Company's pension plan assets, current capital market conditons and a stochastc forecast of future conditons.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and 2023, the Company estmated the remaining lives of partcipants in the pension plans using the Pri-2012 Base tables. The no-collar table was used for salaried partcipants and the blue-collar table was used for hourly partcipants; the tables were adjusted to refect both the mortality experience of the Company’s partcipants and a geospatal mortality analysis. The Company used the MP-2020 mortality improvement scale for 2024 and 2023.</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Retrement plan assets are invested in listed stocks, bonds, real estate, private infrastructure and cash equivalents. The target allocaton for 2024 and the actual pension plan asset allocaton by asset class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20" w:type="dxa"/>
            <w:vAlign w:val="bottom"/>
            <w:tcBorders>
              <w:right w:val="single" w:sz="8" w:color="007CBA"/>
            </w:tcBorders>
            <w:shd w:val="clear" w:color="auto" w:fill="007CBA"/>
          </w:tcPr>
          <w:p>
            <w:pPr>
              <w:spacing w:after="0"/>
              <w:rPr>
                <w:sz w:val="19"/>
                <w:szCs w:val="19"/>
                <w:color w:val="auto"/>
              </w:rPr>
            </w:pPr>
          </w:p>
        </w:tc>
        <w:tc>
          <w:tcPr>
            <w:tcW w:w="1360" w:type="dxa"/>
            <w:vAlign w:val="bottom"/>
            <w:shd w:val="clear" w:color="auto" w:fill="007CBA"/>
          </w:tcPr>
          <w:p>
            <w:pPr>
              <w:spacing w:after="0"/>
              <w:rPr>
                <w:sz w:val="19"/>
                <w:szCs w:val="19"/>
                <w:color w:val="auto"/>
              </w:rPr>
            </w:pPr>
          </w:p>
        </w:tc>
        <w:tc>
          <w:tcPr>
            <w:tcW w:w="2480" w:type="dxa"/>
            <w:vAlign w:val="bottom"/>
            <w:gridSpan w:val="3"/>
            <w:shd w:val="clear" w:color="auto" w:fill="007CBA"/>
          </w:tcPr>
          <w:p>
            <w:pPr>
              <w:ind w:left="100"/>
              <w:spacing w:after="0"/>
              <w:rPr>
                <w:sz w:val="20"/>
                <w:szCs w:val="20"/>
                <w:color w:val="auto"/>
              </w:rPr>
            </w:pPr>
            <w:r>
              <w:rPr>
                <w:rFonts w:ascii="Calibri" w:cs="Calibri" w:eastAsia="Calibri" w:hAnsi="Calibri"/>
                <w:sz w:val="18"/>
                <w:szCs w:val="18"/>
                <w:b w:val="1"/>
                <w:bCs w:val="1"/>
                <w:color w:val="FFFFFF"/>
              </w:rPr>
              <w:t>Percentage of Plan Assets</w:t>
            </w:r>
          </w:p>
        </w:tc>
        <w:tc>
          <w:tcPr>
            <w:tcW w:w="980" w:type="dxa"/>
            <w:vAlign w:val="bottom"/>
            <w:shd w:val="clear" w:color="auto" w:fill="007CBA"/>
          </w:tcPr>
          <w:p>
            <w:pPr>
              <w:spacing w:after="0"/>
              <w:rPr>
                <w:sz w:val="19"/>
                <w:szCs w:val="19"/>
                <w:color w:val="auto"/>
              </w:rPr>
            </w:pPr>
          </w:p>
        </w:tc>
      </w:tr>
      <w:tr>
        <w:trPr>
          <w:trHeight w:val="215"/>
        </w:trPr>
        <w:tc>
          <w:tcPr>
            <w:tcW w:w="6420" w:type="dxa"/>
            <w:vAlign w:val="bottom"/>
            <w:tcBorders>
              <w:right w:val="single" w:sz="8" w:color="007CBA"/>
            </w:tcBorders>
            <w:shd w:val="clear" w:color="auto" w:fill="007CBA"/>
          </w:tcPr>
          <w:p>
            <w:pPr>
              <w:spacing w:after="0"/>
              <w:rPr>
                <w:sz w:val="18"/>
                <w:szCs w:val="18"/>
                <w:color w:val="auto"/>
              </w:rPr>
            </w:pPr>
          </w:p>
        </w:tc>
        <w:tc>
          <w:tcPr>
            <w:tcW w:w="1360" w:type="dxa"/>
            <w:vAlign w:val="bottom"/>
            <w:shd w:val="clear" w:color="auto" w:fill="007CBA"/>
          </w:tcPr>
          <w:p>
            <w:pPr>
              <w:jc w:val="center"/>
              <w:ind w:left="350"/>
              <w:spacing w:after="0" w:line="215" w:lineRule="exact"/>
              <w:rPr>
                <w:sz w:val="20"/>
                <w:szCs w:val="20"/>
                <w:color w:val="auto"/>
              </w:rPr>
            </w:pPr>
            <w:r>
              <w:rPr>
                <w:rFonts w:ascii="Calibri" w:cs="Calibri" w:eastAsia="Calibri" w:hAnsi="Calibri"/>
                <w:sz w:val="18"/>
                <w:szCs w:val="18"/>
                <w:b w:val="1"/>
                <w:bCs w:val="1"/>
                <w:color w:val="FFFFFF"/>
                <w:w w:val="98"/>
              </w:rPr>
              <w:t>2024</w:t>
            </w:r>
          </w:p>
        </w:tc>
        <w:tc>
          <w:tcPr>
            <w:tcW w:w="26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shd w:val="clear" w:color="auto" w:fill="007CBA"/>
          </w:tcPr>
          <w:p>
            <w:pPr>
              <w:spacing w:after="0"/>
              <w:rPr>
                <w:sz w:val="18"/>
                <w:szCs w:val="18"/>
                <w:color w:val="auto"/>
              </w:rPr>
            </w:pPr>
          </w:p>
        </w:tc>
        <w:tc>
          <w:tcPr>
            <w:tcW w:w="600" w:type="dxa"/>
            <w:vAlign w:val="bottom"/>
            <w:shd w:val="clear" w:color="auto" w:fill="007CBA"/>
          </w:tcPr>
          <w:p>
            <w:pPr>
              <w:spacing w:after="0"/>
              <w:rPr>
                <w:sz w:val="18"/>
                <w:szCs w:val="18"/>
                <w:color w:val="auto"/>
              </w:rPr>
            </w:pPr>
          </w:p>
        </w:tc>
        <w:tc>
          <w:tcPr>
            <w:tcW w:w="980" w:type="dxa"/>
            <w:vAlign w:val="bottom"/>
            <w:shd w:val="clear" w:color="auto" w:fill="007CBA"/>
          </w:tcPr>
          <w:p>
            <w:pPr>
              <w:spacing w:after="0"/>
              <w:rPr>
                <w:sz w:val="18"/>
                <w:szCs w:val="18"/>
                <w:color w:val="auto"/>
              </w:rPr>
            </w:pPr>
          </w:p>
        </w:tc>
      </w:tr>
      <w:tr>
        <w:trPr>
          <w:trHeight w:val="215"/>
        </w:trPr>
        <w:tc>
          <w:tcPr>
            <w:tcW w:w="6420" w:type="dxa"/>
            <w:vAlign w:val="bottom"/>
            <w:tcBorders>
              <w:right w:val="single" w:sz="8" w:color="007CBA"/>
            </w:tcBorders>
            <w:shd w:val="clear" w:color="auto" w:fill="007CBA"/>
          </w:tcPr>
          <w:p>
            <w:pPr>
              <w:spacing w:after="0"/>
              <w:rPr>
                <w:sz w:val="18"/>
                <w:szCs w:val="18"/>
                <w:color w:val="auto"/>
              </w:rPr>
            </w:pPr>
          </w:p>
        </w:tc>
        <w:tc>
          <w:tcPr>
            <w:tcW w:w="1360" w:type="dxa"/>
            <w:vAlign w:val="bottom"/>
            <w:shd w:val="clear" w:color="auto" w:fill="007CBA"/>
          </w:tcPr>
          <w:p>
            <w:pPr>
              <w:jc w:val="center"/>
              <w:ind w:left="330"/>
              <w:spacing w:after="0" w:line="215" w:lineRule="exact"/>
              <w:rPr>
                <w:sz w:val="20"/>
                <w:szCs w:val="20"/>
                <w:color w:val="auto"/>
              </w:rPr>
            </w:pPr>
            <w:r>
              <w:rPr>
                <w:rFonts w:ascii="Calibri" w:cs="Calibri" w:eastAsia="Calibri" w:hAnsi="Calibri"/>
                <w:sz w:val="18"/>
                <w:szCs w:val="18"/>
                <w:b w:val="1"/>
                <w:bCs w:val="1"/>
                <w:color w:val="FFFFFF"/>
                <w:w w:val="95"/>
              </w:rPr>
              <w:t>Target</w:t>
            </w:r>
          </w:p>
        </w:tc>
        <w:tc>
          <w:tcPr>
            <w:tcW w:w="260" w:type="dxa"/>
            <w:vAlign w:val="bottom"/>
            <w:tcBorders>
              <w:right w:val="single" w:sz="8" w:color="007CBA"/>
            </w:tcBorders>
            <w:shd w:val="clear" w:color="auto" w:fill="007CBA"/>
          </w:tcPr>
          <w:p>
            <w:pPr>
              <w:spacing w:after="0"/>
              <w:rPr>
                <w:sz w:val="18"/>
                <w:szCs w:val="18"/>
                <w:color w:val="auto"/>
              </w:rPr>
            </w:pPr>
          </w:p>
        </w:tc>
        <w:tc>
          <w:tcPr>
            <w:tcW w:w="2220" w:type="dxa"/>
            <w:vAlign w:val="bottom"/>
            <w:gridSpan w:val="2"/>
            <w:shd w:val="clear" w:color="auto" w:fill="007CBA"/>
          </w:tcPr>
          <w:p>
            <w:pPr>
              <w:ind w:left="12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980" w:type="dxa"/>
            <w:vAlign w:val="bottom"/>
            <w:shd w:val="clear" w:color="auto" w:fill="007CBA"/>
          </w:tcPr>
          <w:p>
            <w:pPr>
              <w:spacing w:after="0"/>
              <w:rPr>
                <w:sz w:val="18"/>
                <w:szCs w:val="18"/>
                <w:color w:val="auto"/>
              </w:rPr>
            </w:pPr>
          </w:p>
        </w:tc>
      </w:tr>
      <w:tr>
        <w:trPr>
          <w:trHeight w:val="218"/>
        </w:trPr>
        <w:tc>
          <w:tcPr>
            <w:tcW w:w="642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b w:val="1"/>
                <w:bCs w:val="1"/>
                <w:color w:val="FFFFFF"/>
              </w:rPr>
              <w:t>Asset Class</w:t>
            </w:r>
          </w:p>
        </w:tc>
        <w:tc>
          <w:tcPr>
            <w:tcW w:w="1360" w:type="dxa"/>
            <w:vAlign w:val="bottom"/>
            <w:shd w:val="clear" w:color="auto" w:fill="007CBA"/>
          </w:tcPr>
          <w:p>
            <w:pPr>
              <w:jc w:val="center"/>
              <w:ind w:left="330"/>
              <w:spacing w:after="0" w:line="215" w:lineRule="exact"/>
              <w:rPr>
                <w:sz w:val="20"/>
                <w:szCs w:val="20"/>
                <w:color w:val="auto"/>
              </w:rPr>
            </w:pPr>
            <w:r>
              <w:rPr>
                <w:rFonts w:ascii="Calibri" w:cs="Calibri" w:eastAsia="Calibri" w:hAnsi="Calibri"/>
                <w:sz w:val="18"/>
                <w:szCs w:val="18"/>
                <w:b w:val="1"/>
                <w:bCs w:val="1"/>
                <w:color w:val="FFFFFF"/>
              </w:rPr>
              <w:t>Allocaton</w:t>
            </w:r>
          </w:p>
        </w:tc>
        <w:tc>
          <w:tcPr>
            <w:tcW w:w="26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shd w:val="clear" w:color="auto" w:fill="007CBA"/>
          </w:tcPr>
          <w:p>
            <w:pPr>
              <w:jc w:val="center"/>
              <w:ind w:left="50"/>
              <w:spacing w:after="0" w:line="215" w:lineRule="exact"/>
              <w:rPr>
                <w:sz w:val="20"/>
                <w:szCs w:val="20"/>
                <w:color w:val="auto"/>
              </w:rPr>
            </w:pPr>
            <w:r>
              <w:rPr>
                <w:rFonts w:ascii="Calibri" w:cs="Calibri" w:eastAsia="Calibri" w:hAnsi="Calibri"/>
                <w:sz w:val="18"/>
                <w:szCs w:val="18"/>
                <w:b w:val="1"/>
                <w:bCs w:val="1"/>
                <w:color w:val="FFFFFF"/>
                <w:w w:val="98"/>
              </w:rPr>
              <w:t>2024</w:t>
            </w:r>
          </w:p>
        </w:tc>
        <w:tc>
          <w:tcPr>
            <w:tcW w:w="600" w:type="dxa"/>
            <w:vAlign w:val="bottom"/>
            <w:shd w:val="clear" w:color="auto" w:fill="007CBA"/>
          </w:tcPr>
          <w:p>
            <w:pPr>
              <w:spacing w:after="0"/>
              <w:rPr>
                <w:sz w:val="18"/>
                <w:szCs w:val="18"/>
                <w:color w:val="auto"/>
              </w:rPr>
            </w:pPr>
          </w:p>
        </w:tc>
        <w:tc>
          <w:tcPr>
            <w:tcW w:w="980" w:type="dxa"/>
            <w:vAlign w:val="bottom"/>
            <w:shd w:val="clear" w:color="auto" w:fill="007CBA"/>
          </w:tcPr>
          <w:p>
            <w:pPr>
              <w:jc w:val="center"/>
              <w:ind w:right="370"/>
              <w:spacing w:after="0" w:line="215" w:lineRule="exact"/>
              <w:rPr>
                <w:sz w:val="20"/>
                <w:szCs w:val="20"/>
                <w:color w:val="auto"/>
              </w:rPr>
            </w:pPr>
            <w:r>
              <w:rPr>
                <w:rFonts w:ascii="Calibri" w:cs="Calibri" w:eastAsia="Calibri" w:hAnsi="Calibri"/>
                <w:sz w:val="18"/>
                <w:szCs w:val="18"/>
                <w:color w:val="FFFFFF"/>
                <w:w w:val="98"/>
              </w:rPr>
              <w:t>2023</w:t>
            </w:r>
          </w:p>
        </w:tc>
      </w:tr>
      <w:tr>
        <w:trPr>
          <w:trHeight w:val="215"/>
        </w:trPr>
        <w:tc>
          <w:tcPr>
            <w:tcW w:w="64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Equity securites</w:t>
            </w:r>
          </w:p>
        </w:tc>
        <w:tc>
          <w:tcPr>
            <w:tcW w:w="1360" w:type="dxa"/>
            <w:vAlign w:val="bottom"/>
          </w:tcPr>
          <w:p>
            <w:pPr>
              <w:jc w:val="center"/>
              <w:ind w:left="330"/>
              <w:spacing w:after="0" w:line="215" w:lineRule="exact"/>
              <w:rPr>
                <w:sz w:val="20"/>
                <w:szCs w:val="20"/>
                <w:color w:val="auto"/>
              </w:rPr>
            </w:pPr>
            <w:r>
              <w:rPr>
                <w:rFonts w:ascii="Calibri" w:cs="Calibri" w:eastAsia="Calibri" w:hAnsi="Calibri"/>
                <w:sz w:val="18"/>
                <w:szCs w:val="18"/>
                <w:color w:val="auto"/>
                <w:w w:val="96"/>
              </w:rPr>
              <w:t>56%</w:t>
            </w:r>
          </w:p>
        </w:tc>
        <w:tc>
          <w:tcPr>
            <w:tcW w:w="260" w:type="dxa"/>
            <w:vAlign w:val="bottom"/>
            <w:tcBorders>
              <w:right w:val="single" w:sz="8" w:color="007CBA"/>
            </w:tcBorders>
          </w:tcPr>
          <w:p>
            <w:pPr>
              <w:spacing w:after="0"/>
              <w:rPr>
                <w:sz w:val="18"/>
                <w:szCs w:val="18"/>
                <w:color w:val="auto"/>
              </w:rPr>
            </w:pPr>
          </w:p>
        </w:tc>
        <w:tc>
          <w:tcPr>
            <w:tcW w:w="162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b w:val="1"/>
                <w:bCs w:val="1"/>
                <w:color w:val="auto"/>
              </w:rPr>
              <w:t>58%</w:t>
            </w:r>
          </w:p>
        </w:tc>
        <w:tc>
          <w:tcPr>
            <w:tcW w:w="600" w:type="dxa"/>
            <w:vAlign w:val="bottom"/>
          </w:tcPr>
          <w:p>
            <w:pPr>
              <w:spacing w:after="0"/>
              <w:rPr>
                <w:sz w:val="18"/>
                <w:szCs w:val="18"/>
                <w:color w:val="auto"/>
              </w:rPr>
            </w:pPr>
          </w:p>
        </w:tc>
        <w:tc>
          <w:tcPr>
            <w:tcW w:w="980" w:type="dxa"/>
            <w:vAlign w:val="bottom"/>
          </w:tcPr>
          <w:p>
            <w:pPr>
              <w:jc w:val="center"/>
              <w:ind w:right="370"/>
              <w:spacing w:after="0" w:line="215" w:lineRule="exact"/>
              <w:rPr>
                <w:sz w:val="20"/>
                <w:szCs w:val="20"/>
                <w:color w:val="auto"/>
              </w:rPr>
            </w:pPr>
            <w:r>
              <w:rPr>
                <w:rFonts w:ascii="Calibri" w:cs="Calibri" w:eastAsia="Calibri" w:hAnsi="Calibri"/>
                <w:sz w:val="18"/>
                <w:szCs w:val="18"/>
                <w:color w:val="auto"/>
              </w:rPr>
              <w:t>53%</w:t>
            </w:r>
          </w:p>
        </w:tc>
      </w:tr>
      <w:tr>
        <w:trPr>
          <w:trHeight w:val="217"/>
        </w:trPr>
        <w:tc>
          <w:tcPr>
            <w:tcW w:w="642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Debt securites</w:t>
            </w:r>
          </w:p>
        </w:tc>
        <w:tc>
          <w:tcPr>
            <w:tcW w:w="1360" w:type="dxa"/>
            <w:vAlign w:val="bottom"/>
            <w:shd w:val="clear" w:color="auto" w:fill="E5F1F8"/>
          </w:tcPr>
          <w:p>
            <w:pPr>
              <w:jc w:val="center"/>
              <w:ind w:left="330"/>
              <w:spacing w:after="0" w:line="216" w:lineRule="exact"/>
              <w:rPr>
                <w:sz w:val="20"/>
                <w:szCs w:val="20"/>
                <w:color w:val="auto"/>
              </w:rPr>
            </w:pPr>
            <w:r>
              <w:rPr>
                <w:rFonts w:ascii="Calibri" w:cs="Calibri" w:eastAsia="Calibri" w:hAnsi="Calibri"/>
                <w:sz w:val="18"/>
                <w:szCs w:val="18"/>
                <w:color w:val="auto"/>
                <w:w w:val="96"/>
              </w:rPr>
              <w:t>28%</w:t>
            </w:r>
          </w:p>
        </w:tc>
        <w:tc>
          <w:tcPr>
            <w:tcW w:w="260" w:type="dxa"/>
            <w:vAlign w:val="bottom"/>
            <w:tcBorders>
              <w:right w:val="single" w:sz="8" w:color="007CBA"/>
            </w:tcBorders>
            <w:shd w:val="clear" w:color="auto" w:fill="E5F1F8"/>
          </w:tcPr>
          <w:p>
            <w:pPr>
              <w:spacing w:after="0"/>
              <w:rPr>
                <w:sz w:val="18"/>
                <w:szCs w:val="18"/>
                <w:color w:val="auto"/>
              </w:rPr>
            </w:pPr>
          </w:p>
        </w:tc>
        <w:tc>
          <w:tcPr>
            <w:tcW w:w="1620" w:type="dxa"/>
            <w:vAlign w:val="bottom"/>
            <w:tcBorders>
              <w:right w:val="single" w:sz="8" w:color="007CBA"/>
            </w:tcBorders>
            <w:shd w:val="clear" w:color="auto" w:fill="E5F1F8"/>
          </w:tcPr>
          <w:p>
            <w:pPr>
              <w:jc w:val="center"/>
              <w:ind w:left="50"/>
              <w:spacing w:after="0" w:line="216" w:lineRule="exact"/>
              <w:rPr>
                <w:sz w:val="20"/>
                <w:szCs w:val="20"/>
                <w:color w:val="auto"/>
              </w:rPr>
            </w:pPr>
            <w:r>
              <w:rPr>
                <w:rFonts w:ascii="Calibri" w:cs="Calibri" w:eastAsia="Calibri" w:hAnsi="Calibri"/>
                <w:sz w:val="18"/>
                <w:szCs w:val="18"/>
                <w:b w:val="1"/>
                <w:bCs w:val="1"/>
                <w:color w:val="auto"/>
              </w:rPr>
              <w:t>22%</w:t>
            </w:r>
          </w:p>
        </w:tc>
        <w:tc>
          <w:tcPr>
            <w:tcW w:w="600" w:type="dxa"/>
            <w:vAlign w:val="bottom"/>
            <w:shd w:val="clear" w:color="auto" w:fill="E5F1F8"/>
          </w:tcPr>
          <w:p>
            <w:pPr>
              <w:spacing w:after="0"/>
              <w:rPr>
                <w:sz w:val="18"/>
                <w:szCs w:val="18"/>
                <w:color w:val="auto"/>
              </w:rPr>
            </w:pPr>
          </w:p>
        </w:tc>
        <w:tc>
          <w:tcPr>
            <w:tcW w:w="980" w:type="dxa"/>
            <w:vAlign w:val="bottom"/>
            <w:shd w:val="clear" w:color="auto" w:fill="E5F1F8"/>
          </w:tcPr>
          <w:p>
            <w:pPr>
              <w:jc w:val="center"/>
              <w:ind w:right="370"/>
              <w:spacing w:after="0" w:line="216" w:lineRule="exact"/>
              <w:rPr>
                <w:sz w:val="20"/>
                <w:szCs w:val="20"/>
                <w:color w:val="auto"/>
              </w:rPr>
            </w:pPr>
            <w:r>
              <w:rPr>
                <w:rFonts w:ascii="Calibri" w:cs="Calibri" w:eastAsia="Calibri" w:hAnsi="Calibri"/>
                <w:sz w:val="18"/>
                <w:szCs w:val="18"/>
                <w:color w:val="auto"/>
              </w:rPr>
              <w:t>27%</w:t>
            </w:r>
          </w:p>
        </w:tc>
      </w:tr>
      <w:tr>
        <w:trPr>
          <w:trHeight w:val="215"/>
        </w:trPr>
        <w:tc>
          <w:tcPr>
            <w:tcW w:w="64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Real estate</w:t>
            </w:r>
          </w:p>
        </w:tc>
        <w:tc>
          <w:tcPr>
            <w:tcW w:w="1360" w:type="dxa"/>
            <w:vAlign w:val="bottom"/>
          </w:tcPr>
          <w:p>
            <w:pPr>
              <w:jc w:val="center"/>
              <w:ind w:left="330"/>
              <w:spacing w:after="0" w:line="215" w:lineRule="exact"/>
              <w:rPr>
                <w:sz w:val="20"/>
                <w:szCs w:val="20"/>
                <w:color w:val="auto"/>
              </w:rPr>
            </w:pPr>
            <w:r>
              <w:rPr>
                <w:rFonts w:ascii="Calibri" w:cs="Calibri" w:eastAsia="Calibri" w:hAnsi="Calibri"/>
                <w:sz w:val="18"/>
                <w:szCs w:val="18"/>
                <w:color w:val="auto"/>
                <w:w w:val="96"/>
              </w:rPr>
              <w:t>10%</w:t>
            </w:r>
          </w:p>
        </w:tc>
        <w:tc>
          <w:tcPr>
            <w:tcW w:w="260" w:type="dxa"/>
            <w:vAlign w:val="bottom"/>
            <w:tcBorders>
              <w:right w:val="single" w:sz="8" w:color="007CBA"/>
            </w:tcBorders>
          </w:tcPr>
          <w:p>
            <w:pPr>
              <w:spacing w:after="0"/>
              <w:rPr>
                <w:sz w:val="18"/>
                <w:szCs w:val="18"/>
                <w:color w:val="auto"/>
              </w:rPr>
            </w:pPr>
          </w:p>
        </w:tc>
        <w:tc>
          <w:tcPr>
            <w:tcW w:w="162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b w:val="1"/>
                <w:bCs w:val="1"/>
                <w:color w:val="auto"/>
              </w:rPr>
              <w:t>10%</w:t>
            </w:r>
          </w:p>
        </w:tc>
        <w:tc>
          <w:tcPr>
            <w:tcW w:w="600" w:type="dxa"/>
            <w:vAlign w:val="bottom"/>
          </w:tcPr>
          <w:p>
            <w:pPr>
              <w:spacing w:after="0"/>
              <w:rPr>
                <w:sz w:val="18"/>
                <w:szCs w:val="18"/>
                <w:color w:val="auto"/>
              </w:rPr>
            </w:pPr>
          </w:p>
        </w:tc>
        <w:tc>
          <w:tcPr>
            <w:tcW w:w="980" w:type="dxa"/>
            <w:vAlign w:val="bottom"/>
          </w:tcPr>
          <w:p>
            <w:pPr>
              <w:jc w:val="center"/>
              <w:ind w:right="370"/>
              <w:spacing w:after="0" w:line="215" w:lineRule="exact"/>
              <w:rPr>
                <w:sz w:val="20"/>
                <w:szCs w:val="20"/>
                <w:color w:val="auto"/>
              </w:rPr>
            </w:pPr>
            <w:r>
              <w:rPr>
                <w:rFonts w:ascii="Calibri" w:cs="Calibri" w:eastAsia="Calibri" w:hAnsi="Calibri"/>
                <w:sz w:val="18"/>
                <w:szCs w:val="18"/>
                <w:color w:val="auto"/>
              </w:rPr>
              <w:t>12%</w:t>
            </w:r>
          </w:p>
        </w:tc>
      </w:tr>
      <w:tr>
        <w:trPr>
          <w:trHeight w:val="217"/>
        </w:trPr>
        <w:tc>
          <w:tcPr>
            <w:tcW w:w="642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Private infrastructure</w:t>
            </w:r>
          </w:p>
        </w:tc>
        <w:tc>
          <w:tcPr>
            <w:tcW w:w="1360" w:type="dxa"/>
            <w:vAlign w:val="bottom"/>
            <w:shd w:val="clear" w:color="auto" w:fill="E5F1F8"/>
          </w:tcPr>
          <w:p>
            <w:pPr>
              <w:jc w:val="center"/>
              <w:ind w:left="330"/>
              <w:spacing w:after="0" w:line="216" w:lineRule="exact"/>
              <w:rPr>
                <w:sz w:val="20"/>
                <w:szCs w:val="20"/>
                <w:color w:val="auto"/>
              </w:rPr>
            </w:pPr>
            <w:r>
              <w:rPr>
                <w:rFonts w:ascii="Calibri" w:cs="Calibri" w:eastAsia="Calibri" w:hAnsi="Calibri"/>
                <w:sz w:val="18"/>
                <w:szCs w:val="18"/>
                <w:color w:val="auto"/>
                <w:w w:val="99"/>
              </w:rPr>
              <w:t>6%</w:t>
            </w:r>
          </w:p>
        </w:tc>
        <w:tc>
          <w:tcPr>
            <w:tcW w:w="260" w:type="dxa"/>
            <w:vAlign w:val="bottom"/>
            <w:tcBorders>
              <w:right w:val="single" w:sz="8" w:color="007CBA"/>
            </w:tcBorders>
            <w:shd w:val="clear" w:color="auto" w:fill="E5F1F8"/>
          </w:tcPr>
          <w:p>
            <w:pPr>
              <w:spacing w:after="0"/>
              <w:rPr>
                <w:sz w:val="18"/>
                <w:szCs w:val="18"/>
                <w:color w:val="auto"/>
              </w:rPr>
            </w:pPr>
          </w:p>
        </w:tc>
        <w:tc>
          <w:tcPr>
            <w:tcW w:w="1620" w:type="dxa"/>
            <w:vAlign w:val="bottom"/>
            <w:tcBorders>
              <w:right w:val="single" w:sz="8" w:color="007CBA"/>
            </w:tcBorders>
            <w:shd w:val="clear" w:color="auto" w:fill="E5F1F8"/>
          </w:tcPr>
          <w:p>
            <w:pPr>
              <w:jc w:val="center"/>
              <w:ind w:left="70"/>
              <w:spacing w:after="0" w:line="216" w:lineRule="exact"/>
              <w:rPr>
                <w:sz w:val="20"/>
                <w:szCs w:val="20"/>
                <w:color w:val="auto"/>
              </w:rPr>
            </w:pPr>
            <w:r>
              <w:rPr>
                <w:rFonts w:ascii="Calibri" w:cs="Calibri" w:eastAsia="Calibri" w:hAnsi="Calibri"/>
                <w:sz w:val="18"/>
                <w:szCs w:val="18"/>
                <w:b w:val="1"/>
                <w:bCs w:val="1"/>
                <w:color w:val="auto"/>
                <w:w w:val="98"/>
              </w:rPr>
              <w:t>8%</w:t>
            </w:r>
          </w:p>
        </w:tc>
        <w:tc>
          <w:tcPr>
            <w:tcW w:w="600" w:type="dxa"/>
            <w:vAlign w:val="bottom"/>
            <w:shd w:val="clear" w:color="auto" w:fill="E5F1F8"/>
          </w:tcPr>
          <w:p>
            <w:pPr>
              <w:spacing w:after="0"/>
              <w:rPr>
                <w:sz w:val="18"/>
                <w:szCs w:val="18"/>
                <w:color w:val="auto"/>
              </w:rPr>
            </w:pPr>
          </w:p>
        </w:tc>
        <w:tc>
          <w:tcPr>
            <w:tcW w:w="980" w:type="dxa"/>
            <w:vAlign w:val="bottom"/>
            <w:shd w:val="clear" w:color="auto" w:fill="E5F1F8"/>
          </w:tcPr>
          <w:p>
            <w:pPr>
              <w:jc w:val="center"/>
              <w:ind w:right="370"/>
              <w:spacing w:after="0" w:line="216" w:lineRule="exact"/>
              <w:rPr>
                <w:sz w:val="20"/>
                <w:szCs w:val="20"/>
                <w:color w:val="auto"/>
              </w:rPr>
            </w:pPr>
            <w:r>
              <w:rPr>
                <w:rFonts w:ascii="Calibri" w:cs="Calibri" w:eastAsia="Calibri" w:hAnsi="Calibri"/>
                <w:sz w:val="18"/>
                <w:szCs w:val="18"/>
                <w:color w:val="auto"/>
                <w:w w:val="90"/>
              </w:rPr>
              <w:t>8%</w:t>
            </w:r>
          </w:p>
        </w:tc>
      </w:tr>
      <w:tr>
        <w:trPr>
          <w:trHeight w:val="215"/>
        </w:trPr>
        <w:tc>
          <w:tcPr>
            <w:tcW w:w="64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Cash</w:t>
            </w:r>
          </w:p>
        </w:tc>
        <w:tc>
          <w:tcPr>
            <w:tcW w:w="1360" w:type="dxa"/>
            <w:vAlign w:val="bottom"/>
            <w:tcBorders>
              <w:bottom w:val="single" w:sz="8" w:color="auto"/>
            </w:tcBorders>
          </w:tcPr>
          <w:p>
            <w:pPr>
              <w:jc w:val="center"/>
              <w:ind w:left="330"/>
              <w:spacing w:after="0" w:line="215" w:lineRule="exact"/>
              <w:rPr>
                <w:sz w:val="20"/>
                <w:szCs w:val="20"/>
                <w:color w:val="auto"/>
              </w:rPr>
            </w:pPr>
            <w:r>
              <w:rPr>
                <w:rFonts w:ascii="Calibri" w:cs="Calibri" w:eastAsia="Calibri" w:hAnsi="Calibri"/>
                <w:sz w:val="18"/>
                <w:szCs w:val="18"/>
                <w:color w:val="auto"/>
                <w:w w:val="99"/>
              </w:rPr>
              <w:t>0%</w:t>
            </w:r>
          </w:p>
        </w:tc>
        <w:tc>
          <w:tcPr>
            <w:tcW w:w="1880" w:type="dxa"/>
            <w:vAlign w:val="bottom"/>
            <w:tcBorders>
              <w:bottom w:val="single" w:sz="8" w:color="auto"/>
            </w:tcBorders>
            <w:gridSpan w:val="2"/>
          </w:tcPr>
          <w:p>
            <w:pPr>
              <w:jc w:val="center"/>
              <w:ind w:left="330"/>
              <w:spacing w:after="0" w:line="215" w:lineRule="exact"/>
              <w:rPr>
                <w:sz w:val="20"/>
                <w:szCs w:val="20"/>
                <w:color w:val="auto"/>
              </w:rPr>
            </w:pPr>
            <w:r>
              <w:rPr>
                <w:rFonts w:ascii="Calibri" w:cs="Calibri" w:eastAsia="Calibri" w:hAnsi="Calibri"/>
                <w:sz w:val="18"/>
                <w:szCs w:val="18"/>
                <w:b w:val="1"/>
                <w:bCs w:val="1"/>
                <w:color w:val="auto"/>
                <w:w w:val="98"/>
              </w:rPr>
              <w:t>2%</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70"/>
              <w:spacing w:after="0" w:line="215" w:lineRule="exact"/>
              <w:rPr>
                <w:sz w:val="20"/>
                <w:szCs w:val="20"/>
                <w:color w:val="auto"/>
              </w:rPr>
            </w:pPr>
            <w:r>
              <w:rPr>
                <w:rFonts w:ascii="Calibri" w:cs="Calibri" w:eastAsia="Calibri" w:hAnsi="Calibri"/>
                <w:sz w:val="18"/>
                <w:szCs w:val="18"/>
                <w:color w:val="auto"/>
                <w:w w:val="90"/>
              </w:rPr>
              <w:t>0%</w:t>
            </w:r>
          </w:p>
        </w:tc>
      </w:tr>
      <w:tr>
        <w:trPr>
          <w:trHeight w:val="249"/>
        </w:trPr>
        <w:tc>
          <w:tcPr>
            <w:tcW w:w="642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w:t>
            </w:r>
          </w:p>
        </w:tc>
        <w:tc>
          <w:tcPr>
            <w:tcW w:w="1360" w:type="dxa"/>
            <w:vAlign w:val="bottom"/>
            <w:tcBorders>
              <w:bottom w:val="single" w:sz="8" w:color="auto"/>
            </w:tcBorders>
            <w:shd w:val="clear" w:color="auto" w:fill="E5F1F8"/>
          </w:tcPr>
          <w:p>
            <w:pPr>
              <w:jc w:val="center"/>
              <w:ind w:left="310"/>
              <w:spacing w:after="0" w:line="209" w:lineRule="exact"/>
              <w:rPr>
                <w:sz w:val="20"/>
                <w:szCs w:val="20"/>
                <w:color w:val="auto"/>
              </w:rPr>
            </w:pPr>
            <w:r>
              <w:rPr>
                <w:rFonts w:ascii="Calibri" w:cs="Calibri" w:eastAsia="Calibri" w:hAnsi="Calibri"/>
                <w:sz w:val="18"/>
                <w:szCs w:val="18"/>
                <w:color w:val="auto"/>
                <w:w w:val="99"/>
              </w:rPr>
              <w:t>100%</w:t>
            </w:r>
          </w:p>
        </w:tc>
        <w:tc>
          <w:tcPr>
            <w:tcW w:w="1880" w:type="dxa"/>
            <w:vAlign w:val="bottom"/>
            <w:tcBorders>
              <w:bottom w:val="single" w:sz="8" w:color="auto"/>
              <w:right w:val="single" w:sz="8" w:color="E5F1F8"/>
            </w:tcBorders>
            <w:gridSpan w:val="2"/>
            <w:shd w:val="clear" w:color="auto" w:fill="E5F1F8"/>
          </w:tcPr>
          <w:p>
            <w:pPr>
              <w:jc w:val="center"/>
              <w:ind w:left="310"/>
              <w:spacing w:after="0" w:line="209" w:lineRule="exact"/>
              <w:rPr>
                <w:sz w:val="20"/>
                <w:szCs w:val="20"/>
                <w:color w:val="auto"/>
              </w:rPr>
            </w:pPr>
            <w:r>
              <w:rPr>
                <w:rFonts w:ascii="Calibri" w:cs="Calibri" w:eastAsia="Calibri" w:hAnsi="Calibri"/>
                <w:sz w:val="18"/>
                <w:szCs w:val="18"/>
                <w:b w:val="1"/>
                <w:bCs w:val="1"/>
                <w:color w:val="auto"/>
                <w:w w:val="98"/>
              </w:rPr>
              <w:t>100%</w:t>
            </w:r>
          </w:p>
        </w:tc>
        <w:tc>
          <w:tcPr>
            <w:tcW w:w="600" w:type="dxa"/>
            <w:vAlign w:val="bottom"/>
            <w:tcBorders>
              <w:bottom w:val="single" w:sz="8" w:color="auto"/>
            </w:tcBorders>
            <w:shd w:val="clear" w:color="auto" w:fill="E5F1F8"/>
          </w:tcPr>
          <w:p>
            <w:pPr>
              <w:spacing w:after="0"/>
              <w:rPr>
                <w:sz w:val="21"/>
                <w:szCs w:val="21"/>
                <w:color w:val="auto"/>
              </w:rPr>
            </w:pPr>
          </w:p>
        </w:tc>
        <w:tc>
          <w:tcPr>
            <w:tcW w:w="980" w:type="dxa"/>
            <w:vAlign w:val="bottom"/>
            <w:tcBorders>
              <w:bottom w:val="single" w:sz="8" w:color="auto"/>
            </w:tcBorders>
            <w:shd w:val="clear" w:color="auto" w:fill="E5F1F8"/>
          </w:tcPr>
          <w:p>
            <w:pPr>
              <w:jc w:val="center"/>
              <w:ind w:right="370"/>
              <w:spacing w:after="0" w:line="209" w:lineRule="exact"/>
              <w:rPr>
                <w:sz w:val="20"/>
                <w:szCs w:val="20"/>
                <w:color w:val="auto"/>
              </w:rPr>
            </w:pPr>
            <w:r>
              <w:rPr>
                <w:rFonts w:ascii="Calibri" w:cs="Calibri" w:eastAsia="Calibri" w:hAnsi="Calibri"/>
                <w:sz w:val="18"/>
                <w:szCs w:val="18"/>
                <w:color w:val="auto"/>
                <w:w w:val="99"/>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-1276350</wp:posOffset>
            </wp:positionV>
            <wp:extent cx="306006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-320675</wp:posOffset>
            </wp:positionV>
            <wp:extent cx="33655" cy="3340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-320675</wp:posOffset>
            </wp:positionV>
            <wp:extent cx="34290" cy="3340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-320675</wp:posOffset>
            </wp:positionV>
            <wp:extent cx="33655" cy="3340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33"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The Company’s investment strategy is for equity securites to be invested in mid-sized to large capitalizaton U.S. funds, and small capitalizaton, internatonal and emerging growth funds. Debt securites, or fxed income investments, are invested in funds benchmarked to the Barclays U.S. Aggregate Bond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73660</wp:posOffset>
            </wp:positionV>
            <wp:extent cx="325755" cy="1968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3" w:name="page94"/>
    <w:bookmarkEnd w:id="93"/>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fair values of pension plan assets by asset class and fair value hierarchy level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Borders>
              <w:right w:val="single" w:sz="8" w:color="007CBA"/>
            </w:tcBorders>
            <w:shd w:val="clear" w:color="auto" w:fill="007CBA"/>
          </w:tcPr>
          <w:p>
            <w:pPr>
              <w:spacing w:after="0"/>
              <w:rPr>
                <w:sz w:val="18"/>
                <w:szCs w:val="18"/>
                <w:color w:val="auto"/>
              </w:rPr>
            </w:pPr>
          </w:p>
        </w:tc>
        <w:tc>
          <w:tcPr>
            <w:tcW w:w="1080" w:type="dxa"/>
            <w:vAlign w:val="bottom"/>
            <w:shd w:val="clear" w:color="auto" w:fill="007CBA"/>
          </w:tcPr>
          <w:p>
            <w:pPr>
              <w:spacing w:after="0"/>
              <w:rPr>
                <w:sz w:val="18"/>
                <w:szCs w:val="18"/>
                <w:color w:val="auto"/>
              </w:rPr>
            </w:pPr>
          </w:p>
        </w:tc>
        <w:tc>
          <w:tcPr>
            <w:tcW w:w="1780" w:type="dxa"/>
            <w:vAlign w:val="bottom"/>
            <w:gridSpan w:val="4"/>
            <w:shd w:val="clear" w:color="auto" w:fill="007CBA"/>
          </w:tcPr>
          <w:p>
            <w:pPr>
              <w:ind w:left="40"/>
              <w:spacing w:after="0"/>
              <w:rPr>
                <w:sz w:val="20"/>
                <w:szCs w:val="20"/>
                <w:color w:val="auto"/>
              </w:rPr>
            </w:pPr>
            <w:r>
              <w:rPr>
                <w:rFonts w:ascii="Calibri" w:cs="Calibri" w:eastAsia="Calibri" w:hAnsi="Calibri"/>
                <w:sz w:val="16"/>
                <w:szCs w:val="16"/>
                <w:b w:val="1"/>
                <w:bCs w:val="1"/>
                <w:color w:val="FFFFFF"/>
              </w:rPr>
              <w:t>Fair Value Measurements</w:t>
            </w:r>
          </w:p>
        </w:tc>
        <w:tc>
          <w:tcPr>
            <w:tcW w:w="1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6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940" w:type="dxa"/>
            <w:vAlign w:val="bottom"/>
            <w:shd w:val="clear" w:color="auto" w:fill="007CBA"/>
          </w:tcPr>
          <w:p>
            <w:pPr>
              <w:spacing w:after="0"/>
              <w:rPr>
                <w:sz w:val="18"/>
                <w:szCs w:val="18"/>
                <w:color w:val="auto"/>
              </w:rPr>
            </w:pPr>
          </w:p>
        </w:tc>
      </w:tr>
      <w:tr>
        <w:trPr>
          <w:trHeight w:val="187"/>
        </w:trPr>
        <w:tc>
          <w:tcPr>
            <w:tcW w:w="4760" w:type="dxa"/>
            <w:vAlign w:val="bottom"/>
            <w:tcBorders>
              <w:right w:val="single" w:sz="8" w:color="007CBA"/>
            </w:tcBorders>
            <w:shd w:val="clear" w:color="auto" w:fill="007CBA"/>
          </w:tcPr>
          <w:p>
            <w:pPr>
              <w:spacing w:after="0"/>
              <w:rPr>
                <w:sz w:val="16"/>
                <w:szCs w:val="16"/>
                <w:color w:val="auto"/>
              </w:rPr>
            </w:pPr>
          </w:p>
        </w:tc>
        <w:tc>
          <w:tcPr>
            <w:tcW w:w="1400" w:type="dxa"/>
            <w:vAlign w:val="bottom"/>
            <w:tcBorders>
              <w:right w:val="single" w:sz="8" w:color="007CBA"/>
            </w:tcBorders>
            <w:gridSpan w:val="2"/>
            <w:shd w:val="clear" w:color="auto" w:fill="007CBA"/>
          </w:tcPr>
          <w:p>
            <w:pPr>
              <w:jc w:val="center"/>
              <w:spacing w:after="0" w:line="187" w:lineRule="exact"/>
              <w:rPr>
                <w:sz w:val="20"/>
                <w:szCs w:val="20"/>
                <w:color w:val="auto"/>
              </w:rPr>
            </w:pPr>
            <w:r>
              <w:rPr>
                <w:rFonts w:ascii="Calibri" w:cs="Calibri" w:eastAsia="Calibri" w:hAnsi="Calibri"/>
                <w:sz w:val="16"/>
                <w:szCs w:val="16"/>
                <w:b w:val="1"/>
                <w:bCs w:val="1"/>
                <w:color w:val="FFFFFF"/>
              </w:rPr>
              <w:t>Quoted Prices</w:t>
            </w:r>
          </w:p>
        </w:tc>
        <w:tc>
          <w:tcPr>
            <w:tcW w:w="240" w:type="dxa"/>
            <w:vAlign w:val="bottom"/>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spacing w:after="0"/>
              <w:rPr>
                <w:sz w:val="16"/>
                <w:szCs w:val="16"/>
                <w:color w:val="auto"/>
              </w:rPr>
            </w:pPr>
          </w:p>
        </w:tc>
        <w:tc>
          <w:tcPr>
            <w:tcW w:w="100" w:type="dxa"/>
            <w:vAlign w:val="bottom"/>
            <w:shd w:val="clear" w:color="auto" w:fill="007CBA"/>
          </w:tcPr>
          <w:p>
            <w:pPr>
              <w:spacing w:after="0"/>
              <w:rPr>
                <w:sz w:val="16"/>
                <w:szCs w:val="16"/>
                <w:color w:val="auto"/>
              </w:rPr>
            </w:pPr>
          </w:p>
        </w:tc>
        <w:tc>
          <w:tcPr>
            <w:tcW w:w="160" w:type="dxa"/>
            <w:vAlign w:val="bottom"/>
            <w:shd w:val="clear" w:color="auto" w:fill="007CBA"/>
          </w:tcPr>
          <w:p>
            <w:pPr>
              <w:spacing w:after="0"/>
              <w:rPr>
                <w:sz w:val="16"/>
                <w:szCs w:val="16"/>
                <w:color w:val="auto"/>
              </w:rPr>
            </w:pPr>
          </w:p>
        </w:tc>
        <w:tc>
          <w:tcPr>
            <w:tcW w:w="1100" w:type="dxa"/>
            <w:vAlign w:val="bottom"/>
            <w:tcBorders>
              <w:right w:val="single" w:sz="8" w:color="007CBA"/>
            </w:tcBorders>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960" w:type="dxa"/>
            <w:vAlign w:val="bottom"/>
            <w:tcBorders>
              <w:right w:val="single" w:sz="8" w:color="007CBA"/>
            </w:tcBorders>
            <w:shd w:val="clear" w:color="auto" w:fill="007CBA"/>
          </w:tcPr>
          <w:p>
            <w:pPr>
              <w:spacing w:after="0"/>
              <w:rPr>
                <w:sz w:val="16"/>
                <w:szCs w:val="16"/>
                <w:color w:val="auto"/>
              </w:rPr>
            </w:pPr>
          </w:p>
        </w:tc>
        <w:tc>
          <w:tcPr>
            <w:tcW w:w="240" w:type="dxa"/>
            <w:vAlign w:val="bottom"/>
            <w:shd w:val="clear" w:color="auto" w:fill="007CBA"/>
          </w:tcPr>
          <w:p>
            <w:pPr>
              <w:spacing w:after="0"/>
              <w:rPr>
                <w:sz w:val="16"/>
                <w:szCs w:val="16"/>
                <w:color w:val="auto"/>
              </w:rPr>
            </w:pPr>
          </w:p>
        </w:tc>
        <w:tc>
          <w:tcPr>
            <w:tcW w:w="940" w:type="dxa"/>
            <w:vAlign w:val="bottom"/>
            <w:shd w:val="clear" w:color="auto" w:fill="007CBA"/>
          </w:tcPr>
          <w:p>
            <w:pPr>
              <w:spacing w:after="0"/>
              <w:rPr>
                <w:sz w:val="16"/>
                <w:szCs w:val="16"/>
                <w:color w:val="auto"/>
              </w:rPr>
            </w:pPr>
          </w:p>
        </w:tc>
      </w:tr>
      <w:tr>
        <w:trPr>
          <w:trHeight w:val="193"/>
        </w:trPr>
        <w:tc>
          <w:tcPr>
            <w:tcW w:w="4760" w:type="dxa"/>
            <w:vAlign w:val="bottom"/>
            <w:tcBorders>
              <w:right w:val="single" w:sz="8" w:color="007CBA"/>
            </w:tcBorders>
            <w:shd w:val="clear" w:color="auto" w:fill="007CBA"/>
          </w:tcPr>
          <w:p>
            <w:pPr>
              <w:spacing w:after="0"/>
              <w:rPr>
                <w:sz w:val="16"/>
                <w:szCs w:val="16"/>
                <w:color w:val="auto"/>
              </w:rPr>
            </w:pPr>
          </w:p>
        </w:tc>
        <w:tc>
          <w:tcPr>
            <w:tcW w:w="1080" w:type="dxa"/>
            <w:vAlign w:val="bottom"/>
            <w:shd w:val="clear" w:color="auto" w:fill="007CBA"/>
          </w:tcPr>
          <w:p>
            <w:pPr>
              <w:jc w:val="center"/>
              <w:ind w:left="179"/>
              <w:spacing w:after="0" w:line="193" w:lineRule="exact"/>
              <w:rPr>
                <w:sz w:val="20"/>
                <w:szCs w:val="20"/>
                <w:color w:val="auto"/>
              </w:rPr>
            </w:pPr>
            <w:r>
              <w:rPr>
                <w:rFonts w:ascii="Calibri" w:cs="Calibri" w:eastAsia="Calibri" w:hAnsi="Calibri"/>
                <w:sz w:val="16"/>
                <w:szCs w:val="16"/>
                <w:b w:val="1"/>
                <w:bCs w:val="1"/>
                <w:color w:val="FFFFFF"/>
              </w:rPr>
              <w:t>in Actve</w:t>
            </w:r>
          </w:p>
        </w:tc>
        <w:tc>
          <w:tcPr>
            <w:tcW w:w="320" w:type="dxa"/>
            <w:vAlign w:val="bottom"/>
            <w:tcBorders>
              <w:right w:val="single" w:sz="8" w:color="007CBA"/>
            </w:tcBorders>
            <w:shd w:val="clear" w:color="auto" w:fill="007CBA"/>
          </w:tcPr>
          <w:p>
            <w:pPr>
              <w:spacing w:after="0"/>
              <w:rPr>
                <w:sz w:val="16"/>
                <w:szCs w:val="16"/>
                <w:color w:val="auto"/>
              </w:rPr>
            </w:pPr>
          </w:p>
        </w:tc>
        <w:tc>
          <w:tcPr>
            <w:tcW w:w="240" w:type="dxa"/>
            <w:vAlign w:val="bottom"/>
            <w:shd w:val="clear" w:color="auto" w:fill="007CBA"/>
          </w:tcPr>
          <w:p>
            <w:pPr>
              <w:spacing w:after="0"/>
              <w:rPr>
                <w:sz w:val="16"/>
                <w:szCs w:val="16"/>
                <w:color w:val="auto"/>
              </w:rPr>
            </w:pPr>
          </w:p>
        </w:tc>
        <w:tc>
          <w:tcPr>
            <w:tcW w:w="1120" w:type="dxa"/>
            <w:vAlign w:val="bottom"/>
            <w:tcBorders>
              <w:right w:val="single" w:sz="8" w:color="007CBA"/>
            </w:tcBorders>
            <w:shd w:val="clear" w:color="auto" w:fill="007CBA"/>
          </w:tcPr>
          <w:p>
            <w:pPr>
              <w:spacing w:after="0"/>
              <w:rPr>
                <w:sz w:val="16"/>
                <w:szCs w:val="16"/>
                <w:color w:val="auto"/>
              </w:rPr>
            </w:pPr>
          </w:p>
        </w:tc>
        <w:tc>
          <w:tcPr>
            <w:tcW w:w="100" w:type="dxa"/>
            <w:vAlign w:val="bottom"/>
            <w:shd w:val="clear" w:color="auto" w:fill="007CBA"/>
          </w:tcPr>
          <w:p>
            <w:pPr>
              <w:spacing w:after="0"/>
              <w:rPr>
                <w:sz w:val="16"/>
                <w:szCs w:val="16"/>
                <w:color w:val="auto"/>
              </w:rPr>
            </w:pPr>
          </w:p>
        </w:tc>
        <w:tc>
          <w:tcPr>
            <w:tcW w:w="160" w:type="dxa"/>
            <w:vAlign w:val="bottom"/>
            <w:shd w:val="clear" w:color="auto" w:fill="007CBA"/>
          </w:tcPr>
          <w:p>
            <w:pPr>
              <w:spacing w:after="0"/>
              <w:rPr>
                <w:sz w:val="16"/>
                <w:szCs w:val="16"/>
                <w:color w:val="auto"/>
              </w:rPr>
            </w:pPr>
          </w:p>
        </w:tc>
        <w:tc>
          <w:tcPr>
            <w:tcW w:w="1100" w:type="dxa"/>
            <w:vAlign w:val="bottom"/>
            <w:tcBorders>
              <w:right w:val="single" w:sz="8" w:color="007CBA"/>
            </w:tcBorders>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960" w:type="dxa"/>
            <w:vAlign w:val="bottom"/>
            <w:tcBorders>
              <w:right w:val="single" w:sz="8" w:color="007CBA"/>
            </w:tcBorders>
            <w:shd w:val="clear" w:color="auto" w:fill="007CBA"/>
          </w:tcPr>
          <w:p>
            <w:pPr>
              <w:spacing w:after="0"/>
              <w:rPr>
                <w:sz w:val="16"/>
                <w:szCs w:val="16"/>
                <w:color w:val="auto"/>
              </w:rPr>
            </w:pPr>
          </w:p>
        </w:tc>
        <w:tc>
          <w:tcPr>
            <w:tcW w:w="240" w:type="dxa"/>
            <w:vAlign w:val="bottom"/>
            <w:shd w:val="clear" w:color="auto" w:fill="007CBA"/>
          </w:tcPr>
          <w:p>
            <w:pPr>
              <w:spacing w:after="0"/>
              <w:rPr>
                <w:sz w:val="16"/>
                <w:szCs w:val="16"/>
                <w:color w:val="auto"/>
              </w:rPr>
            </w:pPr>
          </w:p>
        </w:tc>
        <w:tc>
          <w:tcPr>
            <w:tcW w:w="940" w:type="dxa"/>
            <w:vAlign w:val="bottom"/>
            <w:shd w:val="clear" w:color="auto" w:fill="007CBA"/>
          </w:tcPr>
          <w:p>
            <w:pPr>
              <w:spacing w:after="0"/>
              <w:rPr>
                <w:sz w:val="16"/>
                <w:szCs w:val="16"/>
                <w:color w:val="auto"/>
              </w:rPr>
            </w:pPr>
          </w:p>
        </w:tc>
      </w:tr>
      <w:tr>
        <w:trPr>
          <w:trHeight w:val="203"/>
        </w:trPr>
        <w:tc>
          <w:tcPr>
            <w:tcW w:w="4760" w:type="dxa"/>
            <w:vAlign w:val="bottom"/>
            <w:tcBorders>
              <w:right w:val="single" w:sz="8" w:color="007CBA"/>
            </w:tcBorders>
            <w:shd w:val="clear" w:color="auto" w:fill="007CBA"/>
          </w:tcPr>
          <w:p>
            <w:pPr>
              <w:spacing w:after="0"/>
              <w:rPr>
                <w:sz w:val="17"/>
                <w:szCs w:val="17"/>
                <w:color w:val="auto"/>
              </w:rPr>
            </w:pPr>
          </w:p>
        </w:tc>
        <w:tc>
          <w:tcPr>
            <w:tcW w:w="1080" w:type="dxa"/>
            <w:vAlign w:val="bottom"/>
            <w:shd w:val="clear" w:color="auto" w:fill="007CBA"/>
          </w:tcPr>
          <w:p>
            <w:pPr>
              <w:jc w:val="center"/>
              <w:ind w:left="199"/>
              <w:spacing w:after="0"/>
              <w:rPr>
                <w:sz w:val="20"/>
                <w:szCs w:val="20"/>
                <w:color w:val="auto"/>
              </w:rPr>
            </w:pPr>
            <w:r>
              <w:rPr>
                <w:rFonts w:ascii="Calibri" w:cs="Calibri" w:eastAsia="Calibri" w:hAnsi="Calibri"/>
                <w:sz w:val="16"/>
                <w:szCs w:val="16"/>
                <w:b w:val="1"/>
                <w:bCs w:val="1"/>
                <w:color w:val="FFFFFF"/>
              </w:rPr>
              <w:t>Markets</w:t>
            </w:r>
          </w:p>
        </w:tc>
        <w:tc>
          <w:tcPr>
            <w:tcW w:w="32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220" w:type="dxa"/>
            <w:vAlign w:val="bottom"/>
            <w:gridSpan w:val="2"/>
            <w:shd w:val="clear" w:color="auto" w:fill="007CBA"/>
          </w:tcPr>
          <w:p>
            <w:pPr>
              <w:jc w:val="center"/>
              <w:ind w:right="360"/>
              <w:spacing w:after="0"/>
              <w:rPr>
                <w:sz w:val="20"/>
                <w:szCs w:val="20"/>
                <w:color w:val="auto"/>
              </w:rPr>
            </w:pPr>
            <w:r>
              <w:rPr>
                <w:rFonts w:ascii="Calibri" w:cs="Calibri" w:eastAsia="Calibri" w:hAnsi="Calibri"/>
                <w:sz w:val="16"/>
                <w:szCs w:val="16"/>
                <w:b w:val="1"/>
                <w:bCs w:val="1"/>
                <w:color w:val="FFFFFF"/>
              </w:rPr>
              <w:t>Signifcant</w:t>
            </w:r>
          </w:p>
        </w:tc>
        <w:tc>
          <w:tcPr>
            <w:tcW w:w="160" w:type="dxa"/>
            <w:vAlign w:val="bottom"/>
            <w:shd w:val="clear" w:color="auto" w:fill="007CBA"/>
          </w:tcPr>
          <w:p>
            <w:pPr>
              <w:spacing w:after="0"/>
              <w:rPr>
                <w:sz w:val="17"/>
                <w:szCs w:val="17"/>
                <w:color w:val="auto"/>
              </w:rPr>
            </w:pPr>
          </w:p>
        </w:tc>
        <w:tc>
          <w:tcPr>
            <w:tcW w:w="1100" w:type="dxa"/>
            <w:vAlign w:val="bottom"/>
            <w:tcBorders>
              <w:right w:val="single" w:sz="8" w:color="007CBA"/>
            </w:tcBorders>
            <w:shd w:val="clear" w:color="auto" w:fill="007CBA"/>
          </w:tcPr>
          <w:p>
            <w:pPr>
              <w:jc w:val="center"/>
              <w:ind w:right="239"/>
              <w:spacing w:after="0"/>
              <w:rPr>
                <w:sz w:val="20"/>
                <w:szCs w:val="20"/>
                <w:color w:val="auto"/>
              </w:rPr>
            </w:pPr>
            <w:r>
              <w:rPr>
                <w:rFonts w:ascii="Calibri" w:cs="Calibri" w:eastAsia="Calibri" w:hAnsi="Calibri"/>
                <w:sz w:val="16"/>
                <w:szCs w:val="16"/>
                <w:b w:val="1"/>
                <w:bCs w:val="1"/>
                <w:color w:val="FFFFFF"/>
              </w:rPr>
              <w:t>Signifcant</w:t>
            </w:r>
          </w:p>
        </w:tc>
        <w:tc>
          <w:tcPr>
            <w:tcW w:w="2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940" w:type="dxa"/>
            <w:vAlign w:val="bottom"/>
            <w:shd w:val="clear" w:color="auto" w:fill="007CBA"/>
          </w:tcPr>
          <w:p>
            <w:pPr>
              <w:spacing w:after="0"/>
              <w:rPr>
                <w:sz w:val="17"/>
                <w:szCs w:val="17"/>
                <w:color w:val="auto"/>
              </w:rPr>
            </w:pPr>
          </w:p>
        </w:tc>
      </w:tr>
      <w:tr>
        <w:trPr>
          <w:trHeight w:val="203"/>
        </w:trPr>
        <w:tc>
          <w:tcPr>
            <w:tcW w:w="4760" w:type="dxa"/>
            <w:vAlign w:val="bottom"/>
            <w:tcBorders>
              <w:right w:val="single" w:sz="8" w:color="007CBA"/>
            </w:tcBorders>
            <w:shd w:val="clear" w:color="auto" w:fill="007CBA"/>
          </w:tcPr>
          <w:p>
            <w:pPr>
              <w:spacing w:after="0"/>
              <w:rPr>
                <w:sz w:val="17"/>
                <w:szCs w:val="17"/>
                <w:color w:val="auto"/>
              </w:rPr>
            </w:pPr>
          </w:p>
        </w:tc>
        <w:tc>
          <w:tcPr>
            <w:tcW w:w="1080" w:type="dxa"/>
            <w:vAlign w:val="bottom"/>
            <w:shd w:val="clear" w:color="auto" w:fill="007CBA"/>
          </w:tcPr>
          <w:p>
            <w:pPr>
              <w:jc w:val="center"/>
              <w:ind w:left="179"/>
              <w:spacing w:after="0"/>
              <w:rPr>
                <w:sz w:val="20"/>
                <w:szCs w:val="20"/>
                <w:color w:val="auto"/>
              </w:rPr>
            </w:pPr>
            <w:r>
              <w:rPr>
                <w:rFonts w:ascii="Calibri" w:cs="Calibri" w:eastAsia="Calibri" w:hAnsi="Calibri"/>
                <w:sz w:val="16"/>
                <w:szCs w:val="16"/>
                <w:b w:val="1"/>
                <w:bCs w:val="1"/>
                <w:color w:val="FFFFFF"/>
              </w:rPr>
              <w:t>for Identcal</w:t>
            </w:r>
          </w:p>
        </w:tc>
        <w:tc>
          <w:tcPr>
            <w:tcW w:w="32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220" w:type="dxa"/>
            <w:vAlign w:val="bottom"/>
            <w:gridSpan w:val="2"/>
            <w:shd w:val="clear" w:color="auto" w:fill="007CBA"/>
          </w:tcPr>
          <w:p>
            <w:pPr>
              <w:jc w:val="center"/>
              <w:ind w:right="380"/>
              <w:spacing w:after="0"/>
              <w:rPr>
                <w:sz w:val="20"/>
                <w:szCs w:val="20"/>
                <w:color w:val="auto"/>
              </w:rPr>
            </w:pPr>
            <w:r>
              <w:rPr>
                <w:rFonts w:ascii="Calibri" w:cs="Calibri" w:eastAsia="Calibri" w:hAnsi="Calibri"/>
                <w:sz w:val="16"/>
                <w:szCs w:val="16"/>
                <w:b w:val="1"/>
                <w:bCs w:val="1"/>
                <w:color w:val="FFFFFF"/>
              </w:rPr>
              <w:t>Observable</w:t>
            </w:r>
          </w:p>
        </w:tc>
        <w:tc>
          <w:tcPr>
            <w:tcW w:w="1260" w:type="dxa"/>
            <w:vAlign w:val="bottom"/>
            <w:tcBorders>
              <w:right w:val="single" w:sz="8" w:color="007CBA"/>
            </w:tcBorders>
            <w:gridSpan w:val="2"/>
            <w:shd w:val="clear" w:color="auto" w:fill="007CBA"/>
          </w:tcPr>
          <w:p>
            <w:pPr>
              <w:jc w:val="center"/>
              <w:ind w:right="79"/>
              <w:spacing w:after="0"/>
              <w:rPr>
                <w:sz w:val="20"/>
                <w:szCs w:val="20"/>
                <w:color w:val="auto"/>
              </w:rPr>
            </w:pPr>
            <w:r>
              <w:rPr>
                <w:rFonts w:ascii="Calibri" w:cs="Calibri" w:eastAsia="Calibri" w:hAnsi="Calibri"/>
                <w:sz w:val="16"/>
                <w:szCs w:val="16"/>
                <w:b w:val="1"/>
                <w:bCs w:val="1"/>
                <w:color w:val="FFFFFF"/>
              </w:rPr>
              <w:t>Unobservable</w:t>
            </w:r>
          </w:p>
        </w:tc>
        <w:tc>
          <w:tcPr>
            <w:tcW w:w="2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940" w:type="dxa"/>
            <w:vAlign w:val="bottom"/>
            <w:shd w:val="clear" w:color="auto" w:fill="007CBA"/>
          </w:tcPr>
          <w:p>
            <w:pPr>
              <w:spacing w:after="0"/>
              <w:rPr>
                <w:sz w:val="17"/>
                <w:szCs w:val="17"/>
                <w:color w:val="auto"/>
              </w:rPr>
            </w:pPr>
          </w:p>
        </w:tc>
      </w:tr>
      <w:tr>
        <w:trPr>
          <w:trHeight w:val="203"/>
        </w:trPr>
        <w:tc>
          <w:tcPr>
            <w:tcW w:w="4760" w:type="dxa"/>
            <w:vAlign w:val="bottom"/>
            <w:tcBorders>
              <w:right w:val="single" w:sz="8" w:color="007CBA"/>
            </w:tcBorders>
            <w:shd w:val="clear" w:color="auto" w:fill="007CBA"/>
          </w:tcPr>
          <w:p>
            <w:pPr>
              <w:spacing w:after="0"/>
              <w:rPr>
                <w:sz w:val="17"/>
                <w:szCs w:val="17"/>
                <w:color w:val="auto"/>
              </w:rPr>
            </w:pPr>
          </w:p>
        </w:tc>
        <w:tc>
          <w:tcPr>
            <w:tcW w:w="1080" w:type="dxa"/>
            <w:vAlign w:val="bottom"/>
            <w:shd w:val="clear" w:color="auto" w:fill="007CBA"/>
          </w:tcPr>
          <w:p>
            <w:pPr>
              <w:jc w:val="center"/>
              <w:ind w:left="179"/>
              <w:spacing w:after="0"/>
              <w:rPr>
                <w:sz w:val="20"/>
                <w:szCs w:val="20"/>
                <w:color w:val="auto"/>
              </w:rPr>
            </w:pPr>
            <w:r>
              <w:rPr>
                <w:rFonts w:ascii="Calibri" w:cs="Calibri" w:eastAsia="Calibri" w:hAnsi="Calibri"/>
                <w:sz w:val="16"/>
                <w:szCs w:val="16"/>
                <w:b w:val="1"/>
                <w:bCs w:val="1"/>
                <w:color w:val="FFFFFF"/>
                <w:w w:val="98"/>
              </w:rPr>
              <w:t>Assets</w:t>
            </w:r>
          </w:p>
        </w:tc>
        <w:tc>
          <w:tcPr>
            <w:tcW w:w="32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220" w:type="dxa"/>
            <w:vAlign w:val="bottom"/>
            <w:gridSpan w:val="2"/>
            <w:shd w:val="clear" w:color="auto" w:fill="007CBA"/>
          </w:tcPr>
          <w:p>
            <w:pPr>
              <w:jc w:val="center"/>
              <w:ind w:right="380"/>
              <w:spacing w:after="0"/>
              <w:rPr>
                <w:sz w:val="20"/>
                <w:szCs w:val="20"/>
                <w:color w:val="auto"/>
              </w:rPr>
            </w:pPr>
            <w:r>
              <w:rPr>
                <w:rFonts w:ascii="Calibri" w:cs="Calibri" w:eastAsia="Calibri" w:hAnsi="Calibri"/>
                <w:sz w:val="16"/>
                <w:szCs w:val="16"/>
                <w:b w:val="1"/>
                <w:bCs w:val="1"/>
                <w:color w:val="FFFFFF"/>
              </w:rPr>
              <w:t>Inputs</w:t>
            </w:r>
          </w:p>
        </w:tc>
        <w:tc>
          <w:tcPr>
            <w:tcW w:w="160" w:type="dxa"/>
            <w:vAlign w:val="bottom"/>
            <w:shd w:val="clear" w:color="auto" w:fill="007CBA"/>
          </w:tcPr>
          <w:p>
            <w:pPr>
              <w:spacing w:after="0"/>
              <w:rPr>
                <w:sz w:val="17"/>
                <w:szCs w:val="17"/>
                <w:color w:val="auto"/>
              </w:rPr>
            </w:pPr>
          </w:p>
        </w:tc>
        <w:tc>
          <w:tcPr>
            <w:tcW w:w="1100" w:type="dxa"/>
            <w:vAlign w:val="bottom"/>
            <w:tcBorders>
              <w:right w:val="single" w:sz="8" w:color="007CBA"/>
            </w:tcBorders>
            <w:shd w:val="clear" w:color="auto" w:fill="007CBA"/>
          </w:tcPr>
          <w:p>
            <w:pPr>
              <w:jc w:val="center"/>
              <w:ind w:right="239"/>
              <w:spacing w:after="0"/>
              <w:rPr>
                <w:sz w:val="20"/>
                <w:szCs w:val="20"/>
                <w:color w:val="auto"/>
              </w:rPr>
            </w:pPr>
            <w:r>
              <w:rPr>
                <w:rFonts w:ascii="Calibri" w:cs="Calibri" w:eastAsia="Calibri" w:hAnsi="Calibri"/>
                <w:sz w:val="16"/>
                <w:szCs w:val="16"/>
                <w:b w:val="1"/>
                <w:bCs w:val="1"/>
                <w:color w:val="FFFFFF"/>
                <w:w w:val="99"/>
              </w:rPr>
              <w:t>Inputs</w:t>
            </w:r>
          </w:p>
        </w:tc>
        <w:tc>
          <w:tcPr>
            <w:tcW w:w="2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jc w:val="right"/>
              <w:ind w:right="199"/>
              <w:spacing w:after="0"/>
              <w:rPr>
                <w:sz w:val="20"/>
                <w:szCs w:val="20"/>
                <w:color w:val="auto"/>
              </w:rPr>
            </w:pPr>
            <w:r>
              <w:rPr>
                <w:rFonts w:ascii="Calibri" w:cs="Calibri" w:eastAsia="Calibri" w:hAnsi="Calibri"/>
                <w:sz w:val="16"/>
                <w:szCs w:val="16"/>
                <w:b w:val="1"/>
                <w:bCs w:val="1"/>
                <w:color w:val="FFFFFF"/>
              </w:rPr>
              <w:t>Net Asset</w:t>
            </w:r>
          </w:p>
        </w:tc>
        <w:tc>
          <w:tcPr>
            <w:tcW w:w="240" w:type="dxa"/>
            <w:vAlign w:val="bottom"/>
            <w:shd w:val="clear" w:color="auto" w:fill="007CBA"/>
          </w:tcPr>
          <w:p>
            <w:pPr>
              <w:spacing w:after="0"/>
              <w:rPr>
                <w:sz w:val="17"/>
                <w:szCs w:val="17"/>
                <w:color w:val="auto"/>
              </w:rPr>
            </w:pPr>
          </w:p>
        </w:tc>
        <w:tc>
          <w:tcPr>
            <w:tcW w:w="940" w:type="dxa"/>
            <w:vAlign w:val="bottom"/>
            <w:shd w:val="clear" w:color="auto" w:fill="007CBA"/>
          </w:tcPr>
          <w:p>
            <w:pPr>
              <w:jc w:val="right"/>
              <w:ind w:right="219"/>
              <w:spacing w:after="0"/>
              <w:rPr>
                <w:sz w:val="20"/>
                <w:szCs w:val="20"/>
                <w:color w:val="auto"/>
              </w:rPr>
            </w:pPr>
            <w:r>
              <w:rPr>
                <w:rFonts w:ascii="Calibri" w:cs="Calibri" w:eastAsia="Calibri" w:hAnsi="Calibri"/>
                <w:sz w:val="16"/>
                <w:szCs w:val="16"/>
                <w:b w:val="1"/>
                <w:bCs w:val="1"/>
                <w:color w:val="FFFFFF"/>
                <w:w w:val="99"/>
              </w:rPr>
              <w:t>Total Fair</w:t>
            </w:r>
          </w:p>
        </w:tc>
      </w:tr>
      <w:tr>
        <w:trPr>
          <w:trHeight w:val="216"/>
        </w:trPr>
        <w:tc>
          <w:tcPr>
            <w:tcW w:w="47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6"/>
                <w:szCs w:val="16"/>
                <w:i w:val="1"/>
                <w:iCs w:val="1"/>
                <w:color w:val="FFFFFF"/>
              </w:rPr>
              <w:t>December 31</w:t>
            </w:r>
          </w:p>
        </w:tc>
        <w:tc>
          <w:tcPr>
            <w:tcW w:w="1080" w:type="dxa"/>
            <w:vAlign w:val="bottom"/>
            <w:shd w:val="clear" w:color="auto" w:fill="007CBA"/>
          </w:tcPr>
          <w:p>
            <w:pPr>
              <w:jc w:val="center"/>
              <w:ind w:left="219"/>
              <w:spacing w:after="0"/>
              <w:rPr>
                <w:sz w:val="20"/>
                <w:szCs w:val="20"/>
                <w:color w:val="auto"/>
              </w:rPr>
            </w:pPr>
            <w:r>
              <w:rPr>
                <w:rFonts w:ascii="Calibri" w:cs="Calibri" w:eastAsia="Calibri" w:hAnsi="Calibri"/>
                <w:sz w:val="16"/>
                <w:szCs w:val="16"/>
                <w:b w:val="1"/>
                <w:bCs w:val="1"/>
                <w:color w:val="FFFFFF"/>
              </w:rPr>
              <w:t>(Level 1)</w:t>
            </w:r>
          </w:p>
        </w:tc>
        <w:tc>
          <w:tcPr>
            <w:tcW w:w="32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220" w:type="dxa"/>
            <w:vAlign w:val="bottom"/>
            <w:gridSpan w:val="2"/>
            <w:shd w:val="clear" w:color="auto" w:fill="007CBA"/>
          </w:tcPr>
          <w:p>
            <w:pPr>
              <w:jc w:val="center"/>
              <w:ind w:right="340"/>
              <w:spacing w:after="0"/>
              <w:rPr>
                <w:sz w:val="20"/>
                <w:szCs w:val="20"/>
                <w:color w:val="auto"/>
              </w:rPr>
            </w:pPr>
            <w:r>
              <w:rPr>
                <w:rFonts w:ascii="Calibri" w:cs="Calibri" w:eastAsia="Calibri" w:hAnsi="Calibri"/>
                <w:sz w:val="16"/>
                <w:szCs w:val="16"/>
                <w:b w:val="1"/>
                <w:bCs w:val="1"/>
                <w:color w:val="FFFFFF"/>
                <w:w w:val="99"/>
              </w:rPr>
              <w:t>(Level 2)</w:t>
            </w:r>
          </w:p>
        </w:tc>
        <w:tc>
          <w:tcPr>
            <w:tcW w:w="1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(Level 3)</w:t>
            </w:r>
          </w:p>
        </w:tc>
        <w:tc>
          <w:tcPr>
            <w:tcW w:w="220" w:type="dxa"/>
            <w:vAlign w:val="bottom"/>
            <w:shd w:val="clear" w:color="auto" w:fill="007CBA"/>
          </w:tcPr>
          <w:p>
            <w:pPr>
              <w:spacing w:after="0"/>
              <w:rPr>
                <w:sz w:val="18"/>
                <w:szCs w:val="18"/>
                <w:color w:val="auto"/>
              </w:rPr>
            </w:pPr>
          </w:p>
        </w:tc>
        <w:tc>
          <w:tcPr>
            <w:tcW w:w="960" w:type="dxa"/>
            <w:vAlign w:val="bottom"/>
            <w:tcBorders>
              <w:right w:val="single" w:sz="8" w:color="007CBA"/>
            </w:tcBorders>
            <w:shd w:val="clear" w:color="auto" w:fill="007CBA"/>
          </w:tcPr>
          <w:p>
            <w:pPr>
              <w:jc w:val="right"/>
              <w:ind w:right="319"/>
              <w:spacing w:after="0"/>
              <w:rPr>
                <w:sz w:val="20"/>
                <w:szCs w:val="20"/>
                <w:color w:val="auto"/>
              </w:rPr>
            </w:pPr>
            <w:r>
              <w:rPr>
                <w:rFonts w:ascii="Calibri" w:cs="Calibri" w:eastAsia="Calibri" w:hAnsi="Calibri"/>
                <w:sz w:val="16"/>
                <w:szCs w:val="16"/>
                <w:b w:val="1"/>
                <w:bCs w:val="1"/>
                <w:color w:val="FFFFFF"/>
              </w:rPr>
              <w:t>Value</w:t>
            </w:r>
          </w:p>
        </w:tc>
        <w:tc>
          <w:tcPr>
            <w:tcW w:w="240" w:type="dxa"/>
            <w:vAlign w:val="bottom"/>
            <w:shd w:val="clear" w:color="auto" w:fill="007CBA"/>
          </w:tcPr>
          <w:p>
            <w:pPr>
              <w:spacing w:after="0"/>
              <w:rPr>
                <w:sz w:val="18"/>
                <w:szCs w:val="18"/>
                <w:color w:val="auto"/>
              </w:rPr>
            </w:pPr>
          </w:p>
        </w:tc>
        <w:tc>
          <w:tcPr>
            <w:tcW w:w="940" w:type="dxa"/>
            <w:vAlign w:val="bottom"/>
            <w:shd w:val="clear" w:color="auto" w:fill="007CBA"/>
          </w:tcPr>
          <w:p>
            <w:pPr>
              <w:jc w:val="right"/>
              <w:ind w:right="319"/>
              <w:spacing w:after="0"/>
              <w:rPr>
                <w:sz w:val="20"/>
                <w:szCs w:val="20"/>
                <w:color w:val="auto"/>
              </w:rPr>
            </w:pPr>
            <w:r>
              <w:rPr>
                <w:rFonts w:ascii="Calibri" w:cs="Calibri" w:eastAsia="Calibri" w:hAnsi="Calibri"/>
                <w:sz w:val="16"/>
                <w:szCs w:val="16"/>
                <w:b w:val="1"/>
                <w:bCs w:val="1"/>
                <w:color w:val="FFFFFF"/>
              </w:rPr>
              <w:t>Value</w:t>
            </w:r>
          </w:p>
        </w:tc>
      </w:tr>
      <w:tr>
        <w:trPr>
          <w:trHeight w:val="210"/>
        </w:trPr>
        <w:tc>
          <w:tcPr>
            <w:tcW w:w="47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6"/>
                <w:szCs w:val="16"/>
                <w:color w:val="FFFFFF"/>
              </w:rPr>
              <w:t>(in millions)</w:t>
            </w:r>
          </w:p>
        </w:tc>
        <w:tc>
          <w:tcPr>
            <w:tcW w:w="1080" w:type="dxa"/>
            <w:vAlign w:val="bottom"/>
            <w:tcBorders>
              <w:bottom w:val="single" w:sz="8" w:color="007CBA"/>
            </w:tcBorders>
            <w:shd w:val="clear" w:color="auto" w:fill="007CBA"/>
          </w:tcPr>
          <w:p>
            <w:pPr>
              <w:spacing w:after="0"/>
              <w:rPr>
                <w:sz w:val="18"/>
                <w:szCs w:val="18"/>
                <w:color w:val="auto"/>
              </w:rPr>
            </w:pPr>
          </w:p>
        </w:tc>
        <w:tc>
          <w:tcPr>
            <w:tcW w:w="320" w:type="dxa"/>
            <w:vAlign w:val="bottom"/>
            <w:tcBorders>
              <w:bottom w:val="single" w:sz="8" w:color="007CBA"/>
              <w:right w:val="single" w:sz="8" w:color="007CBA"/>
            </w:tcBorders>
            <w:shd w:val="clear" w:color="auto" w:fill="007CBA"/>
          </w:tcPr>
          <w:p>
            <w:pPr>
              <w:spacing w:after="0"/>
              <w:rPr>
                <w:sz w:val="18"/>
                <w:szCs w:val="18"/>
                <w:color w:val="auto"/>
              </w:rPr>
            </w:pPr>
          </w:p>
        </w:tc>
        <w:tc>
          <w:tcPr>
            <w:tcW w:w="240" w:type="dxa"/>
            <w:vAlign w:val="bottom"/>
            <w:tcBorders>
              <w:bottom w:val="single" w:sz="8" w:color="007CBA"/>
            </w:tcBorders>
            <w:shd w:val="clear" w:color="auto" w:fill="007CBA"/>
          </w:tcPr>
          <w:p>
            <w:pPr>
              <w:spacing w:after="0"/>
              <w:rPr>
                <w:sz w:val="18"/>
                <w:szCs w:val="18"/>
                <w:color w:val="auto"/>
              </w:rPr>
            </w:pPr>
          </w:p>
        </w:tc>
        <w:tc>
          <w:tcPr>
            <w:tcW w:w="1120" w:type="dxa"/>
            <w:vAlign w:val="bottom"/>
            <w:tcBorders>
              <w:bottom w:val="single" w:sz="8" w:color="007CBA"/>
              <w:right w:val="single" w:sz="8" w:color="007CBA"/>
            </w:tcBorders>
            <w:shd w:val="clear" w:color="auto" w:fill="007CBA"/>
          </w:tcPr>
          <w:p>
            <w:pPr>
              <w:spacing w:after="0"/>
              <w:rPr>
                <w:sz w:val="18"/>
                <w:szCs w:val="18"/>
                <w:color w:val="auto"/>
              </w:rPr>
            </w:pPr>
          </w:p>
        </w:tc>
        <w:tc>
          <w:tcPr>
            <w:tcW w:w="100" w:type="dxa"/>
            <w:vAlign w:val="bottom"/>
            <w:tcBorders>
              <w:bottom w:val="single" w:sz="8" w:color="007CBA"/>
            </w:tcBorders>
            <w:shd w:val="clear" w:color="auto" w:fill="007CBA"/>
          </w:tcPr>
          <w:p>
            <w:pPr>
              <w:spacing w:after="0"/>
              <w:rPr>
                <w:sz w:val="18"/>
                <w:szCs w:val="18"/>
                <w:color w:val="auto"/>
              </w:rPr>
            </w:pPr>
          </w:p>
        </w:tc>
        <w:tc>
          <w:tcPr>
            <w:tcW w:w="160" w:type="dxa"/>
            <w:vAlign w:val="bottom"/>
            <w:tcBorders>
              <w:bottom w:val="single" w:sz="8" w:color="007CBA"/>
            </w:tcBorders>
            <w:shd w:val="clear" w:color="auto" w:fill="007CBA"/>
          </w:tcPr>
          <w:p>
            <w:pPr>
              <w:spacing w:after="0"/>
              <w:rPr>
                <w:sz w:val="18"/>
                <w:szCs w:val="18"/>
                <w:color w:val="auto"/>
              </w:rPr>
            </w:pPr>
          </w:p>
        </w:tc>
        <w:tc>
          <w:tcPr>
            <w:tcW w:w="1100" w:type="dxa"/>
            <w:vAlign w:val="bottom"/>
            <w:tcBorders>
              <w:bottom w:val="single" w:sz="8" w:color="007CBA"/>
              <w:right w:val="single" w:sz="8" w:color="007CBA"/>
            </w:tcBorders>
            <w:shd w:val="clear" w:color="auto" w:fill="007CBA"/>
          </w:tcPr>
          <w:p>
            <w:pPr>
              <w:ind w:left="60"/>
              <w:spacing w:after="0"/>
              <w:rPr>
                <w:sz w:val="20"/>
                <w:szCs w:val="20"/>
                <w:color w:val="auto"/>
              </w:rPr>
            </w:pPr>
            <w:r>
              <w:rPr>
                <w:rFonts w:ascii="Calibri" w:cs="Calibri" w:eastAsia="Calibri" w:hAnsi="Calibri"/>
                <w:sz w:val="16"/>
                <w:szCs w:val="16"/>
                <w:b w:val="1"/>
                <w:bCs w:val="1"/>
                <w:color w:val="FFFFFF"/>
              </w:rPr>
              <w:t>2024</w:t>
            </w:r>
          </w:p>
        </w:tc>
        <w:tc>
          <w:tcPr>
            <w:tcW w:w="220" w:type="dxa"/>
            <w:vAlign w:val="bottom"/>
            <w:tcBorders>
              <w:bottom w:val="single" w:sz="8" w:color="007CBA"/>
            </w:tcBorders>
            <w:shd w:val="clear" w:color="auto" w:fill="007CBA"/>
          </w:tcPr>
          <w:p>
            <w:pPr>
              <w:spacing w:after="0"/>
              <w:rPr>
                <w:sz w:val="18"/>
                <w:szCs w:val="18"/>
                <w:color w:val="auto"/>
              </w:rPr>
            </w:pPr>
          </w:p>
        </w:tc>
        <w:tc>
          <w:tcPr>
            <w:tcW w:w="960" w:type="dxa"/>
            <w:vAlign w:val="bottom"/>
            <w:tcBorders>
              <w:bottom w:val="single" w:sz="8" w:color="007CBA"/>
              <w:right w:val="single" w:sz="8" w:color="007CBA"/>
            </w:tcBorders>
            <w:shd w:val="clear" w:color="auto" w:fill="007CBA"/>
          </w:tcPr>
          <w:p>
            <w:pPr>
              <w:spacing w:after="0"/>
              <w:rPr>
                <w:sz w:val="18"/>
                <w:szCs w:val="18"/>
                <w:color w:val="auto"/>
              </w:rPr>
            </w:pPr>
          </w:p>
        </w:tc>
        <w:tc>
          <w:tcPr>
            <w:tcW w:w="240" w:type="dxa"/>
            <w:vAlign w:val="bottom"/>
            <w:tcBorders>
              <w:bottom w:val="single" w:sz="8" w:color="007CBA"/>
            </w:tcBorders>
            <w:shd w:val="clear" w:color="auto" w:fill="007CBA"/>
          </w:tcPr>
          <w:p>
            <w:pPr>
              <w:spacing w:after="0"/>
              <w:rPr>
                <w:sz w:val="18"/>
                <w:szCs w:val="18"/>
                <w:color w:val="auto"/>
              </w:rPr>
            </w:pPr>
          </w:p>
        </w:tc>
        <w:tc>
          <w:tcPr>
            <w:tcW w:w="940" w:type="dxa"/>
            <w:vAlign w:val="bottom"/>
            <w:tcBorders>
              <w:bottom w:val="single" w:sz="8" w:color="007CBA"/>
            </w:tcBorders>
            <w:shd w:val="clear" w:color="auto" w:fill="007CBA"/>
          </w:tcPr>
          <w:p>
            <w:pPr>
              <w:spacing w:after="0"/>
              <w:rPr>
                <w:sz w:val="18"/>
                <w:szCs w:val="18"/>
                <w:color w:val="auto"/>
              </w:rPr>
            </w:pPr>
          </w:p>
        </w:tc>
      </w:tr>
      <w:tr>
        <w:trPr>
          <w:trHeight w:val="203"/>
        </w:trPr>
        <w:tc>
          <w:tcPr>
            <w:tcW w:w="4760" w:type="dxa"/>
            <w:vAlign w:val="bottom"/>
            <w:tcBorders>
              <w:right w:val="single" w:sz="8" w:color="007CBA"/>
            </w:tcBorders>
            <w:shd w:val="clear" w:color="auto" w:fill="E5F1F8"/>
          </w:tcPr>
          <w:p>
            <w:pPr>
              <w:ind w:left="120"/>
              <w:spacing w:after="0" w:line="202" w:lineRule="exact"/>
              <w:rPr>
                <w:sz w:val="20"/>
                <w:szCs w:val="20"/>
                <w:color w:val="auto"/>
              </w:rPr>
            </w:pPr>
            <w:r>
              <w:rPr>
                <w:rFonts w:ascii="Calibri" w:cs="Calibri" w:eastAsia="Calibri" w:hAnsi="Calibri"/>
                <w:sz w:val="16"/>
                <w:szCs w:val="16"/>
                <w:color w:val="auto"/>
              </w:rPr>
              <w:t>Equity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1080" w:type="dxa"/>
            <w:vAlign w:val="bottom"/>
            <w:shd w:val="clear" w:color="auto" w:fill="E5F1F8"/>
          </w:tcPr>
          <w:p>
            <w:pPr>
              <w:spacing w:after="0"/>
              <w:rPr>
                <w:sz w:val="17"/>
                <w:szCs w:val="17"/>
                <w:color w:val="auto"/>
              </w:rPr>
            </w:pPr>
          </w:p>
        </w:tc>
        <w:tc>
          <w:tcPr>
            <w:tcW w:w="320" w:type="dxa"/>
            <w:vAlign w:val="bottom"/>
            <w:tcBorders>
              <w:right w:val="single" w:sz="8" w:color="007CBA"/>
            </w:tcBorders>
            <w:shd w:val="clear" w:color="auto" w:fill="E5F1F8"/>
          </w:tcPr>
          <w:p>
            <w:pPr>
              <w:spacing w:after="0"/>
              <w:rPr>
                <w:sz w:val="17"/>
                <w:szCs w:val="17"/>
                <w:color w:val="auto"/>
              </w:rPr>
            </w:pPr>
          </w:p>
        </w:tc>
        <w:tc>
          <w:tcPr>
            <w:tcW w:w="240" w:type="dxa"/>
            <w:vAlign w:val="bottom"/>
            <w:shd w:val="clear" w:color="auto" w:fill="E5F1F8"/>
          </w:tcPr>
          <w:p>
            <w:pPr>
              <w:spacing w:after="0"/>
              <w:rPr>
                <w:sz w:val="17"/>
                <w:szCs w:val="17"/>
                <w:color w:val="auto"/>
              </w:rPr>
            </w:pPr>
          </w:p>
        </w:tc>
        <w:tc>
          <w:tcPr>
            <w:tcW w:w="1120" w:type="dxa"/>
            <w:vAlign w:val="bottom"/>
            <w:tcBorders>
              <w:right w:val="single" w:sz="8" w:color="007CBA"/>
            </w:tcBorders>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c>
          <w:tcPr>
            <w:tcW w:w="160" w:type="dxa"/>
            <w:vAlign w:val="bottom"/>
            <w:shd w:val="clear" w:color="auto" w:fill="E5F1F8"/>
          </w:tcPr>
          <w:p>
            <w:pPr>
              <w:spacing w:after="0"/>
              <w:rPr>
                <w:sz w:val="17"/>
                <w:szCs w:val="17"/>
                <w:color w:val="auto"/>
              </w:rPr>
            </w:pPr>
          </w:p>
        </w:tc>
        <w:tc>
          <w:tcPr>
            <w:tcW w:w="1100" w:type="dxa"/>
            <w:vAlign w:val="bottom"/>
            <w:tcBorders>
              <w:right w:val="single" w:sz="8" w:color="007CBA"/>
            </w:tcBorders>
            <w:shd w:val="clear" w:color="auto" w:fill="E5F1F8"/>
          </w:tcPr>
          <w:p>
            <w:pPr>
              <w:spacing w:after="0"/>
              <w:rPr>
                <w:sz w:val="17"/>
                <w:szCs w:val="17"/>
                <w:color w:val="auto"/>
              </w:rPr>
            </w:pPr>
          </w:p>
        </w:tc>
        <w:tc>
          <w:tcPr>
            <w:tcW w:w="220" w:type="dxa"/>
            <w:vAlign w:val="bottom"/>
            <w:shd w:val="clear" w:color="auto" w:fill="E5F1F8"/>
          </w:tcPr>
          <w:p>
            <w:pPr>
              <w:spacing w:after="0"/>
              <w:rPr>
                <w:sz w:val="17"/>
                <w:szCs w:val="17"/>
                <w:color w:val="auto"/>
              </w:rPr>
            </w:pPr>
          </w:p>
        </w:tc>
        <w:tc>
          <w:tcPr>
            <w:tcW w:w="960" w:type="dxa"/>
            <w:vAlign w:val="bottom"/>
            <w:tcBorders>
              <w:right w:val="single" w:sz="8" w:color="007CBA"/>
            </w:tcBorders>
            <w:shd w:val="clear" w:color="auto" w:fill="E5F1F8"/>
          </w:tcPr>
          <w:p>
            <w:pPr>
              <w:spacing w:after="0"/>
              <w:rPr>
                <w:sz w:val="17"/>
                <w:szCs w:val="17"/>
                <w:color w:val="auto"/>
              </w:rPr>
            </w:pPr>
          </w:p>
        </w:tc>
        <w:tc>
          <w:tcPr>
            <w:tcW w:w="240" w:type="dxa"/>
            <w:vAlign w:val="bottom"/>
            <w:shd w:val="clear" w:color="auto" w:fill="E5F1F8"/>
          </w:tcPr>
          <w:p>
            <w:pPr>
              <w:spacing w:after="0"/>
              <w:rPr>
                <w:sz w:val="17"/>
                <w:szCs w:val="17"/>
                <w:color w:val="auto"/>
              </w:rPr>
            </w:pPr>
          </w:p>
        </w:tc>
        <w:tc>
          <w:tcPr>
            <w:tcW w:w="940" w:type="dxa"/>
            <w:vAlign w:val="bottom"/>
            <w:shd w:val="clear" w:color="auto" w:fill="E5F1F8"/>
          </w:tcPr>
          <w:p>
            <w:pPr>
              <w:spacing w:after="0"/>
              <w:rPr>
                <w:sz w:val="17"/>
                <w:szCs w:val="17"/>
                <w:color w:val="auto"/>
              </w:rPr>
            </w:pPr>
          </w:p>
        </w:tc>
      </w:tr>
      <w:tr>
        <w:trPr>
          <w:trHeight w:val="198"/>
        </w:trPr>
        <w:tc>
          <w:tcPr>
            <w:tcW w:w="4760" w:type="dxa"/>
            <w:vAlign w:val="bottom"/>
            <w:tcBorders>
              <w:right w:val="single" w:sz="8" w:color="007CBA"/>
            </w:tcBorders>
          </w:tcPr>
          <w:p>
            <w:pPr>
              <w:ind w:left="300"/>
              <w:spacing w:after="0" w:line="193" w:lineRule="exact"/>
              <w:rPr>
                <w:sz w:val="20"/>
                <w:szCs w:val="20"/>
                <w:color w:val="auto"/>
              </w:rPr>
            </w:pPr>
            <w:r>
              <w:rPr>
                <w:rFonts w:ascii="Calibri" w:cs="Calibri" w:eastAsia="Calibri" w:hAnsi="Calibri"/>
                <w:sz w:val="16"/>
                <w:szCs w:val="16"/>
                <w:color w:val="auto"/>
              </w:rPr>
              <w:t>Mid-sized to large cap</w:t>
            </w:r>
          </w:p>
        </w:tc>
        <w:tc>
          <w:tcPr>
            <w:tcW w:w="1080" w:type="dxa"/>
            <w:vAlign w:val="bottom"/>
          </w:tcPr>
          <w:p>
            <w:pPr>
              <w:jc w:val="right"/>
              <w:ind w:right="779"/>
              <w:spacing w:after="0" w:line="193" w:lineRule="exact"/>
              <w:rPr>
                <w:sz w:val="20"/>
                <w:szCs w:val="20"/>
                <w:color w:val="auto"/>
              </w:rPr>
            </w:pPr>
            <w:r>
              <w:rPr>
                <w:rFonts w:ascii="Calibri" w:cs="Calibri" w:eastAsia="Calibri" w:hAnsi="Calibri"/>
                <w:sz w:val="16"/>
                <w:szCs w:val="16"/>
                <w:b w:val="1"/>
                <w:bCs w:val="1"/>
                <w:color w:val="auto"/>
              </w:rPr>
              <w:t>$</w:t>
            </w:r>
          </w:p>
        </w:tc>
        <w:tc>
          <w:tcPr>
            <w:tcW w:w="320" w:type="dxa"/>
            <w:vAlign w:val="bottom"/>
            <w:tcBorders>
              <w:right w:val="single" w:sz="8" w:color="007CBA"/>
            </w:tcBorders>
          </w:tcPr>
          <w:p>
            <w:pPr>
              <w:ind w:left="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12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100" w:type="dxa"/>
            <w:vAlign w:val="bottom"/>
            <w:tcBorders>
              <w:right w:val="single" w:sz="8" w:color="007CBA"/>
            </w:tcBorders>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2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9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359</w:t>
            </w:r>
          </w:p>
        </w:tc>
        <w:tc>
          <w:tcPr>
            <w:tcW w:w="2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94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359</w:t>
            </w:r>
          </w:p>
        </w:tc>
      </w:tr>
      <w:tr>
        <w:trPr>
          <w:trHeight w:val="207"/>
        </w:trPr>
        <w:tc>
          <w:tcPr>
            <w:tcW w:w="4760" w:type="dxa"/>
            <w:vAlign w:val="bottom"/>
            <w:tcBorders>
              <w:right w:val="single" w:sz="8" w:color="007CBA"/>
            </w:tcBorders>
            <w:shd w:val="clear" w:color="auto" w:fill="E5F1F8"/>
          </w:tcPr>
          <w:p>
            <w:pPr>
              <w:ind w:left="300"/>
              <w:spacing w:after="0"/>
              <w:rPr>
                <w:sz w:val="20"/>
                <w:szCs w:val="20"/>
                <w:color w:val="auto"/>
              </w:rPr>
            </w:pPr>
            <w:r>
              <w:rPr>
                <w:rFonts w:ascii="Calibri" w:cs="Calibri" w:eastAsia="Calibri" w:hAnsi="Calibri"/>
                <w:sz w:val="16"/>
                <w:szCs w:val="16"/>
                <w:color w:val="auto"/>
              </w:rPr>
              <w:t>Small cap, internatonal and emerging growth funds</w:t>
            </w:r>
          </w:p>
        </w:tc>
        <w:tc>
          <w:tcPr>
            <w:tcW w:w="1080" w:type="dxa"/>
            <w:vAlign w:val="bottom"/>
            <w:shd w:val="clear" w:color="auto" w:fill="E5F1F8"/>
          </w:tcPr>
          <w:p>
            <w:pPr>
              <w:spacing w:after="0"/>
              <w:rPr>
                <w:sz w:val="18"/>
                <w:szCs w:val="18"/>
                <w:color w:val="auto"/>
              </w:rPr>
            </w:pPr>
          </w:p>
        </w:tc>
        <w:tc>
          <w:tcPr>
            <w:tcW w:w="320" w:type="dxa"/>
            <w:vAlign w:val="bottom"/>
            <w:tcBorders>
              <w:right w:val="single" w:sz="8" w:color="007CBA"/>
            </w:tcBorders>
            <w:shd w:val="clear" w:color="auto" w:fill="E5F1F8"/>
          </w:tcPr>
          <w:p>
            <w:pPr>
              <w:ind w:left="20"/>
              <w:spacing w:after="0"/>
              <w:rPr>
                <w:sz w:val="20"/>
                <w:szCs w:val="20"/>
                <w:color w:val="auto"/>
              </w:rPr>
            </w:pPr>
            <w:r>
              <w:rPr>
                <w:rFonts w:ascii="Calibri" w:cs="Calibri" w:eastAsia="Calibri" w:hAnsi="Calibri"/>
                <w:sz w:val="16"/>
                <w:szCs w:val="16"/>
                <w:b w:val="1"/>
                <w:bCs w:val="1"/>
                <w:color w:val="auto"/>
              </w:rPr>
              <w:t>—</w:t>
            </w:r>
          </w:p>
        </w:tc>
        <w:tc>
          <w:tcPr>
            <w:tcW w:w="24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ind w:left="840"/>
              <w:spacing w:after="0"/>
              <w:rPr>
                <w:sz w:val="20"/>
                <w:szCs w:val="20"/>
                <w:color w:val="auto"/>
              </w:rPr>
            </w:pPr>
            <w:r>
              <w:rPr>
                <w:rFonts w:ascii="Calibri" w:cs="Calibri" w:eastAsia="Calibri" w:hAnsi="Calibri"/>
                <w:sz w:val="16"/>
                <w:szCs w:val="16"/>
                <w:b w:val="1"/>
                <w:bCs w:val="1"/>
                <w:color w:val="auto"/>
              </w:rPr>
              <w:t>—</w:t>
            </w:r>
          </w:p>
        </w:tc>
        <w:tc>
          <w:tcPr>
            <w:tcW w:w="100" w:type="dxa"/>
            <w:vAlign w:val="bottom"/>
            <w:shd w:val="clear" w:color="auto" w:fill="E5F1F8"/>
          </w:tcPr>
          <w:p>
            <w:pPr>
              <w:spacing w:after="0"/>
              <w:rPr>
                <w:sz w:val="18"/>
                <w:szCs w:val="18"/>
                <w:color w:val="auto"/>
              </w:rPr>
            </w:pPr>
          </w:p>
        </w:tc>
        <w:tc>
          <w:tcPr>
            <w:tcW w:w="160" w:type="dxa"/>
            <w:vAlign w:val="bottom"/>
            <w:shd w:val="clear" w:color="auto" w:fill="E5F1F8"/>
          </w:tcPr>
          <w:p>
            <w:pPr>
              <w:spacing w:after="0"/>
              <w:rPr>
                <w:sz w:val="18"/>
                <w:szCs w:val="18"/>
                <w:color w:val="auto"/>
              </w:rPr>
            </w:pPr>
          </w:p>
        </w:tc>
        <w:tc>
          <w:tcPr>
            <w:tcW w:w="1100" w:type="dxa"/>
            <w:vAlign w:val="bottom"/>
            <w:tcBorders>
              <w:right w:val="single" w:sz="8" w:color="007CBA"/>
            </w:tcBorders>
            <w:shd w:val="clear" w:color="auto" w:fill="E5F1F8"/>
          </w:tcPr>
          <w:p>
            <w:pPr>
              <w:ind w:left="800"/>
              <w:spacing w:after="0"/>
              <w:rPr>
                <w:sz w:val="20"/>
                <w:szCs w:val="20"/>
                <w:color w:val="auto"/>
              </w:rPr>
            </w:pPr>
            <w:r>
              <w:rPr>
                <w:rFonts w:ascii="Calibri" w:cs="Calibri" w:eastAsia="Calibri" w:hAnsi="Calibri"/>
                <w:sz w:val="16"/>
                <w:szCs w:val="16"/>
                <w:b w:val="1"/>
                <w:bCs w:val="1"/>
                <w:color w:val="auto"/>
              </w:rPr>
              <w:t>—</w:t>
            </w:r>
          </w:p>
        </w:tc>
        <w:tc>
          <w:tcPr>
            <w:tcW w:w="220" w:type="dxa"/>
            <w:vAlign w:val="bottom"/>
            <w:shd w:val="clear" w:color="auto" w:fill="E5F1F8"/>
          </w:tcPr>
          <w:p>
            <w:pPr>
              <w:spacing w:after="0"/>
              <w:rPr>
                <w:sz w:val="18"/>
                <w:szCs w:val="18"/>
                <w:color w:val="auto"/>
              </w:rPr>
            </w:pPr>
          </w:p>
        </w:tc>
        <w:tc>
          <w:tcPr>
            <w:tcW w:w="96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361</w:t>
            </w:r>
          </w:p>
        </w:tc>
        <w:tc>
          <w:tcPr>
            <w:tcW w:w="240" w:type="dxa"/>
            <w:vAlign w:val="bottom"/>
            <w:shd w:val="clear" w:color="auto" w:fill="E5F1F8"/>
          </w:tcPr>
          <w:p>
            <w:pPr>
              <w:spacing w:after="0"/>
              <w:rPr>
                <w:sz w:val="18"/>
                <w:szCs w:val="18"/>
                <w:color w:val="auto"/>
              </w:rPr>
            </w:pPr>
          </w:p>
        </w:tc>
        <w:tc>
          <w:tcPr>
            <w:tcW w:w="940" w:type="dxa"/>
            <w:vAlign w:val="bottom"/>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361</w:t>
            </w:r>
          </w:p>
        </w:tc>
      </w:tr>
      <w:tr>
        <w:trPr>
          <w:trHeight w:val="203"/>
        </w:trPr>
        <w:tc>
          <w:tcPr>
            <w:tcW w:w="4760" w:type="dxa"/>
            <w:vAlign w:val="bottom"/>
            <w:tcBorders>
              <w:right w:val="single" w:sz="8" w:color="007CBA"/>
            </w:tcBorders>
          </w:tcPr>
          <w:p>
            <w:pPr>
              <w:ind w:left="120"/>
              <w:spacing w:after="0" w:line="202" w:lineRule="exact"/>
              <w:rPr>
                <w:sz w:val="20"/>
                <w:szCs w:val="20"/>
                <w:color w:val="auto"/>
              </w:rPr>
            </w:pPr>
            <w:r>
              <w:rPr>
                <w:rFonts w:ascii="Calibri" w:cs="Calibri" w:eastAsia="Calibri" w:hAnsi="Calibri"/>
                <w:sz w:val="16"/>
                <w:szCs w:val="16"/>
                <w:color w:val="auto"/>
              </w:rPr>
              <w:t>Debt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1080" w:type="dxa"/>
            <w:vAlign w:val="bottom"/>
          </w:tcPr>
          <w:p>
            <w:pPr>
              <w:spacing w:after="0"/>
              <w:rPr>
                <w:sz w:val="17"/>
                <w:szCs w:val="17"/>
                <w:color w:val="auto"/>
              </w:rPr>
            </w:pPr>
          </w:p>
        </w:tc>
        <w:tc>
          <w:tcPr>
            <w:tcW w:w="320" w:type="dxa"/>
            <w:vAlign w:val="bottom"/>
            <w:tcBorders>
              <w:right w:val="single" w:sz="8" w:color="007CBA"/>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right w:val="single" w:sz="8" w:color="007CBA"/>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007CBA"/>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right w:val="single" w:sz="8" w:color="007CBA"/>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60" w:type="dxa"/>
            <w:vAlign w:val="bottom"/>
            <w:tcBorders>
              <w:right w:val="single" w:sz="8" w:color="007CBA"/>
            </w:tcBorders>
            <w:shd w:val="clear" w:color="auto" w:fill="E5F1F8"/>
          </w:tcPr>
          <w:p>
            <w:pPr>
              <w:ind w:left="300"/>
              <w:spacing w:after="0" w:line="193" w:lineRule="exact"/>
              <w:rPr>
                <w:sz w:val="20"/>
                <w:szCs w:val="20"/>
                <w:color w:val="auto"/>
              </w:rPr>
            </w:pPr>
            <w:r>
              <w:rPr>
                <w:rFonts w:ascii="Calibri" w:cs="Calibri" w:eastAsia="Calibri" w:hAnsi="Calibri"/>
                <w:sz w:val="16"/>
                <w:szCs w:val="16"/>
                <w:color w:val="auto"/>
              </w:rPr>
              <w:t>Core fxed income</w:t>
            </w:r>
          </w:p>
        </w:tc>
        <w:tc>
          <w:tcPr>
            <w:tcW w:w="1080" w:type="dxa"/>
            <w:vAlign w:val="bottom"/>
            <w:shd w:val="clear" w:color="auto" w:fill="E5F1F8"/>
          </w:tcPr>
          <w:p>
            <w:pPr>
              <w:spacing w:after="0"/>
              <w:rPr>
                <w:sz w:val="17"/>
                <w:szCs w:val="17"/>
                <w:color w:val="auto"/>
              </w:rPr>
            </w:pPr>
          </w:p>
        </w:tc>
        <w:tc>
          <w:tcPr>
            <w:tcW w:w="320" w:type="dxa"/>
            <w:vAlign w:val="bottom"/>
            <w:tcBorders>
              <w:right w:val="single" w:sz="8" w:color="007CBA"/>
            </w:tcBorders>
            <w:shd w:val="clear" w:color="auto" w:fill="E5F1F8"/>
          </w:tcPr>
          <w:p>
            <w:pPr>
              <w:ind w:left="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shd w:val="clear" w:color="auto" w:fill="E5F1F8"/>
          </w:tcPr>
          <w:p>
            <w:pPr>
              <w:spacing w:after="0"/>
              <w:rPr>
                <w:sz w:val="17"/>
                <w:szCs w:val="17"/>
                <w:color w:val="auto"/>
              </w:rPr>
            </w:pPr>
          </w:p>
        </w:tc>
        <w:tc>
          <w:tcPr>
            <w:tcW w:w="1120" w:type="dxa"/>
            <w:vAlign w:val="bottom"/>
            <w:tcBorders>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shd w:val="clear" w:color="auto" w:fill="E5F1F8"/>
          </w:tcPr>
          <w:p>
            <w:pPr>
              <w:spacing w:after="0"/>
              <w:rPr>
                <w:sz w:val="17"/>
                <w:szCs w:val="17"/>
                <w:color w:val="auto"/>
              </w:rPr>
            </w:pPr>
          </w:p>
        </w:tc>
        <w:tc>
          <w:tcPr>
            <w:tcW w:w="160" w:type="dxa"/>
            <w:vAlign w:val="bottom"/>
            <w:shd w:val="clear" w:color="auto" w:fill="E5F1F8"/>
          </w:tcPr>
          <w:p>
            <w:pPr>
              <w:spacing w:after="0"/>
              <w:rPr>
                <w:sz w:val="17"/>
                <w:szCs w:val="17"/>
                <w:color w:val="auto"/>
              </w:rPr>
            </w:pPr>
          </w:p>
        </w:tc>
        <w:tc>
          <w:tcPr>
            <w:tcW w:w="1100" w:type="dxa"/>
            <w:vAlign w:val="bottom"/>
            <w:tcBorders>
              <w:right w:val="single" w:sz="8" w:color="007CBA"/>
            </w:tcBorders>
            <w:shd w:val="clear" w:color="auto" w:fill="E5F1F8"/>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220" w:type="dxa"/>
            <w:vAlign w:val="bottom"/>
            <w:shd w:val="clear" w:color="auto" w:fill="E5F1F8"/>
          </w:tcPr>
          <w:p>
            <w:pPr>
              <w:spacing w:after="0"/>
              <w:rPr>
                <w:sz w:val="17"/>
                <w:szCs w:val="17"/>
                <w:color w:val="auto"/>
              </w:rPr>
            </w:pPr>
          </w:p>
        </w:tc>
        <w:tc>
          <w:tcPr>
            <w:tcW w:w="960" w:type="dxa"/>
            <w:vAlign w:val="bottom"/>
            <w:tcBorders>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271</w:t>
            </w:r>
          </w:p>
        </w:tc>
        <w:tc>
          <w:tcPr>
            <w:tcW w:w="240" w:type="dxa"/>
            <w:vAlign w:val="bottom"/>
            <w:shd w:val="clear" w:color="auto" w:fill="E5F1F8"/>
          </w:tcPr>
          <w:p>
            <w:pPr>
              <w:spacing w:after="0"/>
              <w:rPr>
                <w:sz w:val="17"/>
                <w:szCs w:val="17"/>
                <w:color w:val="auto"/>
              </w:rPr>
            </w:pPr>
          </w:p>
        </w:tc>
        <w:tc>
          <w:tcPr>
            <w:tcW w:w="940" w:type="dxa"/>
            <w:vAlign w:val="bottom"/>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271</w:t>
            </w:r>
          </w:p>
        </w:tc>
      </w:tr>
      <w:tr>
        <w:trPr>
          <w:trHeight w:val="198"/>
        </w:trPr>
        <w:tc>
          <w:tcPr>
            <w:tcW w:w="47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Real estate</w:t>
            </w:r>
          </w:p>
        </w:tc>
        <w:tc>
          <w:tcPr>
            <w:tcW w:w="1080" w:type="dxa"/>
            <w:vAlign w:val="bottom"/>
          </w:tcPr>
          <w:p>
            <w:pPr>
              <w:spacing w:after="0"/>
              <w:rPr>
                <w:sz w:val="17"/>
                <w:szCs w:val="17"/>
                <w:color w:val="auto"/>
              </w:rPr>
            </w:pPr>
          </w:p>
        </w:tc>
        <w:tc>
          <w:tcPr>
            <w:tcW w:w="320" w:type="dxa"/>
            <w:vAlign w:val="bottom"/>
            <w:tcBorders>
              <w:right w:val="single" w:sz="8" w:color="007CBA"/>
            </w:tcBorders>
          </w:tcPr>
          <w:p>
            <w:pPr>
              <w:ind w:left="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Pr>
          <w:p>
            <w:pPr>
              <w:spacing w:after="0"/>
              <w:rPr>
                <w:sz w:val="17"/>
                <w:szCs w:val="17"/>
                <w:color w:val="auto"/>
              </w:rPr>
            </w:pPr>
          </w:p>
        </w:tc>
        <w:tc>
          <w:tcPr>
            <w:tcW w:w="112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007CBA"/>
            </w:tcBorders>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220" w:type="dxa"/>
            <w:vAlign w:val="bottom"/>
          </w:tcPr>
          <w:p>
            <w:pPr>
              <w:spacing w:after="0"/>
              <w:rPr>
                <w:sz w:val="17"/>
                <w:szCs w:val="17"/>
                <w:color w:val="auto"/>
              </w:rPr>
            </w:pPr>
          </w:p>
        </w:tc>
        <w:tc>
          <w:tcPr>
            <w:tcW w:w="9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130</w:t>
            </w:r>
          </w:p>
        </w:tc>
        <w:tc>
          <w:tcPr>
            <w:tcW w:w="240" w:type="dxa"/>
            <w:vAlign w:val="bottom"/>
          </w:tcPr>
          <w:p>
            <w:pPr>
              <w:spacing w:after="0"/>
              <w:rPr>
                <w:sz w:val="17"/>
                <w:szCs w:val="17"/>
                <w:color w:val="auto"/>
              </w:rPr>
            </w:pPr>
          </w:p>
        </w:tc>
        <w:tc>
          <w:tcPr>
            <w:tcW w:w="94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130</w:t>
            </w:r>
          </w:p>
        </w:tc>
      </w:tr>
      <w:tr>
        <w:trPr>
          <w:trHeight w:val="207"/>
        </w:trPr>
        <w:tc>
          <w:tcPr>
            <w:tcW w:w="4760" w:type="dxa"/>
            <w:vAlign w:val="bottom"/>
            <w:tcBorders>
              <w:right w:val="single" w:sz="8" w:color="007CBA"/>
            </w:tcBorders>
            <w:shd w:val="clear" w:color="auto" w:fill="E5F1F8"/>
          </w:tcPr>
          <w:p>
            <w:pPr>
              <w:ind w:left="120"/>
              <w:spacing w:after="0"/>
              <w:rPr>
                <w:sz w:val="20"/>
                <w:szCs w:val="20"/>
                <w:color w:val="auto"/>
              </w:rPr>
            </w:pPr>
            <w:r>
              <w:rPr>
                <w:rFonts w:ascii="Calibri" w:cs="Calibri" w:eastAsia="Calibri" w:hAnsi="Calibri"/>
                <w:sz w:val="16"/>
                <w:szCs w:val="16"/>
                <w:color w:val="auto"/>
              </w:rPr>
              <w:t>Private infrastructure</w:t>
            </w:r>
          </w:p>
        </w:tc>
        <w:tc>
          <w:tcPr>
            <w:tcW w:w="1080" w:type="dxa"/>
            <w:vAlign w:val="bottom"/>
            <w:shd w:val="clear" w:color="auto" w:fill="E5F1F8"/>
          </w:tcPr>
          <w:p>
            <w:pPr>
              <w:spacing w:after="0"/>
              <w:rPr>
                <w:sz w:val="18"/>
                <w:szCs w:val="18"/>
                <w:color w:val="auto"/>
              </w:rPr>
            </w:pPr>
          </w:p>
        </w:tc>
        <w:tc>
          <w:tcPr>
            <w:tcW w:w="320" w:type="dxa"/>
            <w:vAlign w:val="bottom"/>
            <w:tcBorders>
              <w:right w:val="single" w:sz="8" w:color="007CBA"/>
            </w:tcBorders>
            <w:shd w:val="clear" w:color="auto" w:fill="E5F1F8"/>
          </w:tcPr>
          <w:p>
            <w:pPr>
              <w:ind w:left="20"/>
              <w:spacing w:after="0"/>
              <w:rPr>
                <w:sz w:val="20"/>
                <w:szCs w:val="20"/>
                <w:color w:val="auto"/>
              </w:rPr>
            </w:pPr>
            <w:r>
              <w:rPr>
                <w:rFonts w:ascii="Calibri" w:cs="Calibri" w:eastAsia="Calibri" w:hAnsi="Calibri"/>
                <w:sz w:val="16"/>
                <w:szCs w:val="16"/>
                <w:b w:val="1"/>
                <w:bCs w:val="1"/>
                <w:color w:val="auto"/>
              </w:rPr>
              <w:t>—</w:t>
            </w:r>
          </w:p>
        </w:tc>
        <w:tc>
          <w:tcPr>
            <w:tcW w:w="24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ind w:left="840"/>
              <w:spacing w:after="0"/>
              <w:rPr>
                <w:sz w:val="20"/>
                <w:szCs w:val="20"/>
                <w:color w:val="auto"/>
              </w:rPr>
            </w:pPr>
            <w:r>
              <w:rPr>
                <w:rFonts w:ascii="Calibri" w:cs="Calibri" w:eastAsia="Calibri" w:hAnsi="Calibri"/>
                <w:sz w:val="16"/>
                <w:szCs w:val="16"/>
                <w:b w:val="1"/>
                <w:bCs w:val="1"/>
                <w:color w:val="auto"/>
              </w:rPr>
              <w:t>—</w:t>
            </w:r>
          </w:p>
        </w:tc>
        <w:tc>
          <w:tcPr>
            <w:tcW w:w="100" w:type="dxa"/>
            <w:vAlign w:val="bottom"/>
            <w:shd w:val="clear" w:color="auto" w:fill="E5F1F8"/>
          </w:tcPr>
          <w:p>
            <w:pPr>
              <w:spacing w:after="0"/>
              <w:rPr>
                <w:sz w:val="18"/>
                <w:szCs w:val="18"/>
                <w:color w:val="auto"/>
              </w:rPr>
            </w:pPr>
          </w:p>
        </w:tc>
        <w:tc>
          <w:tcPr>
            <w:tcW w:w="160" w:type="dxa"/>
            <w:vAlign w:val="bottom"/>
            <w:shd w:val="clear" w:color="auto" w:fill="E5F1F8"/>
          </w:tcPr>
          <w:p>
            <w:pPr>
              <w:spacing w:after="0"/>
              <w:rPr>
                <w:sz w:val="18"/>
                <w:szCs w:val="18"/>
                <w:color w:val="auto"/>
              </w:rPr>
            </w:pPr>
          </w:p>
        </w:tc>
        <w:tc>
          <w:tcPr>
            <w:tcW w:w="1100" w:type="dxa"/>
            <w:vAlign w:val="bottom"/>
            <w:tcBorders>
              <w:right w:val="single" w:sz="8" w:color="007CBA"/>
            </w:tcBorders>
            <w:shd w:val="clear" w:color="auto" w:fill="E5F1F8"/>
          </w:tcPr>
          <w:p>
            <w:pPr>
              <w:ind w:left="800"/>
              <w:spacing w:after="0"/>
              <w:rPr>
                <w:sz w:val="20"/>
                <w:szCs w:val="20"/>
                <w:color w:val="auto"/>
              </w:rPr>
            </w:pPr>
            <w:r>
              <w:rPr>
                <w:rFonts w:ascii="Calibri" w:cs="Calibri" w:eastAsia="Calibri" w:hAnsi="Calibri"/>
                <w:sz w:val="16"/>
                <w:szCs w:val="16"/>
                <w:b w:val="1"/>
                <w:bCs w:val="1"/>
                <w:color w:val="auto"/>
              </w:rPr>
              <w:t>—</w:t>
            </w:r>
          </w:p>
        </w:tc>
        <w:tc>
          <w:tcPr>
            <w:tcW w:w="220" w:type="dxa"/>
            <w:vAlign w:val="bottom"/>
            <w:shd w:val="clear" w:color="auto" w:fill="E5F1F8"/>
          </w:tcPr>
          <w:p>
            <w:pPr>
              <w:spacing w:after="0"/>
              <w:rPr>
                <w:sz w:val="18"/>
                <w:szCs w:val="18"/>
                <w:color w:val="auto"/>
              </w:rPr>
            </w:pPr>
          </w:p>
        </w:tc>
        <w:tc>
          <w:tcPr>
            <w:tcW w:w="96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96</w:t>
            </w:r>
          </w:p>
        </w:tc>
        <w:tc>
          <w:tcPr>
            <w:tcW w:w="240" w:type="dxa"/>
            <w:vAlign w:val="bottom"/>
            <w:shd w:val="clear" w:color="auto" w:fill="E5F1F8"/>
          </w:tcPr>
          <w:p>
            <w:pPr>
              <w:spacing w:after="0"/>
              <w:rPr>
                <w:sz w:val="18"/>
                <w:szCs w:val="18"/>
                <w:color w:val="auto"/>
              </w:rPr>
            </w:pPr>
          </w:p>
        </w:tc>
        <w:tc>
          <w:tcPr>
            <w:tcW w:w="940" w:type="dxa"/>
            <w:vAlign w:val="bottom"/>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96</w:t>
            </w:r>
          </w:p>
        </w:tc>
      </w:tr>
      <w:tr>
        <w:trPr>
          <w:trHeight w:val="198"/>
        </w:trPr>
        <w:tc>
          <w:tcPr>
            <w:tcW w:w="4760" w:type="dxa"/>
            <w:vAlign w:val="bottom"/>
            <w:tcBorders>
              <w:bottom w:val="single" w:sz="8" w:color="auto"/>
            </w:tcBorders>
          </w:tcPr>
          <w:p>
            <w:pPr>
              <w:ind w:left="120"/>
              <w:spacing w:after="0" w:line="193" w:lineRule="exact"/>
              <w:rPr>
                <w:sz w:val="20"/>
                <w:szCs w:val="20"/>
                <w:color w:val="auto"/>
              </w:rPr>
            </w:pPr>
            <w:r>
              <w:rPr>
                <w:rFonts w:ascii="Calibri" w:cs="Calibri" w:eastAsia="Calibri" w:hAnsi="Calibri"/>
                <w:sz w:val="16"/>
                <w:szCs w:val="16"/>
                <w:color w:val="auto"/>
              </w:rPr>
              <w:t>Cash equivalents</w:t>
            </w:r>
          </w:p>
        </w:tc>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21</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21</w:t>
            </w:r>
          </w:p>
        </w:tc>
      </w:tr>
      <w:tr>
        <w:trPr>
          <w:trHeight w:val="236"/>
        </w:trPr>
        <w:tc>
          <w:tcPr>
            <w:tcW w:w="4760" w:type="dxa"/>
            <w:vAlign w:val="bottom"/>
            <w:tcBorders>
              <w:bottom w:val="single" w:sz="8" w:color="auto"/>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Total</w:t>
            </w:r>
          </w:p>
        </w:tc>
        <w:tc>
          <w:tcPr>
            <w:tcW w:w="1080" w:type="dxa"/>
            <w:vAlign w:val="bottom"/>
            <w:tcBorders>
              <w:bottom w:val="single" w:sz="8" w:color="auto"/>
            </w:tcBorders>
            <w:shd w:val="clear" w:color="auto" w:fill="E5F1F8"/>
          </w:tcPr>
          <w:p>
            <w:pPr>
              <w:jc w:val="right"/>
              <w:ind w:right="779"/>
              <w:spacing w:after="0" w:line="193" w:lineRule="exact"/>
              <w:rPr>
                <w:sz w:val="20"/>
                <w:szCs w:val="20"/>
                <w:color w:val="auto"/>
              </w:rPr>
            </w:pPr>
            <w:r>
              <w:rPr>
                <w:rFonts w:ascii="Calibri" w:cs="Calibri" w:eastAsia="Calibri" w:hAnsi="Calibri"/>
                <w:sz w:val="16"/>
                <w:szCs w:val="16"/>
                <w:b w:val="1"/>
                <w:bCs w:val="1"/>
                <w:color w:val="auto"/>
              </w:rPr>
              <w:t>$</w:t>
            </w:r>
          </w:p>
        </w:tc>
        <w:tc>
          <w:tcPr>
            <w:tcW w:w="320" w:type="dxa"/>
            <w:vAlign w:val="bottom"/>
            <w:tcBorders>
              <w:bottom w:val="single" w:sz="8" w:color="auto"/>
              <w:right w:val="single" w:sz="8" w:color="E5F1F8"/>
            </w:tcBorders>
            <w:shd w:val="clear" w:color="auto" w:fill="E5F1F8"/>
          </w:tcPr>
          <w:p>
            <w:pPr>
              <w:ind w:left="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Borders>
              <w:bottom w:val="single" w:sz="8" w:color="auto"/>
            </w:tcBorders>
            <w:shd w:val="clear" w:color="auto" w:fill="E5F1F8"/>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220" w:type="dxa"/>
            <w:vAlign w:val="bottom"/>
            <w:tcBorders>
              <w:bottom w:val="single" w:sz="8" w:color="auto"/>
            </w:tcBorders>
            <w:gridSpan w:val="2"/>
            <w:shd w:val="clear" w:color="auto" w:fill="E5F1F8"/>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60" w:type="dxa"/>
            <w:vAlign w:val="bottom"/>
            <w:tcBorders>
              <w:bottom w:val="single" w:sz="8" w:color="auto"/>
            </w:tcBorders>
            <w:shd w:val="clear" w:color="auto" w:fill="E5F1F8"/>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100" w:type="dxa"/>
            <w:vAlign w:val="bottom"/>
            <w:tcBorders>
              <w:bottom w:val="single" w:sz="8" w:color="auto"/>
              <w:right w:val="single" w:sz="8" w:color="E5F1F8"/>
            </w:tcBorders>
            <w:shd w:val="clear" w:color="auto" w:fill="E5F1F8"/>
          </w:tcPr>
          <w:p>
            <w:pPr>
              <w:ind w:left="800"/>
              <w:spacing w:after="0" w:line="193" w:lineRule="exact"/>
              <w:rPr>
                <w:sz w:val="20"/>
                <w:szCs w:val="20"/>
                <w:color w:val="auto"/>
              </w:rPr>
            </w:pPr>
            <w:r>
              <w:rPr>
                <w:rFonts w:ascii="Calibri" w:cs="Calibri" w:eastAsia="Calibri" w:hAnsi="Calibri"/>
                <w:sz w:val="16"/>
                <w:szCs w:val="16"/>
                <w:b w:val="1"/>
                <w:bCs w:val="1"/>
                <w:color w:val="auto"/>
              </w:rPr>
              <w:t>—</w:t>
            </w:r>
          </w:p>
        </w:tc>
        <w:tc>
          <w:tcPr>
            <w:tcW w:w="220" w:type="dxa"/>
            <w:vAlign w:val="bottom"/>
            <w:tcBorders>
              <w:bottom w:val="single" w:sz="8" w:color="auto"/>
            </w:tcBorders>
            <w:shd w:val="clear" w:color="auto" w:fill="E5F1F8"/>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960" w:type="dxa"/>
            <w:vAlign w:val="bottom"/>
            <w:tcBorders>
              <w:bottom w:val="single" w:sz="8" w:color="auto"/>
              <w:right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1,238</w:t>
            </w:r>
          </w:p>
        </w:tc>
        <w:tc>
          <w:tcPr>
            <w:tcW w:w="240" w:type="dxa"/>
            <w:vAlign w:val="bottom"/>
            <w:tcBorders>
              <w:bottom w:val="single" w:sz="8" w:color="auto"/>
            </w:tcBorders>
            <w:shd w:val="clear" w:color="auto" w:fill="E5F1F8"/>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940" w:type="dxa"/>
            <w:vAlign w:val="bottom"/>
            <w:tcBorders>
              <w:bottom w:val="single" w:sz="8" w:color="auto"/>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1,238</w:t>
            </w:r>
          </w:p>
        </w:tc>
      </w:tr>
      <w:tr>
        <w:trPr>
          <w:trHeight w:val="188"/>
        </w:trPr>
        <w:tc>
          <w:tcPr>
            <w:tcW w:w="4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4760" w:type="dxa"/>
            <w:vAlign w:val="bottom"/>
            <w:tcBorders>
              <w:right w:val="single" w:sz="8" w:color="007CBA"/>
            </w:tcBorders>
            <w:shd w:val="clear" w:color="auto" w:fill="007CBA"/>
          </w:tcPr>
          <w:p>
            <w:pPr>
              <w:spacing w:after="0"/>
              <w:rPr>
                <w:sz w:val="17"/>
                <w:szCs w:val="17"/>
                <w:color w:val="auto"/>
              </w:rPr>
            </w:pPr>
          </w:p>
        </w:tc>
        <w:tc>
          <w:tcPr>
            <w:tcW w:w="1080" w:type="dxa"/>
            <w:vAlign w:val="bottom"/>
            <w:shd w:val="clear" w:color="auto" w:fill="007CBA"/>
          </w:tcPr>
          <w:p>
            <w:pPr>
              <w:spacing w:after="0"/>
              <w:rPr>
                <w:sz w:val="17"/>
                <w:szCs w:val="17"/>
                <w:color w:val="auto"/>
              </w:rPr>
            </w:pPr>
          </w:p>
        </w:tc>
        <w:tc>
          <w:tcPr>
            <w:tcW w:w="32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spacing w:after="0"/>
              <w:rPr>
                <w:sz w:val="17"/>
                <w:szCs w:val="17"/>
                <w:color w:val="auto"/>
              </w:rPr>
            </w:pPr>
          </w:p>
        </w:tc>
        <w:tc>
          <w:tcPr>
            <w:tcW w:w="100" w:type="dxa"/>
            <w:vAlign w:val="bottom"/>
            <w:shd w:val="clear" w:color="auto" w:fill="007CBA"/>
          </w:tcPr>
          <w:p>
            <w:pPr>
              <w:spacing w:after="0"/>
              <w:rPr>
                <w:sz w:val="17"/>
                <w:szCs w:val="17"/>
                <w:color w:val="auto"/>
              </w:rPr>
            </w:pPr>
          </w:p>
        </w:tc>
        <w:tc>
          <w:tcPr>
            <w:tcW w:w="160" w:type="dxa"/>
            <w:vAlign w:val="bottom"/>
            <w:shd w:val="clear" w:color="auto" w:fill="007CBA"/>
          </w:tcPr>
          <w:p>
            <w:pPr>
              <w:spacing w:after="0"/>
              <w:rPr>
                <w:sz w:val="17"/>
                <w:szCs w:val="17"/>
                <w:color w:val="auto"/>
              </w:rPr>
            </w:pPr>
          </w:p>
        </w:tc>
        <w:tc>
          <w:tcPr>
            <w:tcW w:w="1100" w:type="dxa"/>
            <w:vAlign w:val="bottom"/>
            <w:tcBorders>
              <w:right w:val="single" w:sz="8" w:color="007CBA"/>
            </w:tcBorders>
            <w:shd w:val="clear" w:color="auto" w:fill="007CBA"/>
          </w:tcPr>
          <w:p>
            <w:pPr>
              <w:ind w:left="60"/>
              <w:spacing w:after="0" w:line="193" w:lineRule="exact"/>
              <w:rPr>
                <w:sz w:val="20"/>
                <w:szCs w:val="20"/>
                <w:color w:val="auto"/>
              </w:rPr>
            </w:pPr>
            <w:r>
              <w:rPr>
                <w:rFonts w:ascii="Calibri" w:cs="Calibri" w:eastAsia="Calibri" w:hAnsi="Calibri"/>
                <w:sz w:val="16"/>
                <w:szCs w:val="16"/>
                <w:color w:val="FFFFFF"/>
              </w:rPr>
              <w:t>2023</w:t>
            </w:r>
          </w:p>
        </w:tc>
        <w:tc>
          <w:tcPr>
            <w:tcW w:w="2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940" w:type="dxa"/>
            <w:vAlign w:val="bottom"/>
            <w:shd w:val="clear" w:color="auto" w:fill="007CBA"/>
          </w:tcPr>
          <w:p>
            <w:pPr>
              <w:spacing w:after="0"/>
              <w:rPr>
                <w:sz w:val="17"/>
                <w:szCs w:val="17"/>
                <w:color w:val="auto"/>
              </w:rPr>
            </w:pPr>
          </w:p>
        </w:tc>
      </w:tr>
      <w:tr>
        <w:trPr>
          <w:trHeight w:val="203"/>
        </w:trPr>
        <w:tc>
          <w:tcPr>
            <w:tcW w:w="4760" w:type="dxa"/>
            <w:vAlign w:val="bottom"/>
            <w:tcBorders>
              <w:right w:val="single" w:sz="8" w:color="007CBA"/>
            </w:tcBorders>
          </w:tcPr>
          <w:p>
            <w:pPr>
              <w:ind w:left="120"/>
              <w:spacing w:after="0" w:line="202" w:lineRule="exact"/>
              <w:rPr>
                <w:sz w:val="20"/>
                <w:szCs w:val="20"/>
                <w:color w:val="auto"/>
              </w:rPr>
            </w:pPr>
            <w:r>
              <w:rPr>
                <w:rFonts w:ascii="Calibri" w:cs="Calibri" w:eastAsia="Calibri" w:hAnsi="Calibri"/>
                <w:sz w:val="16"/>
                <w:szCs w:val="16"/>
                <w:color w:val="auto"/>
              </w:rPr>
              <w:t>Equity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1080" w:type="dxa"/>
            <w:vAlign w:val="bottom"/>
          </w:tcPr>
          <w:p>
            <w:pPr>
              <w:spacing w:after="0"/>
              <w:rPr>
                <w:sz w:val="17"/>
                <w:szCs w:val="17"/>
                <w:color w:val="auto"/>
              </w:rPr>
            </w:pPr>
          </w:p>
        </w:tc>
        <w:tc>
          <w:tcPr>
            <w:tcW w:w="320" w:type="dxa"/>
            <w:vAlign w:val="bottom"/>
            <w:tcBorders>
              <w:right w:val="single" w:sz="8" w:color="007CBA"/>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right w:val="single" w:sz="8" w:color="007CBA"/>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007CBA"/>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right w:val="single" w:sz="8" w:color="007CBA"/>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60" w:type="dxa"/>
            <w:vAlign w:val="bottom"/>
            <w:tcBorders>
              <w:right w:val="single" w:sz="8" w:color="007CBA"/>
            </w:tcBorders>
            <w:shd w:val="clear" w:color="auto" w:fill="E5F1F8"/>
          </w:tcPr>
          <w:p>
            <w:pPr>
              <w:ind w:left="300"/>
              <w:spacing w:after="0" w:line="193" w:lineRule="exact"/>
              <w:rPr>
                <w:sz w:val="20"/>
                <w:szCs w:val="20"/>
                <w:color w:val="auto"/>
              </w:rPr>
            </w:pPr>
            <w:r>
              <w:rPr>
                <w:rFonts w:ascii="Calibri" w:cs="Calibri" w:eastAsia="Calibri" w:hAnsi="Calibri"/>
                <w:sz w:val="16"/>
                <w:szCs w:val="16"/>
                <w:color w:val="auto"/>
              </w:rPr>
              <w:t>Mid-sized to large cap</w:t>
            </w:r>
          </w:p>
        </w:tc>
        <w:tc>
          <w:tcPr>
            <w:tcW w:w="1080" w:type="dxa"/>
            <w:vAlign w:val="bottom"/>
            <w:shd w:val="clear" w:color="auto" w:fill="E5F1F8"/>
          </w:tcPr>
          <w:p>
            <w:pPr>
              <w:jc w:val="right"/>
              <w:ind w:right="779"/>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Borders>
              <w:right w:val="single" w:sz="8" w:color="007CBA"/>
            </w:tcBorders>
            <w:shd w:val="clear" w:color="auto" w:fill="E5F1F8"/>
          </w:tcPr>
          <w:p>
            <w:pPr>
              <w:ind w:left="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Borders>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shd w:val="clear" w:color="auto" w:fill="E5F1F8"/>
          </w:tcPr>
          <w:p>
            <w:pPr>
              <w:spacing w:after="0"/>
              <w:rPr>
                <w:sz w:val="17"/>
                <w:szCs w:val="17"/>
                <w:color w:val="auto"/>
              </w:rPr>
            </w:pPr>
          </w:p>
        </w:tc>
        <w:tc>
          <w:tcPr>
            <w:tcW w:w="160" w:type="dxa"/>
            <w:vAlign w:val="bottom"/>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right w:val="single" w:sz="8" w:color="007CBA"/>
            </w:tcBorders>
            <w:shd w:val="clear" w:color="auto" w:fill="E5F1F8"/>
          </w:tcPr>
          <w:p>
            <w:pPr>
              <w:ind w:left="80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60" w:type="dxa"/>
            <w:vAlign w:val="bottom"/>
            <w:tcBorders>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307</w:t>
            </w:r>
          </w:p>
        </w:tc>
        <w:tc>
          <w:tcPr>
            <w:tcW w:w="240" w:type="dxa"/>
            <w:vAlign w:val="bottom"/>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40" w:type="dxa"/>
            <w:vAlign w:val="bottom"/>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307</w:t>
            </w:r>
          </w:p>
        </w:tc>
      </w:tr>
      <w:tr>
        <w:trPr>
          <w:trHeight w:val="198"/>
        </w:trPr>
        <w:tc>
          <w:tcPr>
            <w:tcW w:w="4760" w:type="dxa"/>
            <w:vAlign w:val="bottom"/>
            <w:tcBorders>
              <w:right w:val="single" w:sz="8" w:color="007CBA"/>
            </w:tcBorders>
          </w:tcPr>
          <w:p>
            <w:pPr>
              <w:ind w:left="300"/>
              <w:spacing w:after="0" w:line="193" w:lineRule="exact"/>
              <w:rPr>
                <w:sz w:val="20"/>
                <w:szCs w:val="20"/>
                <w:color w:val="auto"/>
              </w:rPr>
            </w:pPr>
            <w:r>
              <w:rPr>
                <w:rFonts w:ascii="Calibri" w:cs="Calibri" w:eastAsia="Calibri" w:hAnsi="Calibri"/>
                <w:sz w:val="16"/>
                <w:szCs w:val="16"/>
                <w:color w:val="auto"/>
              </w:rPr>
              <w:t>Small cap, internatonal and emerging growth funds</w:t>
            </w:r>
          </w:p>
        </w:tc>
        <w:tc>
          <w:tcPr>
            <w:tcW w:w="1080" w:type="dxa"/>
            <w:vAlign w:val="bottom"/>
          </w:tcPr>
          <w:p>
            <w:pPr>
              <w:spacing w:after="0"/>
              <w:rPr>
                <w:sz w:val="17"/>
                <w:szCs w:val="17"/>
                <w:color w:val="auto"/>
              </w:rPr>
            </w:pPr>
          </w:p>
        </w:tc>
        <w:tc>
          <w:tcPr>
            <w:tcW w:w="320" w:type="dxa"/>
            <w:vAlign w:val="bottom"/>
            <w:tcBorders>
              <w:right w:val="single" w:sz="8" w:color="007CBA"/>
            </w:tcBorders>
          </w:tcPr>
          <w:p>
            <w:pPr>
              <w:ind w:left="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112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007CBA"/>
            </w:tcBorders>
          </w:tcPr>
          <w:p>
            <w:pPr>
              <w:ind w:left="80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9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320</w:t>
            </w:r>
          </w:p>
        </w:tc>
        <w:tc>
          <w:tcPr>
            <w:tcW w:w="240" w:type="dxa"/>
            <w:vAlign w:val="bottom"/>
          </w:tcPr>
          <w:p>
            <w:pPr>
              <w:spacing w:after="0"/>
              <w:rPr>
                <w:sz w:val="17"/>
                <w:szCs w:val="17"/>
                <w:color w:val="auto"/>
              </w:rPr>
            </w:pPr>
          </w:p>
        </w:tc>
        <w:tc>
          <w:tcPr>
            <w:tcW w:w="94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320</w:t>
            </w:r>
          </w:p>
        </w:tc>
      </w:tr>
      <w:tr>
        <w:trPr>
          <w:trHeight w:val="207"/>
        </w:trPr>
        <w:tc>
          <w:tcPr>
            <w:tcW w:w="4760" w:type="dxa"/>
            <w:vAlign w:val="bottom"/>
            <w:tcBorders>
              <w:right w:val="single" w:sz="8" w:color="007CBA"/>
            </w:tcBorders>
            <w:shd w:val="clear" w:color="auto" w:fill="E5F1F8"/>
          </w:tcPr>
          <w:p>
            <w:pPr>
              <w:ind w:left="120"/>
              <w:spacing w:after="0" w:line="207" w:lineRule="exact"/>
              <w:rPr>
                <w:sz w:val="20"/>
                <w:szCs w:val="20"/>
                <w:color w:val="auto"/>
              </w:rPr>
            </w:pPr>
            <w:r>
              <w:rPr>
                <w:rFonts w:ascii="Calibri" w:cs="Calibri" w:eastAsia="Calibri" w:hAnsi="Calibri"/>
                <w:sz w:val="16"/>
                <w:szCs w:val="16"/>
                <w:color w:val="auto"/>
              </w:rPr>
              <w:t>Debt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1080" w:type="dxa"/>
            <w:vAlign w:val="bottom"/>
            <w:shd w:val="clear" w:color="auto" w:fill="E5F1F8"/>
          </w:tcPr>
          <w:p>
            <w:pPr>
              <w:spacing w:after="0"/>
              <w:rPr>
                <w:sz w:val="18"/>
                <w:szCs w:val="18"/>
                <w:color w:val="auto"/>
              </w:rPr>
            </w:pPr>
          </w:p>
        </w:tc>
        <w:tc>
          <w:tcPr>
            <w:tcW w:w="320" w:type="dxa"/>
            <w:vAlign w:val="bottom"/>
            <w:tcBorders>
              <w:right w:val="single" w:sz="8" w:color="007CBA"/>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spacing w:after="0"/>
              <w:rPr>
                <w:sz w:val="18"/>
                <w:szCs w:val="18"/>
                <w:color w:val="auto"/>
              </w:rPr>
            </w:pPr>
          </w:p>
        </w:tc>
        <w:tc>
          <w:tcPr>
            <w:tcW w:w="100" w:type="dxa"/>
            <w:vAlign w:val="bottom"/>
            <w:shd w:val="clear" w:color="auto" w:fill="E5F1F8"/>
          </w:tcPr>
          <w:p>
            <w:pPr>
              <w:spacing w:after="0"/>
              <w:rPr>
                <w:sz w:val="18"/>
                <w:szCs w:val="18"/>
                <w:color w:val="auto"/>
              </w:rPr>
            </w:pPr>
          </w:p>
        </w:tc>
        <w:tc>
          <w:tcPr>
            <w:tcW w:w="160" w:type="dxa"/>
            <w:vAlign w:val="bottom"/>
            <w:shd w:val="clear" w:color="auto" w:fill="E5F1F8"/>
          </w:tcPr>
          <w:p>
            <w:pPr>
              <w:spacing w:after="0"/>
              <w:rPr>
                <w:sz w:val="18"/>
                <w:szCs w:val="18"/>
                <w:color w:val="auto"/>
              </w:rPr>
            </w:pPr>
          </w:p>
        </w:tc>
        <w:tc>
          <w:tcPr>
            <w:tcW w:w="1100" w:type="dxa"/>
            <w:vAlign w:val="bottom"/>
            <w:tcBorders>
              <w:right w:val="single" w:sz="8" w:color="007CBA"/>
            </w:tcBorders>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960" w:type="dxa"/>
            <w:vAlign w:val="bottom"/>
            <w:tcBorders>
              <w:right w:val="single" w:sz="8" w:color="007CBA"/>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40" w:type="dxa"/>
            <w:vAlign w:val="bottom"/>
            <w:shd w:val="clear" w:color="auto" w:fill="E5F1F8"/>
          </w:tcPr>
          <w:p>
            <w:pPr>
              <w:spacing w:after="0"/>
              <w:rPr>
                <w:sz w:val="18"/>
                <w:szCs w:val="18"/>
                <w:color w:val="auto"/>
              </w:rPr>
            </w:pPr>
          </w:p>
        </w:tc>
      </w:tr>
      <w:tr>
        <w:trPr>
          <w:trHeight w:val="198"/>
        </w:trPr>
        <w:tc>
          <w:tcPr>
            <w:tcW w:w="4760" w:type="dxa"/>
            <w:vAlign w:val="bottom"/>
            <w:tcBorders>
              <w:right w:val="single" w:sz="8" w:color="007CBA"/>
            </w:tcBorders>
          </w:tcPr>
          <w:p>
            <w:pPr>
              <w:ind w:left="300"/>
              <w:spacing w:after="0" w:line="193" w:lineRule="exact"/>
              <w:rPr>
                <w:sz w:val="20"/>
                <w:szCs w:val="20"/>
                <w:color w:val="auto"/>
              </w:rPr>
            </w:pPr>
            <w:r>
              <w:rPr>
                <w:rFonts w:ascii="Calibri" w:cs="Calibri" w:eastAsia="Calibri" w:hAnsi="Calibri"/>
                <w:sz w:val="16"/>
                <w:szCs w:val="16"/>
                <w:color w:val="auto"/>
              </w:rPr>
              <w:t>Core fxed income</w:t>
            </w:r>
          </w:p>
        </w:tc>
        <w:tc>
          <w:tcPr>
            <w:tcW w:w="1080" w:type="dxa"/>
            <w:vAlign w:val="bottom"/>
          </w:tcPr>
          <w:p>
            <w:pPr>
              <w:spacing w:after="0"/>
              <w:rPr>
                <w:sz w:val="17"/>
                <w:szCs w:val="17"/>
                <w:color w:val="auto"/>
              </w:rPr>
            </w:pPr>
          </w:p>
        </w:tc>
        <w:tc>
          <w:tcPr>
            <w:tcW w:w="320" w:type="dxa"/>
            <w:vAlign w:val="bottom"/>
            <w:tcBorders>
              <w:right w:val="single" w:sz="8" w:color="007CBA"/>
            </w:tcBorders>
          </w:tcPr>
          <w:p>
            <w:pPr>
              <w:ind w:left="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112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007CBA"/>
            </w:tcBorders>
          </w:tcPr>
          <w:p>
            <w:pPr>
              <w:ind w:left="80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9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319</w:t>
            </w:r>
          </w:p>
        </w:tc>
        <w:tc>
          <w:tcPr>
            <w:tcW w:w="240" w:type="dxa"/>
            <w:vAlign w:val="bottom"/>
          </w:tcPr>
          <w:p>
            <w:pPr>
              <w:spacing w:after="0"/>
              <w:rPr>
                <w:sz w:val="17"/>
                <w:szCs w:val="17"/>
                <w:color w:val="auto"/>
              </w:rPr>
            </w:pPr>
          </w:p>
        </w:tc>
        <w:tc>
          <w:tcPr>
            <w:tcW w:w="94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319</w:t>
            </w:r>
          </w:p>
        </w:tc>
      </w:tr>
      <w:tr>
        <w:trPr>
          <w:trHeight w:val="207"/>
        </w:trPr>
        <w:tc>
          <w:tcPr>
            <w:tcW w:w="4760" w:type="dxa"/>
            <w:vAlign w:val="bottom"/>
            <w:tcBorders>
              <w:right w:val="single" w:sz="8" w:color="007CBA"/>
            </w:tcBorders>
            <w:shd w:val="clear" w:color="auto" w:fill="E5F1F8"/>
          </w:tcPr>
          <w:p>
            <w:pPr>
              <w:ind w:left="120"/>
              <w:spacing w:after="0"/>
              <w:rPr>
                <w:sz w:val="20"/>
                <w:szCs w:val="20"/>
                <w:color w:val="auto"/>
              </w:rPr>
            </w:pPr>
            <w:r>
              <w:rPr>
                <w:rFonts w:ascii="Calibri" w:cs="Calibri" w:eastAsia="Calibri" w:hAnsi="Calibri"/>
                <w:sz w:val="16"/>
                <w:szCs w:val="16"/>
                <w:color w:val="auto"/>
              </w:rPr>
              <w:t>Real estate</w:t>
            </w:r>
          </w:p>
        </w:tc>
        <w:tc>
          <w:tcPr>
            <w:tcW w:w="1080" w:type="dxa"/>
            <w:vAlign w:val="bottom"/>
            <w:shd w:val="clear" w:color="auto" w:fill="E5F1F8"/>
          </w:tcPr>
          <w:p>
            <w:pPr>
              <w:spacing w:after="0"/>
              <w:rPr>
                <w:sz w:val="18"/>
                <w:szCs w:val="18"/>
                <w:color w:val="auto"/>
              </w:rPr>
            </w:pPr>
          </w:p>
        </w:tc>
        <w:tc>
          <w:tcPr>
            <w:tcW w:w="320" w:type="dxa"/>
            <w:vAlign w:val="bottom"/>
            <w:tcBorders>
              <w:right w:val="single" w:sz="8" w:color="007CBA"/>
            </w:tcBorders>
            <w:shd w:val="clear" w:color="auto" w:fill="E5F1F8"/>
          </w:tcPr>
          <w:p>
            <w:pPr>
              <w:ind w:left="20"/>
              <w:spacing w:after="0"/>
              <w:rPr>
                <w:sz w:val="20"/>
                <w:szCs w:val="20"/>
                <w:color w:val="auto"/>
              </w:rPr>
            </w:pPr>
            <w:r>
              <w:rPr>
                <w:rFonts w:ascii="Calibri" w:cs="Calibri" w:eastAsia="Calibri" w:hAnsi="Calibri"/>
                <w:sz w:val="16"/>
                <w:szCs w:val="16"/>
                <w:color w:val="auto"/>
              </w:rPr>
              <w:t>—</w:t>
            </w:r>
          </w:p>
        </w:tc>
        <w:tc>
          <w:tcPr>
            <w:tcW w:w="24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ind w:left="840"/>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E5F1F8"/>
          </w:tcPr>
          <w:p>
            <w:pPr>
              <w:spacing w:after="0"/>
              <w:rPr>
                <w:sz w:val="18"/>
                <w:szCs w:val="18"/>
                <w:color w:val="auto"/>
              </w:rPr>
            </w:pPr>
          </w:p>
        </w:tc>
        <w:tc>
          <w:tcPr>
            <w:tcW w:w="160" w:type="dxa"/>
            <w:vAlign w:val="bottom"/>
            <w:shd w:val="clear" w:color="auto" w:fill="E5F1F8"/>
          </w:tcPr>
          <w:p>
            <w:pPr>
              <w:spacing w:after="0"/>
              <w:rPr>
                <w:sz w:val="18"/>
                <w:szCs w:val="18"/>
                <w:color w:val="auto"/>
              </w:rPr>
            </w:pPr>
          </w:p>
        </w:tc>
        <w:tc>
          <w:tcPr>
            <w:tcW w:w="1100" w:type="dxa"/>
            <w:vAlign w:val="bottom"/>
            <w:tcBorders>
              <w:right w:val="single" w:sz="8" w:color="007CBA"/>
            </w:tcBorders>
            <w:shd w:val="clear" w:color="auto" w:fill="E5F1F8"/>
          </w:tcPr>
          <w:p>
            <w:pPr>
              <w:ind w:left="800"/>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E5F1F8"/>
          </w:tcPr>
          <w:p>
            <w:pPr>
              <w:spacing w:after="0"/>
              <w:rPr>
                <w:sz w:val="18"/>
                <w:szCs w:val="18"/>
                <w:color w:val="auto"/>
              </w:rPr>
            </w:pPr>
          </w:p>
        </w:tc>
        <w:tc>
          <w:tcPr>
            <w:tcW w:w="96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137</w:t>
            </w:r>
          </w:p>
        </w:tc>
        <w:tc>
          <w:tcPr>
            <w:tcW w:w="240" w:type="dxa"/>
            <w:vAlign w:val="bottom"/>
            <w:shd w:val="clear" w:color="auto" w:fill="E5F1F8"/>
          </w:tcPr>
          <w:p>
            <w:pPr>
              <w:spacing w:after="0"/>
              <w:rPr>
                <w:sz w:val="18"/>
                <w:szCs w:val="18"/>
                <w:color w:val="auto"/>
              </w:rPr>
            </w:pPr>
          </w:p>
        </w:tc>
        <w:tc>
          <w:tcPr>
            <w:tcW w:w="94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137</w:t>
            </w:r>
          </w:p>
        </w:tc>
      </w:tr>
      <w:tr>
        <w:trPr>
          <w:trHeight w:val="203"/>
        </w:trPr>
        <w:tc>
          <w:tcPr>
            <w:tcW w:w="47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Private infrastructure</w:t>
            </w:r>
          </w:p>
        </w:tc>
        <w:tc>
          <w:tcPr>
            <w:tcW w:w="1080" w:type="dxa"/>
            <w:vAlign w:val="bottom"/>
          </w:tcPr>
          <w:p>
            <w:pPr>
              <w:spacing w:after="0"/>
              <w:rPr>
                <w:sz w:val="17"/>
                <w:szCs w:val="17"/>
                <w:color w:val="auto"/>
              </w:rPr>
            </w:pPr>
          </w:p>
        </w:tc>
        <w:tc>
          <w:tcPr>
            <w:tcW w:w="320" w:type="dxa"/>
            <w:vAlign w:val="bottom"/>
            <w:tcBorders>
              <w:right w:val="single" w:sz="8" w:color="007CBA"/>
            </w:tcBorders>
          </w:tcPr>
          <w:p>
            <w:pPr>
              <w:ind w:left="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112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007CBA"/>
            </w:tcBorders>
          </w:tcPr>
          <w:p>
            <w:pPr>
              <w:ind w:left="80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9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90</w:t>
            </w:r>
          </w:p>
        </w:tc>
        <w:tc>
          <w:tcPr>
            <w:tcW w:w="240" w:type="dxa"/>
            <w:vAlign w:val="bottom"/>
          </w:tcPr>
          <w:p>
            <w:pPr>
              <w:spacing w:after="0"/>
              <w:rPr>
                <w:sz w:val="17"/>
                <w:szCs w:val="17"/>
                <w:color w:val="auto"/>
              </w:rPr>
            </w:pPr>
          </w:p>
        </w:tc>
        <w:tc>
          <w:tcPr>
            <w:tcW w:w="94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90</w:t>
            </w:r>
          </w:p>
        </w:tc>
      </w:tr>
      <w:tr>
        <w:trPr>
          <w:trHeight w:val="198"/>
        </w:trPr>
        <w:tc>
          <w:tcPr>
            <w:tcW w:w="4760" w:type="dxa"/>
            <w:vAlign w:val="bottom"/>
            <w:tcBorders>
              <w:bottom w:val="single" w:sz="8" w:color="auto"/>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Cash equivalents</w:t>
            </w:r>
          </w:p>
        </w:tc>
        <w:tc>
          <w:tcPr>
            <w:tcW w:w="1080" w:type="dxa"/>
            <w:vAlign w:val="bottom"/>
            <w:tcBorders>
              <w:bottom w:val="single" w:sz="8" w:color="auto"/>
            </w:tcBorders>
            <w:shd w:val="clear" w:color="auto" w:fill="E5F1F8"/>
          </w:tcPr>
          <w:p>
            <w:pPr>
              <w:spacing w:after="0"/>
              <w:rPr>
                <w:sz w:val="17"/>
                <w:szCs w:val="17"/>
                <w:color w:val="auto"/>
              </w:rPr>
            </w:pPr>
          </w:p>
        </w:tc>
        <w:tc>
          <w:tcPr>
            <w:tcW w:w="320" w:type="dxa"/>
            <w:vAlign w:val="bottom"/>
            <w:tcBorders>
              <w:bottom w:val="single" w:sz="8" w:color="auto"/>
              <w:right w:val="single" w:sz="8" w:color="E5F1F8"/>
            </w:tcBorders>
            <w:shd w:val="clear" w:color="auto" w:fill="E5F1F8"/>
          </w:tcPr>
          <w:p>
            <w:pPr>
              <w:ind w:left="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auto"/>
            </w:tcBorders>
            <w:shd w:val="clear" w:color="auto" w:fill="E5F1F8"/>
          </w:tcPr>
          <w:p>
            <w:pPr>
              <w:spacing w:after="0"/>
              <w:rPr>
                <w:sz w:val="17"/>
                <w:szCs w:val="17"/>
                <w:color w:val="auto"/>
              </w:rPr>
            </w:pPr>
          </w:p>
        </w:tc>
        <w:tc>
          <w:tcPr>
            <w:tcW w:w="1220" w:type="dxa"/>
            <w:vAlign w:val="bottom"/>
            <w:tcBorders>
              <w:bottom w:val="single" w:sz="8" w:color="auto"/>
            </w:tcBorders>
            <w:gridSpan w:val="2"/>
            <w:shd w:val="clear" w:color="auto" w:fill="E5F1F8"/>
          </w:tcPr>
          <w:p>
            <w:pPr>
              <w:ind w:left="84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auto"/>
            </w:tcBorders>
            <w:shd w:val="clear" w:color="auto" w:fill="E5F1F8"/>
          </w:tcPr>
          <w:p>
            <w:pPr>
              <w:spacing w:after="0"/>
              <w:rPr>
                <w:sz w:val="17"/>
                <w:szCs w:val="17"/>
                <w:color w:val="auto"/>
              </w:rPr>
            </w:pPr>
          </w:p>
        </w:tc>
        <w:tc>
          <w:tcPr>
            <w:tcW w:w="1100" w:type="dxa"/>
            <w:vAlign w:val="bottom"/>
            <w:tcBorders>
              <w:bottom w:val="single" w:sz="8" w:color="auto"/>
              <w:right w:val="single" w:sz="8" w:color="E5F1F8"/>
            </w:tcBorders>
            <w:shd w:val="clear" w:color="auto" w:fill="E5F1F8"/>
          </w:tcPr>
          <w:p>
            <w:pPr>
              <w:ind w:left="80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auto"/>
            </w:tcBorders>
            <w:shd w:val="clear" w:color="auto" w:fill="E5F1F8"/>
          </w:tcPr>
          <w:p>
            <w:pPr>
              <w:spacing w:after="0"/>
              <w:rPr>
                <w:sz w:val="17"/>
                <w:szCs w:val="17"/>
                <w:color w:val="auto"/>
              </w:rPr>
            </w:pPr>
          </w:p>
        </w:tc>
        <w:tc>
          <w:tcPr>
            <w:tcW w:w="960" w:type="dxa"/>
            <w:vAlign w:val="bottom"/>
            <w:tcBorders>
              <w:bottom w:val="single" w:sz="8" w:color="auto"/>
              <w:right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4</w:t>
            </w:r>
          </w:p>
        </w:tc>
        <w:tc>
          <w:tcPr>
            <w:tcW w:w="240" w:type="dxa"/>
            <w:vAlign w:val="bottom"/>
            <w:tcBorders>
              <w:bottom w:val="single" w:sz="8" w:color="auto"/>
            </w:tcBorders>
            <w:shd w:val="clear" w:color="auto" w:fill="E5F1F8"/>
          </w:tcPr>
          <w:p>
            <w:pPr>
              <w:spacing w:after="0"/>
              <w:rPr>
                <w:sz w:val="17"/>
                <w:szCs w:val="17"/>
                <w:color w:val="auto"/>
              </w:rPr>
            </w:pPr>
          </w:p>
        </w:tc>
        <w:tc>
          <w:tcPr>
            <w:tcW w:w="940" w:type="dxa"/>
            <w:vAlign w:val="bottom"/>
            <w:tcBorders>
              <w:bottom w:val="single" w:sz="8" w:color="auto"/>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4</w:t>
            </w:r>
          </w:p>
        </w:tc>
      </w:tr>
      <w:tr>
        <w:trPr>
          <w:trHeight w:val="196"/>
        </w:trPr>
        <w:tc>
          <w:tcPr>
            <w:tcW w:w="4760" w:type="dxa"/>
            <w:vAlign w:val="bottom"/>
            <w:tcBorders>
              <w:bottom w:val="single" w:sz="8" w:color="auto"/>
            </w:tcBorders>
          </w:tcPr>
          <w:p>
            <w:pPr>
              <w:ind w:left="120"/>
              <w:spacing w:after="0" w:line="193" w:lineRule="exact"/>
              <w:rPr>
                <w:sz w:val="20"/>
                <w:szCs w:val="20"/>
                <w:color w:val="auto"/>
              </w:rPr>
            </w:pPr>
            <w:r>
              <w:rPr>
                <w:rFonts w:ascii="Calibri" w:cs="Calibri" w:eastAsia="Calibri" w:hAnsi="Calibri"/>
                <w:sz w:val="16"/>
                <w:szCs w:val="16"/>
                <w:color w:val="auto"/>
              </w:rPr>
              <w:t>Total</w:t>
            </w:r>
          </w:p>
        </w:tc>
        <w:tc>
          <w:tcPr>
            <w:tcW w:w="1080" w:type="dxa"/>
            <w:vAlign w:val="bottom"/>
            <w:tcBorders>
              <w:bottom w:val="single" w:sz="8" w:color="auto"/>
            </w:tcBorders>
          </w:tcPr>
          <w:p>
            <w:pPr>
              <w:jc w:val="right"/>
              <w:ind w:right="779"/>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c>
          <w:tcPr>
            <w:tcW w:w="1220" w:type="dxa"/>
            <w:vAlign w:val="bottom"/>
            <w:tcBorders>
              <w:bottom w:val="single" w:sz="8" w:color="auto"/>
            </w:tcBorders>
            <w:gridSpan w:val="2"/>
          </w:tcPr>
          <w:p>
            <w:pPr>
              <w:ind w:left="84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auto"/>
            </w:tcBorders>
          </w:tcPr>
          <w:p>
            <w:pPr>
              <w:ind w:left="80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c>
          <w:tcPr>
            <w:tcW w:w="96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color w:val="auto"/>
              </w:rPr>
              <w:t>1,177</w:t>
            </w:r>
          </w:p>
        </w:tc>
        <w:tc>
          <w:tcPr>
            <w:tcW w:w="2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color w:val="auto"/>
              </w:rPr>
              <w:t>1,177</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-3556635</wp:posOffset>
            </wp:positionV>
            <wp:extent cx="269176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-2776855</wp:posOffset>
            </wp:positionV>
            <wp:extent cx="403733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4037330" cy="825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-1751965</wp:posOffset>
            </wp:positionV>
            <wp:extent cx="33655" cy="3168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-1751965</wp:posOffset>
            </wp:positionV>
            <wp:extent cx="33655" cy="3168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-1751965</wp:posOffset>
            </wp:positionV>
            <wp:extent cx="33655" cy="3168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-1751965</wp:posOffset>
            </wp:positionV>
            <wp:extent cx="33655" cy="3168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-1751965</wp:posOffset>
            </wp:positionV>
            <wp:extent cx="33655" cy="3168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-303530</wp:posOffset>
            </wp:positionV>
            <wp:extent cx="33655" cy="3168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-303530</wp:posOffset>
            </wp:positionV>
            <wp:extent cx="33655" cy="3168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-303530</wp:posOffset>
            </wp:positionV>
            <wp:extent cx="33655" cy="3168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-303530</wp:posOffset>
            </wp:positionV>
            <wp:extent cx="33655" cy="3168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-303530</wp:posOffset>
            </wp:positionV>
            <wp:extent cx="33655" cy="3168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33" w:lineRule="exact"/>
        <w:rPr>
          <w:sz w:val="20"/>
          <w:szCs w:val="20"/>
          <w:color w:val="auto"/>
        </w:rPr>
      </w:pPr>
    </w:p>
    <w:p>
      <w:pPr>
        <w:ind w:left="800" w:hanging="401"/>
        <w:spacing w:after="0" w:line="205" w:lineRule="auto"/>
        <w:tabs>
          <w:tab w:leader="none" w:pos="800" w:val="left"/>
        </w:tabs>
        <w:numPr>
          <w:ilvl w:val="0"/>
          <w:numId w:val="22"/>
        </w:numPr>
        <w:rPr>
          <w:rFonts w:ascii="Calibri" w:cs="Calibri" w:eastAsia="Calibri" w:hAnsi="Calibri"/>
          <w:sz w:val="19"/>
          <w:szCs w:val="19"/>
          <w:color w:val="auto"/>
          <w:vertAlign w:val="superscript"/>
        </w:rPr>
      </w:pPr>
      <w:r>
        <w:rPr>
          <w:rFonts w:ascii="Calibri" w:cs="Calibri" w:eastAsia="Calibri" w:hAnsi="Calibri"/>
          <w:sz w:val="14"/>
          <w:szCs w:val="14"/>
          <w:color w:val="auto"/>
        </w:rPr>
        <w:t>These investments are common collectve investment trusts valued using the net asset value (NAV) unit price provided by the fund administrator. The NAV is based on the value of the underlying assets owned by the fund.</w:t>
      </w:r>
    </w:p>
    <w:p>
      <w:pPr>
        <w:spacing w:after="0" w:line="1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Real estate investments are stated at estmated fair value, which is the price that would be received to sell an asset or paid to transfer a liability in an orderly transacton between market partcipants at the measurement date. Real estate investments are valued at NAV based on the plan’s proportonate shares of the real estate funds’ fair value as recorded by the trustees/general partner of the funds. The funds are real estate investment trust based funds that ofer partcipaton in an actvely managed, primarily core portolio of equity real estate. The funds allocate gains, losses and expenses to investors based on the ownership percentage to determine the NAV. Private infrastructure assets represent investments in a fund that is stated at fair value. For fnancial assets in the fund that are actvely traded in organized fnancial markets, fair value is based on exchange-quoted market prices. For investments in the fund for which there is no quoted market price, fair value is determined by the trustees/general partner of the fund based on discounted expected future cash fows prepared by third-party professionals.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2024 and 2023, the Company made combined pension plan and SERP contributons of $34 million and $32 million, respectvely. The Company currently estmates that it will contribute $40 million to its pension plans in 2025.</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expected beneft payments to be paid from plan assets for each of the next fve years and the fve-year period thereafer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9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10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15"/>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100" w:type="dxa"/>
            <w:vAlign w:val="bottom"/>
          </w:tcPr>
          <w:p>
            <w:pPr>
              <w:jc w:val="right"/>
              <w:ind w:right="6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59</w:t>
            </w:r>
          </w:p>
        </w:tc>
      </w:tr>
      <w:tr>
        <w:trPr>
          <w:trHeight w:val="217"/>
        </w:trPr>
        <w:tc>
          <w:tcPr>
            <w:tcW w:w="89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2026</w:t>
            </w:r>
          </w:p>
        </w:tc>
        <w:tc>
          <w:tcPr>
            <w:tcW w:w="1100" w:type="dxa"/>
            <w:vAlign w:val="bottom"/>
            <w:shd w:val="clear" w:color="auto" w:fill="E5F1F8"/>
          </w:tcPr>
          <w:p>
            <w:pPr>
              <w:jc w:val="right"/>
              <w:ind w:right="67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60</w:t>
            </w:r>
          </w:p>
        </w:tc>
      </w:tr>
      <w:tr>
        <w:trPr>
          <w:trHeight w:val="215"/>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100" w:type="dxa"/>
            <w:vAlign w:val="bottom"/>
          </w:tcPr>
          <w:p>
            <w:pPr>
              <w:jc w:val="right"/>
              <w:ind w:right="6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63</w:t>
            </w:r>
          </w:p>
        </w:tc>
      </w:tr>
      <w:tr>
        <w:trPr>
          <w:trHeight w:val="217"/>
        </w:trPr>
        <w:tc>
          <w:tcPr>
            <w:tcW w:w="89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2028</w:t>
            </w:r>
          </w:p>
        </w:tc>
        <w:tc>
          <w:tcPr>
            <w:tcW w:w="1100" w:type="dxa"/>
            <w:vAlign w:val="bottom"/>
            <w:shd w:val="clear" w:color="auto" w:fill="E5F1F8"/>
          </w:tcPr>
          <w:p>
            <w:pPr>
              <w:jc w:val="right"/>
              <w:ind w:right="67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66</w:t>
            </w:r>
          </w:p>
        </w:tc>
      </w:tr>
      <w:tr>
        <w:trPr>
          <w:trHeight w:val="216"/>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2029</w:t>
            </w:r>
          </w:p>
        </w:tc>
        <w:tc>
          <w:tcPr>
            <w:tcW w:w="1100" w:type="dxa"/>
            <w:vAlign w:val="bottom"/>
          </w:tcPr>
          <w:p>
            <w:pPr>
              <w:jc w:val="right"/>
              <w:ind w:right="6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65</w:t>
            </w:r>
          </w:p>
        </w:tc>
      </w:tr>
      <w:tr>
        <w:trPr>
          <w:trHeight w:val="215"/>
        </w:trPr>
        <w:tc>
          <w:tcPr>
            <w:tcW w:w="89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Years 2030 - 2034</w:t>
            </w:r>
          </w:p>
        </w:tc>
        <w:tc>
          <w:tcPr>
            <w:tcW w:w="1100" w:type="dxa"/>
            <w:vAlign w:val="bottom"/>
            <w:tcBorders>
              <w:bottom w:val="single" w:sz="8" w:color="auto"/>
            </w:tcBorders>
            <w:shd w:val="clear" w:color="auto" w:fill="E5F1F8"/>
          </w:tcPr>
          <w:p>
            <w:pPr>
              <w:jc w:val="right"/>
              <w:ind w:right="67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205740</wp:posOffset>
            </wp:positionV>
            <wp:extent cx="325755" cy="1968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-158115</wp:posOffset>
            </wp:positionV>
            <wp:extent cx="33655" cy="1714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33655" cy="17145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4" w:name="page95"/>
    <w:bookmarkEnd w:id="94"/>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Postretrement and Postemployment Benefts</w:t>
      </w:r>
      <w:r>
        <w:rPr>
          <w:rFonts w:ascii="Calibri" w:cs="Calibri" w:eastAsia="Calibri" w:hAnsi="Calibri"/>
          <w:sz w:val="18"/>
          <w:szCs w:val="18"/>
          <w:i w:val="1"/>
          <w:i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Company provides other postretrement benefts for certain employees, including medical benefts for</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retrees and their spouses and retree life insurance. Employees startng on or afer January 1, 2002 are not eligible for postretrement welfare plans. Postretrement medical benefts are paid from the Company's assets. The obligaton, if any, for retree medical payments is subject to the terms of the plan. At December 31, 2024 and 2023, the Company's recorded beneft obligaton related to these benefts totaled $7 million and $8 million, respectvely. The Company also provides certain benefts, such as disability benefts, to former or inactve employees afer employment but before retrement.</w:t>
      </w:r>
    </w:p>
    <w:p>
      <w:pPr>
        <w:spacing w:after="0" w:line="19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Defned Contributon Plan</w:t>
      </w:r>
      <w:r>
        <w:rPr>
          <w:rFonts w:ascii="Calibri" w:cs="Calibri" w:eastAsia="Calibri" w:hAnsi="Calibri"/>
          <w:sz w:val="18"/>
          <w:szCs w:val="18"/>
          <w:i w:val="1"/>
          <w:i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Company maintains a defned contributon plan that covers substantally all employees. This plan, qualifed under Secton</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401(a) of the Internal Revenue Code, is a retrement savings and investment plan for the Company’s salaried and hourly employees</w:t>
      </w:r>
      <w:r>
        <w:rPr>
          <w:rFonts w:ascii="Calibri" w:cs="Calibri" w:eastAsia="Calibri" w:hAnsi="Calibri"/>
          <w:sz w:val="18"/>
          <w:szCs w:val="18"/>
          <w:b w:val="1"/>
          <w:bCs w:val="1"/>
          <w:i w:val="1"/>
          <w:iCs w:val="1"/>
          <w:color w:val="000000"/>
        </w:rPr>
        <w:t>.</w:t>
      </w:r>
      <w:r>
        <w:rPr>
          <w:rFonts w:ascii="Calibri" w:cs="Calibri" w:eastAsia="Calibri" w:hAnsi="Calibri"/>
          <w:sz w:val="18"/>
          <w:szCs w:val="18"/>
          <w:color w:val="000000"/>
        </w:rPr>
        <w:t xml:space="preserve"> Under certain provisions of the plan, the Company matches employees’ eligible contributons at established rates. The Company’s matching obligatons were $22 million in both 2024 and 2023, and $23 million in 2022.</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K: Stock-Based Compensaton</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19, 2016, the Company’s shareholders approved the Martn Marieta Amended and Restated Stock-Based Award Plan. The Martn Marieta Materials, Inc. Stock-Based Award Plan, as amended from tme to tme, along with the Amended Omnibus Securites Award Plan, originally approved in 1994 (collectvely, the Plans), are stll efectve for awards made prior to 2017. The Company has been authorized by the Board of Directors to repurchase shares of the Company’s common stock for issuance under the stock-based award plans (see Note M).</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grants restricted stock awards under the Plans to a group of executve ofcers, key personnel and nonemployee members of the Board of Directors. The vestng of certain restricted stock awards is based on certain performance criteria over a specifed period of tme. The number of shares may be increased to the maximum or reduced to the minimum threshold based on the results of those criteria. In additon, certain awards are granted to individuals to encourage retenton and motvate key employees. These awards generally vest if the employee is contnuously employed over a specifed period of tme and require no payment from the employee. Awards granted to nonemployee members of the Board of Directors vest immediately.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fair value of stock-based award grants is expensed over the vestng period. Awards to employees eligible for retrement prior to the award becoming fully vested are expensed over the period through the date that the employee frst becomes eligible to retre and is no longer required to provide service to earn the award. Awards granted to nonemployee members of the Board of Directors are expensed immediately.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an incentve compensaton stock plan has been adopted under the Plans whereby certain partcipants may elect to use up to 50% of their annual incentve compensaton to acquire units representng shares of the Company’s common stock at a 20% discount to the market value on the date of the incentve compensaton award. Partcipants receive unrestricted shares of common stock in an amount equal to their respectve units generally at the end of a 34-month period of additonal employment from the date of award or at retrement beginning at age 62. All rights of ownership of the common stock convey to the partcipants upon the issuance of their respectve shares at the end of the ownership-vestng period.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informaton for restricted stock awards and incentve compensaton stock awards for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Borders>
              <w:right w:val="single" w:sz="8" w:color="007CBA"/>
            </w:tcBorders>
            <w:shd w:val="clear" w:color="auto" w:fill="007CBA"/>
          </w:tcPr>
          <w:p>
            <w:pPr>
              <w:spacing w:after="0"/>
              <w:rPr>
                <w:sz w:val="16"/>
                <w:szCs w:val="16"/>
                <w:color w:val="auto"/>
              </w:rPr>
            </w:pPr>
          </w:p>
        </w:tc>
        <w:tc>
          <w:tcPr>
            <w:tcW w:w="2920" w:type="dxa"/>
            <w:vAlign w:val="bottom"/>
            <w:tcBorders>
              <w:right w:val="single" w:sz="8" w:color="007CBA"/>
            </w:tcBorders>
            <w:gridSpan w:val="4"/>
            <w:shd w:val="clear" w:color="auto" w:fill="007CBA"/>
          </w:tcPr>
          <w:p>
            <w:pPr>
              <w:jc w:val="right"/>
              <w:ind w:right="779"/>
              <w:spacing w:after="0"/>
              <w:rPr>
                <w:sz w:val="20"/>
                <w:szCs w:val="20"/>
                <w:color w:val="auto"/>
              </w:rPr>
            </w:pPr>
            <w:r>
              <w:rPr>
                <w:rFonts w:ascii="Calibri" w:cs="Calibri" w:eastAsia="Calibri" w:hAnsi="Calibri"/>
                <w:sz w:val="16"/>
                <w:szCs w:val="16"/>
                <w:b w:val="1"/>
                <w:bCs w:val="1"/>
                <w:color w:val="FFFFFF"/>
              </w:rPr>
              <w:t>Restricted Stock -</w:t>
            </w:r>
          </w:p>
        </w:tc>
        <w:tc>
          <w:tcPr>
            <w:tcW w:w="120" w:type="dxa"/>
            <w:vAlign w:val="bottom"/>
            <w:shd w:val="clear" w:color="auto" w:fill="007CBA"/>
          </w:tcPr>
          <w:p>
            <w:pPr>
              <w:spacing w:after="0"/>
              <w:rPr>
                <w:sz w:val="16"/>
                <w:szCs w:val="16"/>
                <w:color w:val="auto"/>
              </w:rPr>
            </w:pPr>
          </w:p>
        </w:tc>
        <w:tc>
          <w:tcPr>
            <w:tcW w:w="2760" w:type="dxa"/>
            <w:vAlign w:val="bottom"/>
            <w:tcBorders>
              <w:right w:val="single" w:sz="8" w:color="007CBA"/>
            </w:tcBorders>
            <w:gridSpan w:val="4"/>
            <w:shd w:val="clear" w:color="auto" w:fill="007CBA"/>
          </w:tcPr>
          <w:p>
            <w:pPr>
              <w:jc w:val="right"/>
              <w:ind w:right="799"/>
              <w:spacing w:after="0"/>
              <w:rPr>
                <w:sz w:val="20"/>
                <w:szCs w:val="20"/>
                <w:color w:val="auto"/>
              </w:rPr>
            </w:pPr>
            <w:r>
              <w:rPr>
                <w:rFonts w:ascii="Calibri" w:cs="Calibri" w:eastAsia="Calibri" w:hAnsi="Calibri"/>
                <w:sz w:val="16"/>
                <w:szCs w:val="16"/>
                <w:b w:val="1"/>
                <w:bCs w:val="1"/>
                <w:color w:val="FFFFFF"/>
              </w:rPr>
              <w:t>Restricted Stock -</w:t>
            </w:r>
          </w:p>
        </w:tc>
        <w:tc>
          <w:tcPr>
            <w:tcW w:w="120" w:type="dxa"/>
            <w:vAlign w:val="bottom"/>
            <w:shd w:val="clear" w:color="auto" w:fill="007CBA"/>
          </w:tcPr>
          <w:p>
            <w:pPr>
              <w:spacing w:after="0"/>
              <w:rPr>
                <w:sz w:val="16"/>
                <w:szCs w:val="16"/>
                <w:color w:val="auto"/>
              </w:rPr>
            </w:pPr>
          </w:p>
        </w:tc>
        <w:tc>
          <w:tcPr>
            <w:tcW w:w="1300" w:type="dxa"/>
            <w:vAlign w:val="bottom"/>
            <w:shd w:val="clear" w:color="auto" w:fill="007CBA"/>
          </w:tcPr>
          <w:p>
            <w:pPr>
              <w:spacing w:after="0"/>
              <w:rPr>
                <w:sz w:val="16"/>
                <w:szCs w:val="16"/>
                <w:color w:val="auto"/>
              </w:rPr>
            </w:pPr>
          </w:p>
        </w:tc>
        <w:tc>
          <w:tcPr>
            <w:tcW w:w="180" w:type="dxa"/>
            <w:vAlign w:val="bottom"/>
            <w:shd w:val="clear" w:color="auto" w:fill="007CBA"/>
          </w:tcPr>
          <w:p>
            <w:pPr>
              <w:spacing w:after="0"/>
              <w:rPr>
                <w:sz w:val="16"/>
                <w:szCs w:val="16"/>
                <w:color w:val="auto"/>
              </w:rPr>
            </w:pPr>
          </w:p>
        </w:tc>
        <w:tc>
          <w:tcPr>
            <w:tcW w:w="140" w:type="dxa"/>
            <w:vAlign w:val="bottom"/>
            <w:shd w:val="clear" w:color="auto" w:fill="007CBA"/>
          </w:tcPr>
          <w:p>
            <w:pPr>
              <w:spacing w:after="0"/>
              <w:rPr>
                <w:sz w:val="16"/>
                <w:szCs w:val="16"/>
                <w:color w:val="auto"/>
              </w:rPr>
            </w:pPr>
          </w:p>
        </w:tc>
        <w:tc>
          <w:tcPr>
            <w:tcW w:w="1140" w:type="dxa"/>
            <w:vAlign w:val="bottom"/>
            <w:shd w:val="clear" w:color="auto" w:fill="007CBA"/>
          </w:tcPr>
          <w:p>
            <w:pPr>
              <w:spacing w:after="0"/>
              <w:rPr>
                <w:sz w:val="16"/>
                <w:szCs w:val="16"/>
                <w:color w:val="auto"/>
              </w:rPr>
            </w:pPr>
          </w:p>
        </w:tc>
      </w:tr>
      <w:tr>
        <w:trPr>
          <w:trHeight w:val="194"/>
        </w:trPr>
        <w:tc>
          <w:tcPr>
            <w:tcW w:w="2560" w:type="dxa"/>
            <w:vAlign w:val="bottom"/>
            <w:tcBorders>
              <w:right w:val="single" w:sz="8" w:color="007CBA"/>
            </w:tcBorders>
            <w:shd w:val="clear" w:color="auto" w:fill="007CBA"/>
          </w:tcPr>
          <w:p>
            <w:pPr>
              <w:spacing w:after="0"/>
              <w:rPr>
                <w:sz w:val="16"/>
                <w:szCs w:val="16"/>
                <w:color w:val="auto"/>
              </w:rPr>
            </w:pPr>
          </w:p>
        </w:tc>
        <w:tc>
          <w:tcPr>
            <w:tcW w:w="2920" w:type="dxa"/>
            <w:vAlign w:val="bottom"/>
            <w:tcBorders>
              <w:right w:val="single" w:sz="8" w:color="007CBA"/>
            </w:tcBorders>
            <w:gridSpan w:val="4"/>
            <w:shd w:val="clear" w:color="auto" w:fill="007CBA"/>
          </w:tcPr>
          <w:p>
            <w:pPr>
              <w:jc w:val="right"/>
              <w:ind w:right="899"/>
              <w:spacing w:after="0" w:line="193" w:lineRule="exact"/>
              <w:rPr>
                <w:sz w:val="20"/>
                <w:szCs w:val="20"/>
                <w:color w:val="auto"/>
              </w:rPr>
            </w:pPr>
            <w:r>
              <w:rPr>
                <w:rFonts w:ascii="Calibri" w:cs="Calibri" w:eastAsia="Calibri" w:hAnsi="Calibri"/>
                <w:sz w:val="16"/>
                <w:szCs w:val="16"/>
                <w:b w:val="1"/>
                <w:bCs w:val="1"/>
                <w:color w:val="FFFFFF"/>
              </w:rPr>
              <w:t>Service Based</w:t>
            </w:r>
          </w:p>
        </w:tc>
        <w:tc>
          <w:tcPr>
            <w:tcW w:w="120" w:type="dxa"/>
            <w:vAlign w:val="bottom"/>
            <w:shd w:val="clear" w:color="auto" w:fill="007CBA"/>
          </w:tcPr>
          <w:p>
            <w:pPr>
              <w:spacing w:after="0"/>
              <w:rPr>
                <w:sz w:val="16"/>
                <w:szCs w:val="16"/>
                <w:color w:val="auto"/>
              </w:rPr>
            </w:pPr>
          </w:p>
        </w:tc>
        <w:tc>
          <w:tcPr>
            <w:tcW w:w="2760" w:type="dxa"/>
            <w:vAlign w:val="bottom"/>
            <w:tcBorders>
              <w:right w:val="single" w:sz="8" w:color="007CBA"/>
            </w:tcBorders>
            <w:gridSpan w:val="4"/>
            <w:shd w:val="clear" w:color="auto" w:fill="007CBA"/>
          </w:tcPr>
          <w:p>
            <w:pPr>
              <w:jc w:val="right"/>
              <w:ind w:right="719"/>
              <w:spacing w:after="0" w:line="193" w:lineRule="exact"/>
              <w:rPr>
                <w:sz w:val="20"/>
                <w:szCs w:val="20"/>
                <w:color w:val="auto"/>
              </w:rPr>
            </w:pPr>
            <w:r>
              <w:rPr>
                <w:rFonts w:ascii="Calibri" w:cs="Calibri" w:eastAsia="Calibri" w:hAnsi="Calibri"/>
                <w:sz w:val="16"/>
                <w:szCs w:val="16"/>
                <w:b w:val="1"/>
                <w:bCs w:val="1"/>
                <w:color w:val="FFFFFF"/>
              </w:rPr>
              <w:t>Performance Based</w:t>
            </w:r>
          </w:p>
        </w:tc>
        <w:tc>
          <w:tcPr>
            <w:tcW w:w="120" w:type="dxa"/>
            <w:vAlign w:val="bottom"/>
            <w:shd w:val="clear" w:color="auto" w:fill="007CBA"/>
          </w:tcPr>
          <w:p>
            <w:pPr>
              <w:spacing w:after="0"/>
              <w:rPr>
                <w:sz w:val="16"/>
                <w:szCs w:val="16"/>
                <w:color w:val="auto"/>
              </w:rPr>
            </w:pPr>
          </w:p>
        </w:tc>
        <w:tc>
          <w:tcPr>
            <w:tcW w:w="2760" w:type="dxa"/>
            <w:vAlign w:val="bottom"/>
            <w:gridSpan w:val="4"/>
            <w:shd w:val="clear" w:color="auto" w:fill="007CBA"/>
          </w:tcPr>
          <w:p>
            <w:pPr>
              <w:jc w:val="right"/>
              <w:ind w:right="339"/>
              <w:spacing w:after="0" w:line="193" w:lineRule="exact"/>
              <w:rPr>
                <w:sz w:val="20"/>
                <w:szCs w:val="20"/>
                <w:color w:val="auto"/>
              </w:rPr>
            </w:pPr>
            <w:r>
              <w:rPr>
                <w:rFonts w:ascii="Calibri" w:cs="Calibri" w:eastAsia="Calibri" w:hAnsi="Calibri"/>
                <w:sz w:val="16"/>
                <w:szCs w:val="16"/>
                <w:b w:val="1"/>
                <w:bCs w:val="1"/>
                <w:color w:val="FFFFFF"/>
              </w:rPr>
              <w:t>Incentve Compensaton Stock</w:t>
            </w:r>
          </w:p>
        </w:tc>
      </w:tr>
      <w:tr>
        <w:trPr>
          <w:trHeight w:val="216"/>
        </w:trPr>
        <w:tc>
          <w:tcPr>
            <w:tcW w:w="2560" w:type="dxa"/>
            <w:vAlign w:val="bottom"/>
            <w:tcBorders>
              <w:right w:val="single" w:sz="8" w:color="007CBA"/>
            </w:tcBorders>
            <w:shd w:val="clear" w:color="auto" w:fill="007CBA"/>
          </w:tcPr>
          <w:p>
            <w:pPr>
              <w:spacing w:after="0"/>
              <w:rPr>
                <w:sz w:val="18"/>
                <w:szCs w:val="18"/>
                <w:color w:val="auto"/>
              </w:rPr>
            </w:pPr>
          </w:p>
        </w:tc>
        <w:tc>
          <w:tcPr>
            <w:tcW w:w="1480" w:type="dxa"/>
            <w:vAlign w:val="bottom"/>
            <w:shd w:val="clear" w:color="auto" w:fill="007CBA"/>
          </w:tcPr>
          <w:p>
            <w:pPr>
              <w:spacing w:after="0"/>
              <w:rPr>
                <w:sz w:val="18"/>
                <w:szCs w:val="18"/>
                <w:color w:val="auto"/>
              </w:rPr>
            </w:pPr>
          </w:p>
        </w:tc>
        <w:tc>
          <w:tcPr>
            <w:tcW w:w="160" w:type="dxa"/>
            <w:vAlign w:val="bottom"/>
            <w:shd w:val="clear" w:color="auto" w:fill="007CBA"/>
          </w:tcPr>
          <w:p>
            <w:pPr>
              <w:spacing w:after="0"/>
              <w:rPr>
                <w:sz w:val="18"/>
                <w:szCs w:val="18"/>
                <w:color w:val="auto"/>
              </w:rPr>
            </w:pPr>
          </w:p>
        </w:tc>
        <w:tc>
          <w:tcPr>
            <w:tcW w:w="14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Weighted-</w:t>
            </w:r>
          </w:p>
        </w:tc>
        <w:tc>
          <w:tcPr>
            <w:tcW w:w="120" w:type="dxa"/>
            <w:vAlign w:val="bottom"/>
            <w:shd w:val="clear" w:color="auto" w:fill="007CBA"/>
          </w:tcPr>
          <w:p>
            <w:pPr>
              <w:spacing w:after="0"/>
              <w:rPr>
                <w:sz w:val="18"/>
                <w:szCs w:val="18"/>
                <w:color w:val="auto"/>
              </w:rPr>
            </w:pPr>
          </w:p>
        </w:tc>
        <w:tc>
          <w:tcPr>
            <w:tcW w:w="1300" w:type="dxa"/>
            <w:vAlign w:val="bottom"/>
            <w:shd w:val="clear" w:color="auto" w:fill="007CBA"/>
          </w:tcPr>
          <w:p>
            <w:pPr>
              <w:spacing w:after="0"/>
              <w:rPr>
                <w:sz w:val="18"/>
                <w:szCs w:val="18"/>
                <w:color w:val="auto"/>
              </w:rPr>
            </w:pPr>
          </w:p>
        </w:tc>
        <w:tc>
          <w:tcPr>
            <w:tcW w:w="160" w:type="dxa"/>
            <w:vAlign w:val="bottom"/>
            <w:shd w:val="clear" w:color="auto" w:fill="007CBA"/>
          </w:tcPr>
          <w:p>
            <w:pPr>
              <w:spacing w:after="0"/>
              <w:rPr>
                <w:sz w:val="18"/>
                <w:szCs w:val="18"/>
                <w:color w:val="auto"/>
              </w:rPr>
            </w:pPr>
          </w:p>
        </w:tc>
        <w:tc>
          <w:tcPr>
            <w:tcW w:w="14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Weighted-</w:t>
            </w:r>
          </w:p>
        </w:tc>
        <w:tc>
          <w:tcPr>
            <w:tcW w:w="120" w:type="dxa"/>
            <w:vAlign w:val="bottom"/>
            <w:shd w:val="clear" w:color="auto" w:fill="007CBA"/>
          </w:tcPr>
          <w:p>
            <w:pPr>
              <w:spacing w:after="0"/>
              <w:rPr>
                <w:sz w:val="18"/>
                <w:szCs w:val="18"/>
                <w:color w:val="auto"/>
              </w:rPr>
            </w:pPr>
          </w:p>
        </w:tc>
        <w:tc>
          <w:tcPr>
            <w:tcW w:w="1300" w:type="dxa"/>
            <w:vAlign w:val="bottom"/>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140" w:type="dxa"/>
            <w:vAlign w:val="bottom"/>
            <w:shd w:val="clear" w:color="auto" w:fill="007CBA"/>
          </w:tcPr>
          <w:p>
            <w:pPr>
              <w:spacing w:after="0"/>
              <w:rPr>
                <w:sz w:val="18"/>
                <w:szCs w:val="18"/>
                <w:color w:val="auto"/>
              </w:rPr>
            </w:pPr>
          </w:p>
        </w:tc>
        <w:tc>
          <w:tcPr>
            <w:tcW w:w="1140" w:type="dxa"/>
            <w:vAlign w:val="bottom"/>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Weighted-</w:t>
            </w:r>
          </w:p>
        </w:tc>
      </w:tr>
      <w:tr>
        <w:trPr>
          <w:trHeight w:val="203"/>
        </w:trPr>
        <w:tc>
          <w:tcPr>
            <w:tcW w:w="2560" w:type="dxa"/>
            <w:vAlign w:val="bottom"/>
            <w:tcBorders>
              <w:right w:val="single" w:sz="8" w:color="007CBA"/>
            </w:tcBorders>
            <w:shd w:val="clear" w:color="auto" w:fill="007CBA"/>
          </w:tcPr>
          <w:p>
            <w:pPr>
              <w:spacing w:after="0"/>
              <w:rPr>
                <w:sz w:val="17"/>
                <w:szCs w:val="17"/>
                <w:color w:val="auto"/>
              </w:rPr>
            </w:pPr>
          </w:p>
        </w:tc>
        <w:tc>
          <w:tcPr>
            <w:tcW w:w="1480" w:type="dxa"/>
            <w:vAlign w:val="bottom"/>
            <w:shd w:val="clear" w:color="auto" w:fill="007CBA"/>
          </w:tcPr>
          <w:p>
            <w:pPr>
              <w:spacing w:after="0"/>
              <w:rPr>
                <w:sz w:val="17"/>
                <w:szCs w:val="17"/>
                <w:color w:val="auto"/>
              </w:rPr>
            </w:pPr>
          </w:p>
        </w:tc>
        <w:tc>
          <w:tcPr>
            <w:tcW w:w="16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rPr>
              <w:t>Average</w:t>
            </w:r>
          </w:p>
        </w:tc>
        <w:tc>
          <w:tcPr>
            <w:tcW w:w="120" w:type="dxa"/>
            <w:vAlign w:val="bottom"/>
            <w:shd w:val="clear" w:color="auto" w:fill="007CBA"/>
          </w:tcPr>
          <w:p>
            <w:pPr>
              <w:spacing w:after="0"/>
              <w:rPr>
                <w:sz w:val="17"/>
                <w:szCs w:val="17"/>
                <w:color w:val="auto"/>
              </w:rPr>
            </w:pPr>
          </w:p>
        </w:tc>
        <w:tc>
          <w:tcPr>
            <w:tcW w:w="1300" w:type="dxa"/>
            <w:vAlign w:val="bottom"/>
            <w:shd w:val="clear" w:color="auto" w:fill="007CBA"/>
          </w:tcPr>
          <w:p>
            <w:pPr>
              <w:spacing w:after="0"/>
              <w:rPr>
                <w:sz w:val="17"/>
                <w:szCs w:val="17"/>
                <w:color w:val="auto"/>
              </w:rPr>
            </w:pPr>
          </w:p>
        </w:tc>
        <w:tc>
          <w:tcPr>
            <w:tcW w:w="16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w w:val="98"/>
              </w:rPr>
              <w:t>Average</w:t>
            </w:r>
          </w:p>
        </w:tc>
        <w:tc>
          <w:tcPr>
            <w:tcW w:w="120" w:type="dxa"/>
            <w:vAlign w:val="bottom"/>
            <w:shd w:val="clear" w:color="auto" w:fill="007CBA"/>
          </w:tcPr>
          <w:p>
            <w:pPr>
              <w:spacing w:after="0"/>
              <w:rPr>
                <w:sz w:val="17"/>
                <w:szCs w:val="17"/>
                <w:color w:val="auto"/>
              </w:rPr>
            </w:pPr>
          </w:p>
        </w:tc>
        <w:tc>
          <w:tcPr>
            <w:tcW w:w="1300" w:type="dxa"/>
            <w:vAlign w:val="bottom"/>
            <w:shd w:val="clear" w:color="auto" w:fill="007CBA"/>
          </w:tcPr>
          <w:p>
            <w:pPr>
              <w:spacing w:after="0"/>
              <w:rPr>
                <w:sz w:val="17"/>
                <w:szCs w:val="17"/>
                <w:color w:val="auto"/>
              </w:rPr>
            </w:pP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40" w:type="dxa"/>
            <w:vAlign w:val="bottom"/>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rPr>
              <w:t>Average</w:t>
            </w:r>
          </w:p>
        </w:tc>
      </w:tr>
      <w:tr>
        <w:trPr>
          <w:trHeight w:val="203"/>
        </w:trPr>
        <w:tc>
          <w:tcPr>
            <w:tcW w:w="2560" w:type="dxa"/>
            <w:vAlign w:val="bottom"/>
            <w:tcBorders>
              <w:right w:val="single" w:sz="8" w:color="007CBA"/>
            </w:tcBorders>
            <w:shd w:val="clear" w:color="auto" w:fill="007CBA"/>
          </w:tcPr>
          <w:p>
            <w:pPr>
              <w:spacing w:after="0"/>
              <w:rPr>
                <w:sz w:val="17"/>
                <w:szCs w:val="17"/>
                <w:color w:val="auto"/>
              </w:rPr>
            </w:pPr>
          </w:p>
        </w:tc>
        <w:tc>
          <w:tcPr>
            <w:tcW w:w="1480" w:type="dxa"/>
            <w:vAlign w:val="bottom"/>
            <w:shd w:val="clear" w:color="auto" w:fill="007CBA"/>
          </w:tcPr>
          <w:p>
            <w:pPr>
              <w:jc w:val="right"/>
              <w:ind w:right="299"/>
              <w:spacing w:after="0"/>
              <w:rPr>
                <w:sz w:val="20"/>
                <w:szCs w:val="20"/>
                <w:color w:val="auto"/>
              </w:rPr>
            </w:pPr>
            <w:r>
              <w:rPr>
                <w:rFonts w:ascii="Calibri" w:cs="Calibri" w:eastAsia="Calibri" w:hAnsi="Calibri"/>
                <w:sz w:val="16"/>
                <w:szCs w:val="16"/>
                <w:b w:val="1"/>
                <w:bCs w:val="1"/>
                <w:color w:val="FFFFFF"/>
              </w:rPr>
              <w:t>Number of</w:t>
            </w:r>
          </w:p>
        </w:tc>
        <w:tc>
          <w:tcPr>
            <w:tcW w:w="16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rPr>
              <w:t>Grant-Date</w:t>
            </w:r>
          </w:p>
        </w:tc>
        <w:tc>
          <w:tcPr>
            <w:tcW w:w="120" w:type="dxa"/>
            <w:vAlign w:val="bottom"/>
            <w:shd w:val="clear" w:color="auto" w:fill="007CBA"/>
          </w:tcPr>
          <w:p>
            <w:pPr>
              <w:spacing w:after="0"/>
              <w:rPr>
                <w:sz w:val="17"/>
                <w:szCs w:val="17"/>
                <w:color w:val="auto"/>
              </w:rPr>
            </w:pPr>
          </w:p>
        </w:tc>
        <w:tc>
          <w:tcPr>
            <w:tcW w:w="1300" w:type="dxa"/>
            <w:vAlign w:val="bottom"/>
            <w:shd w:val="clear" w:color="auto" w:fill="007CBA"/>
          </w:tcPr>
          <w:p>
            <w:pPr>
              <w:jc w:val="right"/>
              <w:ind w:right="279"/>
              <w:spacing w:after="0"/>
              <w:rPr>
                <w:sz w:val="20"/>
                <w:szCs w:val="20"/>
                <w:color w:val="auto"/>
              </w:rPr>
            </w:pPr>
            <w:r>
              <w:rPr>
                <w:rFonts w:ascii="Calibri" w:cs="Calibri" w:eastAsia="Calibri" w:hAnsi="Calibri"/>
                <w:sz w:val="16"/>
                <w:szCs w:val="16"/>
                <w:b w:val="1"/>
                <w:bCs w:val="1"/>
                <w:color w:val="FFFFFF"/>
              </w:rPr>
              <w:t>Number of</w:t>
            </w:r>
          </w:p>
        </w:tc>
        <w:tc>
          <w:tcPr>
            <w:tcW w:w="16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w w:val="99"/>
              </w:rPr>
              <w:t>Grant-Date</w:t>
            </w:r>
          </w:p>
        </w:tc>
        <w:tc>
          <w:tcPr>
            <w:tcW w:w="120" w:type="dxa"/>
            <w:vAlign w:val="bottom"/>
            <w:shd w:val="clear" w:color="auto" w:fill="007CBA"/>
          </w:tcPr>
          <w:p>
            <w:pPr>
              <w:spacing w:after="0"/>
              <w:rPr>
                <w:sz w:val="17"/>
                <w:szCs w:val="17"/>
                <w:color w:val="auto"/>
              </w:rPr>
            </w:pPr>
          </w:p>
        </w:tc>
        <w:tc>
          <w:tcPr>
            <w:tcW w:w="1300" w:type="dxa"/>
            <w:vAlign w:val="bottom"/>
            <w:shd w:val="clear" w:color="auto" w:fill="007CBA"/>
          </w:tcPr>
          <w:p>
            <w:pPr>
              <w:jc w:val="right"/>
              <w:ind w:right="279"/>
              <w:spacing w:after="0"/>
              <w:rPr>
                <w:sz w:val="20"/>
                <w:szCs w:val="20"/>
                <w:color w:val="auto"/>
              </w:rPr>
            </w:pPr>
            <w:r>
              <w:rPr>
                <w:rFonts w:ascii="Calibri" w:cs="Calibri" w:eastAsia="Calibri" w:hAnsi="Calibri"/>
                <w:sz w:val="16"/>
                <w:szCs w:val="16"/>
                <w:b w:val="1"/>
                <w:bCs w:val="1"/>
                <w:color w:val="FFFFFF"/>
              </w:rPr>
              <w:t>Number of</w:t>
            </w: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40" w:type="dxa"/>
            <w:vAlign w:val="bottom"/>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rPr>
              <w:t>Grant-Date</w:t>
            </w:r>
          </w:p>
        </w:tc>
      </w:tr>
      <w:tr>
        <w:trPr>
          <w:trHeight w:val="210"/>
        </w:trPr>
        <w:tc>
          <w:tcPr>
            <w:tcW w:w="2560" w:type="dxa"/>
            <w:vAlign w:val="bottom"/>
            <w:tcBorders>
              <w:bottom w:val="single" w:sz="8" w:color="007CBA"/>
              <w:right w:val="single" w:sz="8" w:color="007CBA"/>
            </w:tcBorders>
            <w:shd w:val="clear" w:color="auto" w:fill="007CBA"/>
          </w:tcPr>
          <w:p>
            <w:pPr>
              <w:spacing w:after="0"/>
              <w:rPr>
                <w:sz w:val="18"/>
                <w:szCs w:val="18"/>
                <w:color w:val="auto"/>
              </w:rPr>
            </w:pPr>
          </w:p>
        </w:tc>
        <w:tc>
          <w:tcPr>
            <w:tcW w:w="1480" w:type="dxa"/>
            <w:vAlign w:val="bottom"/>
            <w:tcBorders>
              <w:bottom w:val="single" w:sz="8" w:color="007CBA"/>
            </w:tcBorders>
            <w:shd w:val="clear" w:color="auto" w:fill="007CBA"/>
          </w:tcPr>
          <w:p>
            <w:pPr>
              <w:jc w:val="right"/>
              <w:ind w:right="379"/>
              <w:spacing w:after="0"/>
              <w:rPr>
                <w:sz w:val="20"/>
                <w:szCs w:val="20"/>
                <w:color w:val="auto"/>
              </w:rPr>
            </w:pPr>
            <w:r>
              <w:rPr>
                <w:rFonts w:ascii="Calibri" w:cs="Calibri" w:eastAsia="Calibri" w:hAnsi="Calibri"/>
                <w:sz w:val="16"/>
                <w:szCs w:val="16"/>
                <w:b w:val="1"/>
                <w:bCs w:val="1"/>
                <w:color w:val="FFFFFF"/>
              </w:rPr>
              <w:t>Awards</w:t>
            </w:r>
          </w:p>
        </w:tc>
        <w:tc>
          <w:tcPr>
            <w:tcW w:w="160" w:type="dxa"/>
            <w:vAlign w:val="bottom"/>
            <w:tcBorders>
              <w:bottom w:val="single" w:sz="8" w:color="007CBA"/>
            </w:tcBorders>
            <w:shd w:val="clear" w:color="auto" w:fill="007CBA"/>
          </w:tcPr>
          <w:p>
            <w:pPr>
              <w:spacing w:after="0"/>
              <w:rPr>
                <w:sz w:val="18"/>
                <w:szCs w:val="18"/>
                <w:color w:val="auto"/>
              </w:rPr>
            </w:pPr>
          </w:p>
        </w:tc>
        <w:tc>
          <w:tcPr>
            <w:tcW w:w="140" w:type="dxa"/>
            <w:vAlign w:val="bottom"/>
            <w:tcBorders>
              <w:bottom w:val="single" w:sz="8" w:color="007CBA"/>
            </w:tcBorders>
            <w:shd w:val="clear" w:color="auto" w:fill="007CBA"/>
          </w:tcPr>
          <w:p>
            <w:pPr>
              <w:spacing w:after="0"/>
              <w:rPr>
                <w:sz w:val="18"/>
                <w:szCs w:val="18"/>
                <w:color w:val="auto"/>
              </w:rPr>
            </w:pPr>
          </w:p>
        </w:tc>
        <w:tc>
          <w:tcPr>
            <w:tcW w:w="1140" w:type="dxa"/>
            <w:vAlign w:val="bottom"/>
            <w:tcBorders>
              <w:bottom w:val="single" w:sz="8" w:color="007CBA"/>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Fair Value</w:t>
            </w:r>
          </w:p>
        </w:tc>
        <w:tc>
          <w:tcPr>
            <w:tcW w:w="120" w:type="dxa"/>
            <w:vAlign w:val="bottom"/>
            <w:tcBorders>
              <w:bottom w:val="single" w:sz="8" w:color="007CBA"/>
            </w:tcBorders>
            <w:shd w:val="clear" w:color="auto" w:fill="007CBA"/>
          </w:tcPr>
          <w:p>
            <w:pPr>
              <w:spacing w:after="0"/>
              <w:rPr>
                <w:sz w:val="18"/>
                <w:szCs w:val="18"/>
                <w:color w:val="auto"/>
              </w:rPr>
            </w:pPr>
          </w:p>
        </w:tc>
        <w:tc>
          <w:tcPr>
            <w:tcW w:w="1300" w:type="dxa"/>
            <w:vAlign w:val="bottom"/>
            <w:tcBorders>
              <w:bottom w:val="single" w:sz="8" w:color="007CBA"/>
            </w:tcBorders>
            <w:shd w:val="clear" w:color="auto" w:fill="007CBA"/>
          </w:tcPr>
          <w:p>
            <w:pPr>
              <w:jc w:val="right"/>
              <w:ind w:right="379"/>
              <w:spacing w:after="0"/>
              <w:rPr>
                <w:sz w:val="20"/>
                <w:szCs w:val="20"/>
                <w:color w:val="auto"/>
              </w:rPr>
            </w:pPr>
            <w:r>
              <w:rPr>
                <w:rFonts w:ascii="Calibri" w:cs="Calibri" w:eastAsia="Calibri" w:hAnsi="Calibri"/>
                <w:sz w:val="16"/>
                <w:szCs w:val="16"/>
                <w:b w:val="1"/>
                <w:bCs w:val="1"/>
                <w:color w:val="FFFFFF"/>
              </w:rPr>
              <w:t>Awards</w:t>
            </w:r>
          </w:p>
        </w:tc>
        <w:tc>
          <w:tcPr>
            <w:tcW w:w="160" w:type="dxa"/>
            <w:vAlign w:val="bottom"/>
            <w:tcBorders>
              <w:bottom w:val="single" w:sz="8" w:color="007CBA"/>
            </w:tcBorders>
            <w:shd w:val="clear" w:color="auto" w:fill="007CBA"/>
          </w:tcPr>
          <w:p>
            <w:pPr>
              <w:spacing w:after="0"/>
              <w:rPr>
                <w:sz w:val="18"/>
                <w:szCs w:val="18"/>
                <w:color w:val="auto"/>
              </w:rPr>
            </w:pPr>
          </w:p>
        </w:tc>
        <w:tc>
          <w:tcPr>
            <w:tcW w:w="14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w w:val="99"/>
              </w:rPr>
              <w:t>Fair Value</w:t>
            </w:r>
          </w:p>
        </w:tc>
        <w:tc>
          <w:tcPr>
            <w:tcW w:w="120" w:type="dxa"/>
            <w:vAlign w:val="bottom"/>
            <w:tcBorders>
              <w:bottom w:val="single" w:sz="8" w:color="007CBA"/>
            </w:tcBorders>
            <w:shd w:val="clear" w:color="auto" w:fill="007CBA"/>
          </w:tcPr>
          <w:p>
            <w:pPr>
              <w:spacing w:after="0"/>
              <w:rPr>
                <w:sz w:val="18"/>
                <w:szCs w:val="18"/>
                <w:color w:val="auto"/>
              </w:rPr>
            </w:pPr>
          </w:p>
        </w:tc>
        <w:tc>
          <w:tcPr>
            <w:tcW w:w="1300" w:type="dxa"/>
            <w:vAlign w:val="bottom"/>
            <w:tcBorders>
              <w:bottom w:val="single" w:sz="8" w:color="007CBA"/>
            </w:tcBorders>
            <w:shd w:val="clear" w:color="auto" w:fill="007CBA"/>
          </w:tcPr>
          <w:p>
            <w:pPr>
              <w:jc w:val="right"/>
              <w:ind w:right="379"/>
              <w:spacing w:after="0"/>
              <w:rPr>
                <w:sz w:val="20"/>
                <w:szCs w:val="20"/>
                <w:color w:val="auto"/>
              </w:rPr>
            </w:pPr>
            <w:r>
              <w:rPr>
                <w:rFonts w:ascii="Calibri" w:cs="Calibri" w:eastAsia="Calibri" w:hAnsi="Calibri"/>
                <w:sz w:val="16"/>
                <w:szCs w:val="16"/>
                <w:b w:val="1"/>
                <w:bCs w:val="1"/>
                <w:color w:val="FFFFFF"/>
              </w:rPr>
              <w:t>Awards</w:t>
            </w:r>
          </w:p>
        </w:tc>
        <w:tc>
          <w:tcPr>
            <w:tcW w:w="180" w:type="dxa"/>
            <w:vAlign w:val="bottom"/>
            <w:tcBorders>
              <w:bottom w:val="single" w:sz="8" w:color="007CBA"/>
            </w:tcBorders>
            <w:shd w:val="clear" w:color="auto" w:fill="007CBA"/>
          </w:tcPr>
          <w:p>
            <w:pPr>
              <w:spacing w:after="0"/>
              <w:rPr>
                <w:sz w:val="18"/>
                <w:szCs w:val="18"/>
                <w:color w:val="auto"/>
              </w:rPr>
            </w:pPr>
          </w:p>
        </w:tc>
        <w:tc>
          <w:tcPr>
            <w:tcW w:w="140" w:type="dxa"/>
            <w:vAlign w:val="bottom"/>
            <w:tcBorders>
              <w:bottom w:val="single" w:sz="8" w:color="007CBA"/>
            </w:tcBorders>
            <w:shd w:val="clear" w:color="auto" w:fill="007CBA"/>
          </w:tcPr>
          <w:p>
            <w:pPr>
              <w:spacing w:after="0"/>
              <w:rPr>
                <w:sz w:val="18"/>
                <w:szCs w:val="18"/>
                <w:color w:val="auto"/>
              </w:rPr>
            </w:pPr>
          </w:p>
        </w:tc>
        <w:tc>
          <w:tcPr>
            <w:tcW w:w="1140" w:type="dxa"/>
            <w:vAlign w:val="bottom"/>
            <w:tcBorders>
              <w:bottom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Fair Value</w:t>
            </w:r>
          </w:p>
        </w:tc>
      </w:tr>
      <w:tr>
        <w:trPr>
          <w:trHeight w:val="198"/>
        </w:trPr>
        <w:tc>
          <w:tcPr>
            <w:tcW w:w="25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January 1, 2024</w:t>
            </w:r>
          </w:p>
        </w:tc>
        <w:tc>
          <w:tcPr>
            <w:tcW w:w="14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210,643</w:t>
            </w:r>
          </w:p>
        </w:tc>
        <w:tc>
          <w:tcPr>
            <w:tcW w:w="3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289.26</w:t>
            </w:r>
          </w:p>
        </w:tc>
        <w:tc>
          <w:tcPr>
            <w:tcW w:w="1420" w:type="dxa"/>
            <w:vAlign w:val="bottom"/>
            <w:gridSpan w:val="2"/>
          </w:tcPr>
          <w:p>
            <w:pPr>
              <w:jc w:val="right"/>
              <w:ind w:right="59"/>
              <w:spacing w:after="0" w:line="193" w:lineRule="exact"/>
              <w:rPr>
                <w:sz w:val="20"/>
                <w:szCs w:val="20"/>
                <w:color w:val="auto"/>
              </w:rPr>
            </w:pPr>
            <w:r>
              <w:rPr>
                <w:rFonts w:ascii="Calibri" w:cs="Calibri" w:eastAsia="Calibri" w:hAnsi="Calibri"/>
                <w:sz w:val="16"/>
                <w:szCs w:val="16"/>
                <w:color w:val="auto"/>
              </w:rPr>
              <w:t>98,150</w:t>
            </w:r>
          </w:p>
        </w:tc>
        <w:tc>
          <w:tcPr>
            <w:tcW w:w="3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384.02</w:t>
            </w:r>
          </w:p>
        </w:tc>
        <w:tc>
          <w:tcPr>
            <w:tcW w:w="1420" w:type="dxa"/>
            <w:vAlign w:val="bottom"/>
            <w:gridSpan w:val="2"/>
          </w:tcPr>
          <w:p>
            <w:pPr>
              <w:jc w:val="right"/>
              <w:ind w:right="59"/>
              <w:spacing w:after="0" w:line="193" w:lineRule="exact"/>
              <w:rPr>
                <w:sz w:val="20"/>
                <w:szCs w:val="20"/>
                <w:color w:val="auto"/>
              </w:rPr>
            </w:pPr>
            <w:r>
              <w:rPr>
                <w:rFonts w:ascii="Calibri" w:cs="Calibri" w:eastAsia="Calibri" w:hAnsi="Calibri"/>
                <w:sz w:val="16"/>
                <w:szCs w:val="16"/>
                <w:color w:val="auto"/>
              </w:rPr>
              <w:t>17,326</w:t>
            </w:r>
          </w:p>
        </w:tc>
        <w:tc>
          <w:tcPr>
            <w:tcW w:w="3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364.09</w:t>
            </w:r>
          </w:p>
        </w:tc>
      </w:tr>
      <w:tr>
        <w:trPr>
          <w:trHeight w:val="207"/>
        </w:trPr>
        <w:tc>
          <w:tcPr>
            <w:tcW w:w="2560" w:type="dxa"/>
            <w:vAlign w:val="bottom"/>
            <w:tcBorders>
              <w:right w:val="single" w:sz="8" w:color="007CBA"/>
            </w:tcBorders>
            <w:shd w:val="clear" w:color="auto" w:fill="E5F1F8"/>
          </w:tcPr>
          <w:p>
            <w:pPr>
              <w:ind w:left="120"/>
              <w:spacing w:after="0"/>
              <w:rPr>
                <w:sz w:val="20"/>
                <w:szCs w:val="20"/>
                <w:color w:val="auto"/>
              </w:rPr>
            </w:pPr>
            <w:r>
              <w:rPr>
                <w:rFonts w:ascii="Calibri" w:cs="Calibri" w:eastAsia="Calibri" w:hAnsi="Calibri"/>
                <w:sz w:val="16"/>
                <w:szCs w:val="16"/>
                <w:color w:val="auto"/>
              </w:rPr>
              <w:t>Awarded</w:t>
            </w:r>
          </w:p>
        </w:tc>
        <w:tc>
          <w:tcPr>
            <w:tcW w:w="148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46,323</w:t>
            </w:r>
          </w:p>
        </w:tc>
        <w:tc>
          <w:tcPr>
            <w:tcW w:w="300" w:type="dxa"/>
            <w:vAlign w:val="bottom"/>
            <w:gridSpan w:val="2"/>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553.17</w:t>
            </w:r>
          </w:p>
        </w:tc>
        <w:tc>
          <w:tcPr>
            <w:tcW w:w="1420" w:type="dxa"/>
            <w:vAlign w:val="bottom"/>
            <w:gridSpan w:val="2"/>
            <w:shd w:val="clear" w:color="auto" w:fill="E5F1F8"/>
          </w:tcPr>
          <w:p>
            <w:pPr>
              <w:jc w:val="right"/>
              <w:ind w:right="59"/>
              <w:spacing w:after="0"/>
              <w:rPr>
                <w:sz w:val="20"/>
                <w:szCs w:val="20"/>
                <w:color w:val="auto"/>
              </w:rPr>
            </w:pPr>
            <w:r>
              <w:rPr>
                <w:rFonts w:ascii="Calibri" w:cs="Calibri" w:eastAsia="Calibri" w:hAnsi="Calibri"/>
                <w:sz w:val="16"/>
                <w:szCs w:val="16"/>
                <w:color w:val="auto"/>
              </w:rPr>
              <w:t>29,746</w:t>
            </w:r>
          </w:p>
        </w:tc>
        <w:tc>
          <w:tcPr>
            <w:tcW w:w="300" w:type="dxa"/>
            <w:vAlign w:val="bottom"/>
            <w:gridSpan w:val="2"/>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116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595.00</w:t>
            </w:r>
          </w:p>
        </w:tc>
        <w:tc>
          <w:tcPr>
            <w:tcW w:w="1420" w:type="dxa"/>
            <w:vAlign w:val="bottom"/>
            <w:gridSpan w:val="2"/>
            <w:shd w:val="clear" w:color="auto" w:fill="E5F1F8"/>
          </w:tcPr>
          <w:p>
            <w:pPr>
              <w:jc w:val="right"/>
              <w:ind w:right="59"/>
              <w:spacing w:after="0"/>
              <w:rPr>
                <w:sz w:val="20"/>
                <w:szCs w:val="20"/>
                <w:color w:val="auto"/>
              </w:rPr>
            </w:pPr>
            <w:r>
              <w:rPr>
                <w:rFonts w:ascii="Calibri" w:cs="Calibri" w:eastAsia="Calibri" w:hAnsi="Calibri"/>
                <w:sz w:val="16"/>
                <w:szCs w:val="16"/>
                <w:color w:val="auto"/>
              </w:rPr>
              <w:t>11,543</w:t>
            </w:r>
          </w:p>
        </w:tc>
        <w:tc>
          <w:tcPr>
            <w:tcW w:w="320" w:type="dxa"/>
            <w:vAlign w:val="bottom"/>
            <w:gridSpan w:val="2"/>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114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548.68</w:t>
            </w:r>
          </w:p>
        </w:tc>
      </w:tr>
      <w:tr>
        <w:trPr>
          <w:trHeight w:val="198"/>
        </w:trPr>
        <w:tc>
          <w:tcPr>
            <w:tcW w:w="25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Distributed</w:t>
            </w: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(60,143 )</w:t>
            </w:r>
          </w:p>
        </w:tc>
        <w:tc>
          <w:tcPr>
            <w:tcW w:w="3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307.63</w:t>
            </w:r>
          </w:p>
        </w:tc>
        <w:tc>
          <w:tcPr>
            <w:tcW w:w="14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(81,439 )</w:t>
            </w:r>
          </w:p>
        </w:tc>
        <w:tc>
          <w:tcPr>
            <w:tcW w:w="3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352.52</w:t>
            </w:r>
          </w:p>
        </w:tc>
        <w:tc>
          <w:tcPr>
            <w:tcW w:w="14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(12,760 )</w:t>
            </w:r>
          </w:p>
        </w:tc>
        <w:tc>
          <w:tcPr>
            <w:tcW w:w="3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389.15</w:t>
            </w:r>
          </w:p>
        </w:tc>
      </w:tr>
      <w:tr>
        <w:trPr>
          <w:trHeight w:val="207"/>
        </w:trPr>
        <w:tc>
          <w:tcPr>
            <w:tcW w:w="2560" w:type="dxa"/>
            <w:vAlign w:val="bottom"/>
            <w:tcBorders>
              <w:right w:val="single" w:sz="8" w:color="007CBA"/>
            </w:tcBorders>
            <w:shd w:val="clear" w:color="auto" w:fill="E5F1F8"/>
          </w:tcPr>
          <w:p>
            <w:pPr>
              <w:ind w:left="120"/>
              <w:spacing w:after="0"/>
              <w:rPr>
                <w:sz w:val="20"/>
                <w:szCs w:val="20"/>
                <w:color w:val="auto"/>
              </w:rPr>
            </w:pPr>
            <w:r>
              <w:rPr>
                <w:rFonts w:ascii="Calibri" w:cs="Calibri" w:eastAsia="Calibri" w:hAnsi="Calibri"/>
                <w:sz w:val="16"/>
                <w:szCs w:val="16"/>
                <w:color w:val="auto"/>
              </w:rPr>
              <w:t>Forfeited</w:t>
            </w:r>
          </w:p>
        </w:tc>
        <w:tc>
          <w:tcPr>
            <w:tcW w:w="1480" w:type="dxa"/>
            <w:vAlign w:val="bottom"/>
            <w:shd w:val="clear" w:color="auto" w:fill="E5F1F8"/>
          </w:tcPr>
          <w:p>
            <w:pPr>
              <w:jc w:val="right"/>
              <w:spacing w:after="0"/>
              <w:rPr>
                <w:sz w:val="20"/>
                <w:szCs w:val="20"/>
                <w:color w:val="auto"/>
              </w:rPr>
            </w:pPr>
            <w:r>
              <w:rPr>
                <w:rFonts w:ascii="Calibri" w:cs="Calibri" w:eastAsia="Calibri" w:hAnsi="Calibri"/>
                <w:sz w:val="16"/>
                <w:szCs w:val="16"/>
                <w:color w:val="auto"/>
              </w:rPr>
              <w:t>(5,289 )</w:t>
            </w:r>
          </w:p>
        </w:tc>
        <w:tc>
          <w:tcPr>
            <w:tcW w:w="300" w:type="dxa"/>
            <w:vAlign w:val="bottom"/>
            <w:gridSpan w:val="2"/>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389.70</w:t>
            </w:r>
          </w:p>
        </w:tc>
        <w:tc>
          <w:tcPr>
            <w:tcW w:w="1420" w:type="dxa"/>
            <w:vAlign w:val="bottom"/>
            <w:gridSpan w:val="2"/>
            <w:shd w:val="clear" w:color="auto" w:fill="E5F1F8"/>
          </w:tcPr>
          <w:p>
            <w:pPr>
              <w:jc w:val="right"/>
              <w:spacing w:after="0"/>
              <w:rPr>
                <w:sz w:val="20"/>
                <w:szCs w:val="20"/>
                <w:color w:val="auto"/>
              </w:rPr>
            </w:pPr>
            <w:r>
              <w:rPr>
                <w:rFonts w:ascii="Calibri" w:cs="Calibri" w:eastAsia="Calibri" w:hAnsi="Calibri"/>
                <w:sz w:val="16"/>
                <w:szCs w:val="16"/>
                <w:color w:val="auto"/>
              </w:rPr>
              <w:t>(5,490 )</w:t>
            </w:r>
          </w:p>
        </w:tc>
        <w:tc>
          <w:tcPr>
            <w:tcW w:w="300" w:type="dxa"/>
            <w:vAlign w:val="bottom"/>
            <w:gridSpan w:val="2"/>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116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443.71</w:t>
            </w:r>
          </w:p>
        </w:tc>
        <w:tc>
          <w:tcPr>
            <w:tcW w:w="1420" w:type="dxa"/>
            <w:vAlign w:val="bottom"/>
            <w:gridSpan w:val="2"/>
            <w:shd w:val="clear" w:color="auto" w:fill="E5F1F8"/>
          </w:tcPr>
          <w:p>
            <w:pPr>
              <w:jc w:val="right"/>
              <w:spacing w:after="0"/>
              <w:rPr>
                <w:sz w:val="20"/>
                <w:szCs w:val="20"/>
                <w:color w:val="auto"/>
              </w:rPr>
            </w:pPr>
            <w:r>
              <w:rPr>
                <w:rFonts w:ascii="Calibri" w:cs="Calibri" w:eastAsia="Calibri" w:hAnsi="Calibri"/>
                <w:sz w:val="16"/>
                <w:szCs w:val="16"/>
                <w:color w:val="auto"/>
              </w:rPr>
              <w:t>(566 )</w:t>
            </w:r>
          </w:p>
        </w:tc>
        <w:tc>
          <w:tcPr>
            <w:tcW w:w="320" w:type="dxa"/>
            <w:vAlign w:val="bottom"/>
            <w:gridSpan w:val="2"/>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114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400.15</w:t>
            </w:r>
          </w:p>
        </w:tc>
      </w:tr>
      <w:tr>
        <w:trPr>
          <w:trHeight w:val="198"/>
        </w:trPr>
        <w:tc>
          <w:tcPr>
            <w:tcW w:w="2560" w:type="dxa"/>
            <w:vAlign w:val="bottom"/>
            <w:tcBorders>
              <w:bottom w:val="single" w:sz="8" w:color="auto"/>
            </w:tcBorders>
          </w:tcPr>
          <w:p>
            <w:pPr>
              <w:ind w:left="120"/>
              <w:spacing w:after="0" w:line="193" w:lineRule="exact"/>
              <w:rPr>
                <w:sz w:val="20"/>
                <w:szCs w:val="20"/>
                <w:color w:val="auto"/>
              </w:rPr>
            </w:pPr>
            <w:r>
              <w:rPr>
                <w:rFonts w:ascii="Calibri" w:cs="Calibri" w:eastAsia="Calibri" w:hAnsi="Calibri"/>
                <w:sz w:val="16"/>
                <w:szCs w:val="16"/>
                <w:color w:val="auto"/>
              </w:rPr>
              <w:t>Adjustment for performance</w:t>
            </w:r>
          </w:p>
        </w:tc>
        <w:tc>
          <w:tcPr>
            <w:tcW w:w="148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color w:val="auto"/>
              </w:rPr>
              <w:t>47,537</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color w:val="auto"/>
              </w:rPr>
              <w:t>362.60</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r>
      <w:tr>
        <w:trPr>
          <w:trHeight w:val="236"/>
        </w:trPr>
        <w:tc>
          <w:tcPr>
            <w:tcW w:w="2560" w:type="dxa"/>
            <w:vAlign w:val="bottom"/>
            <w:tcBorders>
              <w:bottom w:val="single" w:sz="8" w:color="auto"/>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December 31, 2024</w:t>
            </w:r>
          </w:p>
        </w:tc>
        <w:tc>
          <w:tcPr>
            <w:tcW w:w="1480" w:type="dxa"/>
            <w:vAlign w:val="bottom"/>
            <w:tcBorders>
              <w:bottom w:val="single" w:sz="8" w:color="auto"/>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191,534</w:t>
            </w:r>
          </w:p>
        </w:tc>
        <w:tc>
          <w:tcPr>
            <w:tcW w:w="160" w:type="dxa"/>
            <w:vAlign w:val="bottom"/>
            <w:tcBorders>
              <w:bottom w:val="single" w:sz="8" w:color="E5F1F8"/>
            </w:tcBorders>
            <w:shd w:val="clear" w:color="auto" w:fill="E5F1F8"/>
          </w:tcPr>
          <w:p>
            <w:pPr>
              <w:spacing w:after="0"/>
              <w:rPr>
                <w:sz w:val="20"/>
                <w:szCs w:val="20"/>
                <w:color w:val="auto"/>
              </w:rPr>
            </w:pPr>
          </w:p>
        </w:tc>
        <w:tc>
          <w:tcPr>
            <w:tcW w:w="140" w:type="dxa"/>
            <w:vAlign w:val="bottom"/>
            <w:tcBorders>
              <w:bottom w:val="single" w:sz="8" w:color="auto"/>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auto"/>
              <w:right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370.27</w:t>
            </w:r>
          </w:p>
        </w:tc>
        <w:tc>
          <w:tcPr>
            <w:tcW w:w="120" w:type="dxa"/>
            <w:vAlign w:val="bottom"/>
            <w:tcBorders>
              <w:bottom w:val="single" w:sz="8" w:color="E5F1F8"/>
            </w:tcBorders>
            <w:shd w:val="clear" w:color="auto" w:fill="E5F1F8"/>
          </w:tcPr>
          <w:p>
            <w:pPr>
              <w:spacing w:after="0"/>
              <w:rPr>
                <w:sz w:val="20"/>
                <w:szCs w:val="20"/>
                <w:color w:val="auto"/>
              </w:rPr>
            </w:pPr>
          </w:p>
        </w:tc>
        <w:tc>
          <w:tcPr>
            <w:tcW w:w="1300" w:type="dxa"/>
            <w:vAlign w:val="bottom"/>
            <w:tcBorders>
              <w:bottom w:val="single" w:sz="8" w:color="auto"/>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88,504</w:t>
            </w:r>
          </w:p>
        </w:tc>
        <w:tc>
          <w:tcPr>
            <w:tcW w:w="160" w:type="dxa"/>
            <w:vAlign w:val="bottom"/>
            <w:tcBorders>
              <w:bottom w:val="single" w:sz="8" w:color="E5F1F8"/>
            </w:tcBorders>
            <w:shd w:val="clear" w:color="auto" w:fill="E5F1F8"/>
          </w:tcPr>
          <w:p>
            <w:pPr>
              <w:spacing w:after="0"/>
              <w:rPr>
                <w:sz w:val="20"/>
                <w:szCs w:val="20"/>
                <w:color w:val="auto"/>
              </w:rPr>
            </w:pPr>
          </w:p>
        </w:tc>
        <w:tc>
          <w:tcPr>
            <w:tcW w:w="140" w:type="dxa"/>
            <w:vAlign w:val="bottom"/>
            <w:tcBorders>
              <w:bottom w:val="single" w:sz="8" w:color="auto"/>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auto"/>
              <w:right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468.71</w:t>
            </w:r>
          </w:p>
        </w:tc>
        <w:tc>
          <w:tcPr>
            <w:tcW w:w="120" w:type="dxa"/>
            <w:vAlign w:val="bottom"/>
            <w:tcBorders>
              <w:bottom w:val="single" w:sz="8" w:color="E5F1F8"/>
            </w:tcBorders>
            <w:shd w:val="clear" w:color="auto" w:fill="E5F1F8"/>
          </w:tcPr>
          <w:p>
            <w:pPr>
              <w:spacing w:after="0"/>
              <w:rPr>
                <w:sz w:val="20"/>
                <w:szCs w:val="20"/>
                <w:color w:val="auto"/>
              </w:rPr>
            </w:pPr>
          </w:p>
        </w:tc>
        <w:tc>
          <w:tcPr>
            <w:tcW w:w="1300" w:type="dxa"/>
            <w:vAlign w:val="bottom"/>
            <w:tcBorders>
              <w:bottom w:val="single" w:sz="8" w:color="auto"/>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15,543</w:t>
            </w:r>
          </w:p>
        </w:tc>
        <w:tc>
          <w:tcPr>
            <w:tcW w:w="180" w:type="dxa"/>
            <w:vAlign w:val="bottom"/>
            <w:tcBorders>
              <w:bottom w:val="single" w:sz="8" w:color="E5F1F8"/>
            </w:tcBorders>
            <w:shd w:val="clear" w:color="auto" w:fill="E5F1F8"/>
          </w:tcPr>
          <w:p>
            <w:pPr>
              <w:spacing w:after="0"/>
              <w:rPr>
                <w:sz w:val="20"/>
                <w:szCs w:val="20"/>
                <w:color w:val="auto"/>
              </w:rPr>
            </w:pPr>
          </w:p>
        </w:tc>
        <w:tc>
          <w:tcPr>
            <w:tcW w:w="140" w:type="dxa"/>
            <w:vAlign w:val="bottom"/>
            <w:tcBorders>
              <w:bottom w:val="single" w:sz="8" w:color="auto"/>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auto"/>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497.76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205740</wp:posOffset>
            </wp:positionV>
            <wp:extent cx="325755" cy="1968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-1327785</wp:posOffset>
            </wp:positionV>
            <wp:extent cx="540067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5400675" cy="8255"/>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-303530</wp:posOffset>
            </wp:positionV>
            <wp:extent cx="34290" cy="3168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11176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-7620</wp:posOffset>
            </wp:positionV>
            <wp:extent cx="1117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-303530</wp:posOffset>
            </wp:positionV>
            <wp:extent cx="98425" cy="3168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98425" cy="31686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1111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1111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-303530</wp:posOffset>
            </wp:positionV>
            <wp:extent cx="98425" cy="3168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98425" cy="31686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1111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1111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5" w:name="page96"/>
    <w:bookmarkEnd w:id="95"/>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weighted-average grant-date fair value per share of service-based restricted stock awards granted during 2024, 2023 and 2022 was $553.17, $369.18 and $362.77, respectvely. The weighted-average grant-date fair value per share of performance-based restricted stock awards granted during 2024, 2023 and 2022 was $595.00, $392.73 and $406.99, respectvely. The weighted-average grant-date fair value per share of incentve compensaton stock awards granted during 2024, 2023 and 2022 was $548.68, $362.08 and $369.05,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aggregate intrinsic values for unvested service-based and performance-based restricted stock awards of $145 million and unvested incentve compensaton stock awards of $2 million at December 31, 2024 were based on the closing price of the Company’s common stock at December 31, 2024, which was $516.50. The aggregate intrinsic values of service-based and performance-based restricted stock awards distributed during the years ended December 31, 2024, 2023 and 2022 were $76 million, $48 million and $65 million, respectvely. The aggregate intrinsic values of incentve compensaton stock awards distributed during the years ended December 31, 2024, 2023 and 2022 were $4 million, $4 million and $3 million, respectvely. The aggregate intrinsic values for distributed awards were based on the closing prices of the Company’s common stock on the dates of distributon.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Prior to 2016, under the Plans, the Company granted optons to employees to purchase its common stock at a price equal to the closing market value at the date of grant. Optons become exercisable in four annual installments beginning one year afer date of grant. Outstanding optons expire ten years afer the grant date.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includes summary informaton for stock optons as of December 31,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Borders>
              <w:right w:val="single" w:sz="8" w:color="007CBA"/>
            </w:tcBorders>
            <w:shd w:val="clear" w:color="auto" w:fill="007CBA"/>
          </w:tcPr>
          <w:p>
            <w:pPr>
              <w:spacing w:after="0"/>
              <w:rPr>
                <w:sz w:val="19"/>
                <w:szCs w:val="19"/>
                <w:color w:val="auto"/>
              </w:rPr>
            </w:pPr>
          </w:p>
        </w:tc>
        <w:tc>
          <w:tcPr>
            <w:tcW w:w="1640" w:type="dxa"/>
            <w:vAlign w:val="bottom"/>
            <w:tcBorders>
              <w:right w:val="single" w:sz="8" w:color="007CBA"/>
            </w:tcBorders>
            <w:shd w:val="clear" w:color="auto" w:fill="007CBA"/>
          </w:tcPr>
          <w:p>
            <w:pPr>
              <w:spacing w:after="0"/>
              <w:rPr>
                <w:sz w:val="19"/>
                <w:szCs w:val="19"/>
                <w:color w:val="auto"/>
              </w:rPr>
            </w:pPr>
          </w:p>
        </w:tc>
        <w:tc>
          <w:tcPr>
            <w:tcW w:w="360" w:type="dxa"/>
            <w:vAlign w:val="bottom"/>
            <w:shd w:val="clear" w:color="auto" w:fill="007CBA"/>
          </w:tcPr>
          <w:p>
            <w:pPr>
              <w:spacing w:after="0"/>
              <w:rPr>
                <w:sz w:val="19"/>
                <w:szCs w:val="19"/>
                <w:color w:val="auto"/>
              </w:rPr>
            </w:pPr>
          </w:p>
        </w:tc>
        <w:tc>
          <w:tcPr>
            <w:tcW w:w="126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jc w:val="center"/>
              <w:spacing w:after="0"/>
              <w:rPr>
                <w:sz w:val="20"/>
                <w:szCs w:val="20"/>
                <w:color w:val="auto"/>
              </w:rPr>
            </w:pPr>
            <w:r>
              <w:rPr>
                <w:rFonts w:ascii="Calibri" w:cs="Calibri" w:eastAsia="Calibri" w:hAnsi="Calibri"/>
                <w:sz w:val="18"/>
                <w:szCs w:val="18"/>
                <w:b w:val="1"/>
                <w:bCs w:val="1"/>
                <w:color w:val="FFFFFF"/>
                <w:w w:val="99"/>
              </w:rPr>
              <w:t>Weighted-</w:t>
            </w:r>
          </w:p>
        </w:tc>
      </w:tr>
      <w:tr>
        <w:trPr>
          <w:trHeight w:val="215"/>
        </w:trPr>
        <w:tc>
          <w:tcPr>
            <w:tcW w:w="6360" w:type="dxa"/>
            <w:vAlign w:val="bottom"/>
            <w:tcBorders>
              <w:right w:val="single" w:sz="8" w:color="007CBA"/>
            </w:tcBorders>
            <w:shd w:val="clear" w:color="auto" w:fill="007CBA"/>
          </w:tcPr>
          <w:p>
            <w:pPr>
              <w:spacing w:after="0"/>
              <w:rPr>
                <w:sz w:val="18"/>
                <w:szCs w:val="18"/>
                <w:color w:val="auto"/>
              </w:rPr>
            </w:pPr>
          </w:p>
        </w:tc>
        <w:tc>
          <w:tcPr>
            <w:tcW w:w="164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jc w:val="center"/>
              <w:ind w:right="250"/>
              <w:spacing w:after="0" w:line="215" w:lineRule="exact"/>
              <w:rPr>
                <w:sz w:val="20"/>
                <w:szCs w:val="20"/>
                <w:color w:val="auto"/>
              </w:rPr>
            </w:pPr>
            <w:r>
              <w:rPr>
                <w:rFonts w:ascii="Calibri" w:cs="Calibri" w:eastAsia="Calibri" w:hAnsi="Calibri"/>
                <w:sz w:val="18"/>
                <w:szCs w:val="18"/>
                <w:b w:val="1"/>
                <w:bCs w:val="1"/>
                <w:color w:val="FFFFFF"/>
                <w:w w:val="96"/>
              </w:rPr>
              <w:t>Weighted-</w:t>
            </w:r>
          </w:p>
        </w:tc>
        <w:tc>
          <w:tcPr>
            <w:tcW w:w="1620" w:type="dxa"/>
            <w:vAlign w:val="bottom"/>
            <w:shd w:val="clear" w:color="auto" w:fill="007CBA"/>
          </w:tcPr>
          <w:p>
            <w:pPr>
              <w:jc w:val="center"/>
              <w:spacing w:after="0" w:line="215" w:lineRule="exact"/>
              <w:rPr>
                <w:sz w:val="20"/>
                <w:szCs w:val="20"/>
                <w:color w:val="auto"/>
              </w:rPr>
            </w:pPr>
            <w:r>
              <w:rPr>
                <w:rFonts w:ascii="Calibri" w:cs="Calibri" w:eastAsia="Calibri" w:hAnsi="Calibri"/>
                <w:sz w:val="18"/>
                <w:szCs w:val="18"/>
                <w:b w:val="1"/>
                <w:bCs w:val="1"/>
                <w:color w:val="FFFFFF"/>
                <w:w w:val="97"/>
              </w:rPr>
              <w:t>Average</w:t>
            </w:r>
          </w:p>
        </w:tc>
      </w:tr>
      <w:tr>
        <w:trPr>
          <w:trHeight w:val="216"/>
        </w:trPr>
        <w:tc>
          <w:tcPr>
            <w:tcW w:w="6360" w:type="dxa"/>
            <w:vAlign w:val="bottom"/>
            <w:tcBorders>
              <w:right w:val="single" w:sz="8" w:color="007CBA"/>
            </w:tcBorders>
            <w:shd w:val="clear" w:color="auto" w:fill="007CBA"/>
          </w:tcPr>
          <w:p>
            <w:pPr>
              <w:spacing w:after="0"/>
              <w:rPr>
                <w:sz w:val="18"/>
                <w:szCs w:val="18"/>
                <w:color w:val="auto"/>
              </w:rPr>
            </w:pPr>
          </w:p>
        </w:tc>
        <w:tc>
          <w:tcPr>
            <w:tcW w:w="164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jc w:val="center"/>
              <w:ind w:right="290"/>
              <w:spacing w:after="0" w:line="216" w:lineRule="exact"/>
              <w:rPr>
                <w:sz w:val="20"/>
                <w:szCs w:val="20"/>
                <w:color w:val="auto"/>
              </w:rPr>
            </w:pPr>
            <w:r>
              <w:rPr>
                <w:rFonts w:ascii="Calibri" w:cs="Calibri" w:eastAsia="Calibri" w:hAnsi="Calibri"/>
                <w:sz w:val="18"/>
                <w:szCs w:val="18"/>
                <w:b w:val="1"/>
                <w:bCs w:val="1"/>
                <w:color w:val="FFFFFF"/>
                <w:w w:val="97"/>
              </w:rPr>
              <w:t>Average</w:t>
            </w:r>
          </w:p>
        </w:tc>
        <w:tc>
          <w:tcPr>
            <w:tcW w:w="1620" w:type="dxa"/>
            <w:vAlign w:val="bottom"/>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8"/>
              </w:rPr>
              <w:t>Remaining</w:t>
            </w:r>
          </w:p>
        </w:tc>
      </w:tr>
      <w:tr>
        <w:trPr>
          <w:trHeight w:val="216"/>
        </w:trPr>
        <w:tc>
          <w:tcPr>
            <w:tcW w:w="6360" w:type="dxa"/>
            <w:vAlign w:val="bottom"/>
            <w:tcBorders>
              <w:right w:val="single" w:sz="8" w:color="007CBA"/>
            </w:tcBorders>
            <w:shd w:val="clear" w:color="auto" w:fill="007CBA"/>
          </w:tcPr>
          <w:p>
            <w:pPr>
              <w:spacing w:after="0"/>
              <w:rPr>
                <w:sz w:val="18"/>
                <w:szCs w:val="18"/>
                <w:color w:val="auto"/>
              </w:rPr>
            </w:pPr>
          </w:p>
        </w:tc>
        <w:tc>
          <w:tcPr>
            <w:tcW w:w="1640" w:type="dxa"/>
            <w:vAlign w:val="bottom"/>
            <w:tcBorders>
              <w:right w:val="single" w:sz="8" w:color="007CBA"/>
            </w:tcBorders>
            <w:shd w:val="clear" w:color="auto" w:fill="007CBA"/>
          </w:tcPr>
          <w:p>
            <w:pPr>
              <w:jc w:val="right"/>
              <w:ind w:right="310"/>
              <w:spacing w:after="0" w:line="216" w:lineRule="exact"/>
              <w:rPr>
                <w:sz w:val="20"/>
                <w:szCs w:val="20"/>
                <w:color w:val="auto"/>
              </w:rPr>
            </w:pPr>
            <w:r>
              <w:rPr>
                <w:rFonts w:ascii="Calibri" w:cs="Calibri" w:eastAsia="Calibri" w:hAnsi="Calibri"/>
                <w:sz w:val="18"/>
                <w:szCs w:val="18"/>
                <w:b w:val="1"/>
                <w:bCs w:val="1"/>
                <w:color w:val="FFFFFF"/>
              </w:rPr>
              <w:t>Number of</w:t>
            </w:r>
          </w:p>
        </w:tc>
        <w:tc>
          <w:tcPr>
            <w:tcW w:w="360" w:type="dxa"/>
            <w:vAlign w:val="bottom"/>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jc w:val="center"/>
              <w:ind w:right="290"/>
              <w:spacing w:after="0" w:line="216" w:lineRule="exact"/>
              <w:rPr>
                <w:sz w:val="20"/>
                <w:szCs w:val="20"/>
                <w:color w:val="auto"/>
              </w:rPr>
            </w:pPr>
            <w:r>
              <w:rPr>
                <w:rFonts w:ascii="Calibri" w:cs="Calibri" w:eastAsia="Calibri" w:hAnsi="Calibri"/>
                <w:sz w:val="18"/>
                <w:szCs w:val="18"/>
                <w:b w:val="1"/>
                <w:bCs w:val="1"/>
                <w:color w:val="FFFFFF"/>
                <w:w w:val="98"/>
              </w:rPr>
              <w:t>Exercise</w:t>
            </w:r>
          </w:p>
        </w:tc>
        <w:tc>
          <w:tcPr>
            <w:tcW w:w="1620" w:type="dxa"/>
            <w:vAlign w:val="bottom"/>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6"/>
              </w:rPr>
              <w:t>Contractual Life</w:t>
            </w:r>
          </w:p>
        </w:tc>
      </w:tr>
      <w:tr>
        <w:trPr>
          <w:trHeight w:val="233"/>
        </w:trPr>
        <w:tc>
          <w:tcPr>
            <w:tcW w:w="6360" w:type="dxa"/>
            <w:vAlign w:val="bottom"/>
            <w:tcBorders>
              <w:bottom w:val="single" w:sz="8" w:color="007CBA"/>
              <w:right w:val="single" w:sz="8" w:color="007CBA"/>
            </w:tcBorders>
            <w:shd w:val="clear" w:color="auto" w:fill="007CBA"/>
          </w:tcPr>
          <w:p>
            <w:pPr>
              <w:spacing w:after="0"/>
              <w:rPr>
                <w:sz w:val="20"/>
                <w:szCs w:val="20"/>
                <w:color w:val="auto"/>
              </w:rPr>
            </w:pPr>
          </w:p>
        </w:tc>
        <w:tc>
          <w:tcPr>
            <w:tcW w:w="1640" w:type="dxa"/>
            <w:vAlign w:val="bottom"/>
            <w:tcBorders>
              <w:bottom w:val="single" w:sz="8" w:color="007CBA"/>
              <w:right w:val="single" w:sz="8" w:color="007CBA"/>
            </w:tcBorders>
            <w:shd w:val="clear" w:color="auto" w:fill="007CBA"/>
          </w:tcPr>
          <w:p>
            <w:pPr>
              <w:jc w:val="right"/>
              <w:ind w:right="430"/>
              <w:spacing w:after="0" w:line="216" w:lineRule="exact"/>
              <w:rPr>
                <w:sz w:val="20"/>
                <w:szCs w:val="20"/>
                <w:color w:val="auto"/>
              </w:rPr>
            </w:pPr>
            <w:r>
              <w:rPr>
                <w:rFonts w:ascii="Calibri" w:cs="Calibri" w:eastAsia="Calibri" w:hAnsi="Calibri"/>
                <w:sz w:val="18"/>
                <w:szCs w:val="18"/>
                <w:b w:val="1"/>
                <w:bCs w:val="1"/>
                <w:color w:val="FFFFFF"/>
              </w:rPr>
              <w:t>Optons</w:t>
            </w:r>
          </w:p>
        </w:tc>
        <w:tc>
          <w:tcPr>
            <w:tcW w:w="360" w:type="dxa"/>
            <w:vAlign w:val="bottom"/>
            <w:tcBorders>
              <w:bottom w:val="single" w:sz="8" w:color="007CBA"/>
            </w:tcBorders>
            <w:shd w:val="clear" w:color="auto" w:fill="007CBA"/>
          </w:tcPr>
          <w:p>
            <w:pPr>
              <w:spacing w:after="0"/>
              <w:rPr>
                <w:sz w:val="20"/>
                <w:szCs w:val="20"/>
                <w:color w:val="auto"/>
              </w:rPr>
            </w:pPr>
          </w:p>
        </w:tc>
        <w:tc>
          <w:tcPr>
            <w:tcW w:w="1260" w:type="dxa"/>
            <w:vAlign w:val="bottom"/>
            <w:tcBorders>
              <w:bottom w:val="single" w:sz="8" w:color="007CBA"/>
              <w:right w:val="single" w:sz="8" w:color="007CBA"/>
            </w:tcBorders>
            <w:shd w:val="clear" w:color="auto" w:fill="007CBA"/>
          </w:tcPr>
          <w:p>
            <w:pPr>
              <w:jc w:val="center"/>
              <w:ind w:right="250"/>
              <w:spacing w:after="0" w:line="216" w:lineRule="exact"/>
              <w:rPr>
                <w:sz w:val="20"/>
                <w:szCs w:val="20"/>
                <w:color w:val="auto"/>
              </w:rPr>
            </w:pPr>
            <w:r>
              <w:rPr>
                <w:rFonts w:ascii="Calibri" w:cs="Calibri" w:eastAsia="Calibri" w:hAnsi="Calibri"/>
                <w:sz w:val="18"/>
                <w:szCs w:val="18"/>
                <w:b w:val="1"/>
                <w:bCs w:val="1"/>
                <w:color w:val="FFFFFF"/>
                <w:w w:val="97"/>
              </w:rPr>
              <w:t>Price</w:t>
            </w:r>
          </w:p>
        </w:tc>
        <w:tc>
          <w:tcPr>
            <w:tcW w:w="1620" w:type="dxa"/>
            <w:vAlign w:val="bottom"/>
            <w:tcBorders>
              <w:bottom w:val="single" w:sz="8" w:color="007CBA"/>
            </w:tcBorders>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7"/>
              </w:rPr>
              <w:t>(years)</w:t>
            </w:r>
          </w:p>
        </w:tc>
      </w:tr>
      <w:tr>
        <w:trPr>
          <w:trHeight w:val="216"/>
        </w:trPr>
        <w:tc>
          <w:tcPr>
            <w:tcW w:w="6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Outstanding at January 1, 2024</w:t>
            </w:r>
          </w:p>
        </w:tc>
        <w:tc>
          <w:tcPr>
            <w:tcW w:w="16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6,103</w:t>
            </w:r>
          </w:p>
        </w:tc>
        <w:tc>
          <w:tcPr>
            <w:tcW w:w="3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144.14</w:t>
            </w:r>
          </w:p>
        </w:tc>
        <w:tc>
          <w:tcPr>
            <w:tcW w:w="1620" w:type="dxa"/>
            <w:vAlign w:val="bottom"/>
          </w:tcPr>
          <w:p>
            <w:pPr>
              <w:spacing w:after="0"/>
              <w:rPr>
                <w:sz w:val="18"/>
                <w:szCs w:val="18"/>
                <w:color w:val="auto"/>
              </w:rPr>
            </w:pPr>
          </w:p>
        </w:tc>
      </w:tr>
      <w:tr>
        <w:trPr>
          <w:trHeight w:val="235"/>
        </w:trPr>
        <w:tc>
          <w:tcPr>
            <w:tcW w:w="6360" w:type="dxa"/>
            <w:vAlign w:val="bottom"/>
            <w:tcBorders>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Exercised</w:t>
            </w:r>
          </w:p>
        </w:tc>
        <w:tc>
          <w:tcPr>
            <w:tcW w:w="1640" w:type="dxa"/>
            <w:vAlign w:val="bottom"/>
            <w:tcBorders>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(2,480 )</w:t>
            </w:r>
          </w:p>
        </w:tc>
        <w:tc>
          <w:tcPr>
            <w:tcW w:w="360" w:type="dxa"/>
            <w:vAlign w:val="bottom"/>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128.89</w:t>
            </w:r>
          </w:p>
        </w:tc>
        <w:tc>
          <w:tcPr>
            <w:tcW w:w="1620" w:type="dxa"/>
            <w:vAlign w:val="bottom"/>
            <w:shd w:val="clear" w:color="auto" w:fill="E5F1F8"/>
          </w:tcPr>
          <w:p>
            <w:pPr>
              <w:spacing w:after="0"/>
              <w:rPr>
                <w:sz w:val="20"/>
                <w:szCs w:val="20"/>
                <w:color w:val="auto"/>
              </w:rPr>
            </w:pPr>
          </w:p>
        </w:tc>
      </w:tr>
      <w:tr>
        <w:trPr>
          <w:trHeight w:val="190"/>
        </w:trPr>
        <w:tc>
          <w:tcPr>
            <w:tcW w:w="6360" w:type="dxa"/>
            <w:vAlign w:val="bottom"/>
            <w:tcBorders>
              <w:top w:val="single" w:sz="8" w:color="auto"/>
              <w:bottom w:val="single" w:sz="8" w:color="auto"/>
            </w:tcBorders>
          </w:tcPr>
          <w:p>
            <w:pPr>
              <w:ind w:left="120"/>
              <w:spacing w:after="0" w:line="190" w:lineRule="exact"/>
              <w:rPr>
                <w:sz w:val="20"/>
                <w:szCs w:val="20"/>
                <w:color w:val="auto"/>
              </w:rPr>
            </w:pPr>
            <w:r>
              <w:rPr>
                <w:rFonts w:ascii="Calibri" w:cs="Calibri" w:eastAsia="Calibri" w:hAnsi="Calibri"/>
                <w:sz w:val="18"/>
                <w:szCs w:val="18"/>
                <w:color w:val="auto"/>
              </w:rPr>
              <w:t>Outstanding at December 31, 2024</w:t>
            </w:r>
          </w:p>
        </w:tc>
        <w:tc>
          <w:tcPr>
            <w:tcW w:w="1640" w:type="dxa"/>
            <w:vAlign w:val="bottom"/>
            <w:tcBorders>
              <w:top w:val="single" w:sz="8" w:color="auto"/>
              <w:bottom w:val="single" w:sz="8" w:color="auto"/>
            </w:tcBorders>
          </w:tcPr>
          <w:p>
            <w:pPr>
              <w:jc w:val="right"/>
              <w:ind w:right="50"/>
              <w:spacing w:after="0" w:line="190" w:lineRule="exact"/>
              <w:rPr>
                <w:sz w:val="20"/>
                <w:szCs w:val="20"/>
                <w:color w:val="auto"/>
              </w:rPr>
            </w:pPr>
            <w:r>
              <w:rPr>
                <w:rFonts w:ascii="Calibri" w:cs="Calibri" w:eastAsia="Calibri" w:hAnsi="Calibri"/>
                <w:sz w:val="18"/>
                <w:szCs w:val="18"/>
                <w:color w:val="auto"/>
              </w:rPr>
              <w:t>3,623</w:t>
            </w:r>
          </w:p>
        </w:tc>
        <w:tc>
          <w:tcPr>
            <w:tcW w:w="360" w:type="dxa"/>
            <w:vAlign w:val="bottom"/>
            <w:tcBorders>
              <w:top w:val="single" w:sz="8" w:color="E5F1F8"/>
            </w:tcBorders>
          </w:tcPr>
          <w:p>
            <w:pPr>
              <w:jc w:val="right"/>
              <w:ind w:right="10"/>
              <w:spacing w:after="0" w:line="190" w:lineRule="exact"/>
              <w:rPr>
                <w:sz w:val="20"/>
                <w:szCs w:val="20"/>
                <w:color w:val="auto"/>
              </w:rPr>
            </w:pPr>
            <w:r>
              <w:rPr>
                <w:rFonts w:ascii="Calibri" w:cs="Calibri" w:eastAsia="Calibri" w:hAnsi="Calibri"/>
                <w:sz w:val="18"/>
                <w:szCs w:val="18"/>
                <w:color w:val="auto"/>
              </w:rPr>
              <w:t>$</w:t>
            </w:r>
          </w:p>
        </w:tc>
        <w:tc>
          <w:tcPr>
            <w:tcW w:w="1260" w:type="dxa"/>
            <w:vAlign w:val="bottom"/>
            <w:tcBorders>
              <w:top w:val="single" w:sz="8" w:color="E5F1F8"/>
              <w:right w:val="single" w:sz="8" w:color="007CBA"/>
            </w:tcBorders>
          </w:tcPr>
          <w:p>
            <w:pPr>
              <w:jc w:val="right"/>
              <w:ind w:right="50"/>
              <w:spacing w:after="0" w:line="190" w:lineRule="exact"/>
              <w:rPr>
                <w:sz w:val="20"/>
                <w:szCs w:val="20"/>
                <w:color w:val="auto"/>
              </w:rPr>
            </w:pPr>
            <w:r>
              <w:rPr>
                <w:rFonts w:ascii="Calibri" w:cs="Calibri" w:eastAsia="Calibri" w:hAnsi="Calibri"/>
                <w:sz w:val="18"/>
                <w:szCs w:val="18"/>
                <w:color w:val="auto"/>
              </w:rPr>
              <w:t>154.58</w:t>
            </w:r>
          </w:p>
        </w:tc>
        <w:tc>
          <w:tcPr>
            <w:tcW w:w="1620" w:type="dxa"/>
            <w:vAlign w:val="bottom"/>
            <w:tcBorders>
              <w:top w:val="single" w:sz="8" w:color="E5F1F8"/>
            </w:tcBorders>
          </w:tcPr>
          <w:p>
            <w:pPr>
              <w:jc w:val="right"/>
              <w:ind w:right="50"/>
              <w:spacing w:after="0" w:line="190" w:lineRule="exact"/>
              <w:rPr>
                <w:sz w:val="20"/>
                <w:szCs w:val="20"/>
                <w:color w:val="auto"/>
              </w:rPr>
            </w:pPr>
            <w:r>
              <w:rPr>
                <w:rFonts w:ascii="Calibri" w:cs="Calibri" w:eastAsia="Calibri" w:hAnsi="Calibri"/>
                <w:sz w:val="18"/>
                <w:szCs w:val="18"/>
                <w:color w:val="auto"/>
              </w:rPr>
              <w:t>0.4</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right w:val="single" w:sz="8" w:color="007CBA"/>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7"/>
        </w:trPr>
        <w:tc>
          <w:tcPr>
            <w:tcW w:w="6360" w:type="dxa"/>
            <w:vAlign w:val="bottom"/>
            <w:tcBorders>
              <w:right w:val="single" w:sz="8" w:color="007CBA"/>
            </w:tcBorders>
            <w:shd w:val="clear" w:color="auto" w:fill="E5F1F8"/>
          </w:tcPr>
          <w:p>
            <w:pPr>
              <w:spacing w:after="0"/>
              <w:rPr>
                <w:sz w:val="17"/>
                <w:szCs w:val="17"/>
                <w:color w:val="auto"/>
              </w:rPr>
            </w:pPr>
          </w:p>
        </w:tc>
        <w:tc>
          <w:tcPr>
            <w:tcW w:w="1640" w:type="dxa"/>
            <w:vAlign w:val="bottom"/>
            <w:tcBorders>
              <w:right w:val="single" w:sz="8" w:color="007CBA"/>
            </w:tcBorders>
            <w:shd w:val="clear" w:color="auto" w:fill="E5F1F8"/>
          </w:tcPr>
          <w:p>
            <w:pPr>
              <w:spacing w:after="0"/>
              <w:rPr>
                <w:sz w:val="17"/>
                <w:szCs w:val="17"/>
                <w:color w:val="auto"/>
              </w:rPr>
            </w:pPr>
          </w:p>
        </w:tc>
        <w:tc>
          <w:tcPr>
            <w:tcW w:w="360" w:type="dxa"/>
            <w:vAlign w:val="bottom"/>
            <w:shd w:val="clear" w:color="auto" w:fill="E5F1F8"/>
          </w:tcPr>
          <w:p>
            <w:pPr>
              <w:spacing w:after="0"/>
              <w:rPr>
                <w:sz w:val="17"/>
                <w:szCs w:val="17"/>
                <w:color w:val="auto"/>
              </w:rPr>
            </w:pPr>
          </w:p>
        </w:tc>
        <w:tc>
          <w:tcPr>
            <w:tcW w:w="1260" w:type="dxa"/>
            <w:vAlign w:val="bottom"/>
            <w:tcBorders>
              <w:right w:val="single" w:sz="8" w:color="007CBA"/>
            </w:tcBorders>
            <w:shd w:val="clear" w:color="auto" w:fill="E5F1F8"/>
          </w:tcPr>
          <w:p>
            <w:pPr>
              <w:spacing w:after="0"/>
              <w:rPr>
                <w:sz w:val="17"/>
                <w:szCs w:val="17"/>
                <w:color w:val="auto"/>
              </w:rPr>
            </w:pPr>
          </w:p>
        </w:tc>
        <w:tc>
          <w:tcPr>
            <w:tcW w:w="1620" w:type="dxa"/>
            <w:vAlign w:val="bottom"/>
            <w:shd w:val="clear" w:color="auto" w:fill="E5F1F8"/>
          </w:tcPr>
          <w:p>
            <w:pPr>
              <w:spacing w:after="0"/>
              <w:rPr>
                <w:sz w:val="17"/>
                <w:szCs w:val="17"/>
                <w:color w:val="auto"/>
              </w:rPr>
            </w:pPr>
          </w:p>
        </w:tc>
      </w:tr>
      <w:tr>
        <w:trPr>
          <w:trHeight w:val="215"/>
        </w:trPr>
        <w:tc>
          <w:tcPr>
            <w:tcW w:w="636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Exercisable at December 31, 2024</w:t>
            </w:r>
          </w:p>
        </w:tc>
        <w:tc>
          <w:tcPr>
            <w:tcW w:w="16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3,623</w:t>
            </w:r>
          </w:p>
        </w:tc>
        <w:tc>
          <w:tcPr>
            <w:tcW w:w="3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154.58</w:t>
            </w:r>
          </w:p>
        </w:tc>
        <w:tc>
          <w:tcPr>
            <w:tcW w:w="16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4673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7132320" cy="467360"/>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-157480</wp:posOffset>
            </wp:positionV>
            <wp:extent cx="33655" cy="1708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-157480</wp:posOffset>
            </wp:positionV>
            <wp:extent cx="33655" cy="1708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-157480</wp:posOffset>
            </wp:positionV>
            <wp:extent cx="34290" cy="1708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34290" cy="17081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aggregate intrinsic values of optons exercised during each of the three years ended December 31, 2024, 2023 and 2022 were immaterial. The aggregate intrinsic values for optons outstanding and exercisable at December 31, 2024 were immaterial and were based on the closing price of the Company’s common stock at December 31, 2024, which was $516.50.</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2024, there were approximately 0.3 million awards available for grant under the Plans. In 2016, the Company’s shareholders approved the issuance of an additonal 0.8 million shares of common stock under the Plans.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1996, the Company adopted the Shareholder Value Achievement Plan to award shares of the Company’s common stock to key senior employees based on certain common stock performance criteria over a long-term period. As of December 31, 2024, 0.2 million shares of common stock remain reserved for issuance. No awards have been granted under this plan since 2000.</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adopted and the shareholders approved the Common Stock Purchase Plan for Directors in 1996, which provides nonemployee members of the Board of Directors the electon to receive all or a porton of their total fees in the form of the Company’s common stock. Beginning in 2016, members of the Board of Directors were not required to defer any of their fees in the form of the Company’s common stock. Under the terms of this plan, 0.3 million shares of common stock were reserved for issuance. Nonemployee members of the Board of Directors elected to defer portons of their fees representng 834, 1,333 and 1,767 shares of the Company’s common stock under this plan during 2024, 2023 and 2022,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85725</wp:posOffset>
            </wp:positionV>
            <wp:extent cx="325755" cy="1968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6" w:name="page97"/>
    <w:bookmarkEnd w:id="96"/>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summarizes stock-based compensaton expense for the years ended December 31, 2024, 2023 and 2022, unrecognized compensaton cost for nonvested awards at December 31, 2024 and the weighted-average period over which unrecognized compensaton cost will be recognized: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8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jc w:val="center"/>
              <w:ind w:right="230"/>
              <w:spacing w:after="0"/>
              <w:rPr>
                <w:sz w:val="20"/>
                <w:szCs w:val="20"/>
                <w:color w:val="auto"/>
              </w:rPr>
            </w:pPr>
            <w:r>
              <w:rPr>
                <w:rFonts w:ascii="Calibri" w:cs="Calibri" w:eastAsia="Calibri" w:hAnsi="Calibri"/>
                <w:sz w:val="18"/>
                <w:szCs w:val="18"/>
                <w:b w:val="1"/>
                <w:bCs w:val="1"/>
                <w:color w:val="FFFFFF"/>
                <w:w w:val="97"/>
              </w:rPr>
              <w:t>Restricted</w:t>
            </w:r>
          </w:p>
        </w:tc>
        <w:tc>
          <w:tcPr>
            <w:tcW w:w="300" w:type="dxa"/>
            <w:vAlign w:val="bottom"/>
            <w:shd w:val="clear" w:color="auto" w:fill="007CBA"/>
          </w:tcPr>
          <w:p>
            <w:pPr>
              <w:spacing w:after="0"/>
              <w:rPr>
                <w:sz w:val="19"/>
                <w:szCs w:val="19"/>
                <w:color w:val="auto"/>
              </w:rPr>
            </w:pPr>
          </w:p>
        </w:tc>
        <w:tc>
          <w:tcPr>
            <w:tcW w:w="1100" w:type="dxa"/>
            <w:vAlign w:val="bottom"/>
            <w:tcBorders>
              <w:right w:val="single" w:sz="8" w:color="007CBA"/>
            </w:tcBorders>
            <w:shd w:val="clear" w:color="auto" w:fill="007CBA"/>
          </w:tcPr>
          <w:p>
            <w:pPr>
              <w:spacing w:after="0"/>
              <w:rPr>
                <w:sz w:val="19"/>
                <w:szCs w:val="19"/>
                <w:color w:val="auto"/>
              </w:rPr>
            </w:pPr>
          </w:p>
        </w:tc>
        <w:tc>
          <w:tcPr>
            <w:tcW w:w="26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020" w:type="dxa"/>
            <w:vAlign w:val="bottom"/>
            <w:shd w:val="clear" w:color="auto" w:fill="007CBA"/>
          </w:tcPr>
          <w:p>
            <w:pPr>
              <w:spacing w:after="0"/>
              <w:rPr>
                <w:sz w:val="19"/>
                <w:szCs w:val="19"/>
                <w:color w:val="auto"/>
              </w:rPr>
            </w:pPr>
          </w:p>
        </w:tc>
      </w:tr>
      <w:tr>
        <w:trPr>
          <w:trHeight w:val="215"/>
        </w:trPr>
        <w:tc>
          <w:tcPr>
            <w:tcW w:w="558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ind w:right="210"/>
              <w:spacing w:after="0" w:line="215" w:lineRule="exact"/>
              <w:rPr>
                <w:sz w:val="20"/>
                <w:szCs w:val="20"/>
                <w:color w:val="auto"/>
              </w:rPr>
            </w:pPr>
            <w:r>
              <w:rPr>
                <w:rFonts w:ascii="Calibri" w:cs="Calibri" w:eastAsia="Calibri" w:hAnsi="Calibri"/>
                <w:sz w:val="18"/>
                <w:szCs w:val="18"/>
                <w:b w:val="1"/>
                <w:bCs w:val="1"/>
                <w:color w:val="FFFFFF"/>
                <w:w w:val="98"/>
              </w:rPr>
              <w:t>Stock</w:t>
            </w:r>
          </w:p>
        </w:tc>
        <w:tc>
          <w:tcPr>
            <w:tcW w:w="30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020" w:type="dxa"/>
            <w:vAlign w:val="bottom"/>
            <w:shd w:val="clear" w:color="auto" w:fill="007CBA"/>
          </w:tcPr>
          <w:p>
            <w:pPr>
              <w:spacing w:after="0"/>
              <w:rPr>
                <w:sz w:val="18"/>
                <w:szCs w:val="18"/>
                <w:color w:val="auto"/>
              </w:rPr>
            </w:pPr>
          </w:p>
        </w:tc>
      </w:tr>
      <w:tr>
        <w:trPr>
          <w:trHeight w:val="216"/>
        </w:trPr>
        <w:tc>
          <w:tcPr>
            <w:tcW w:w="5580" w:type="dxa"/>
            <w:vAlign w:val="bottom"/>
            <w:tcBorders>
              <w:right w:val="single" w:sz="8" w:color="007CBA"/>
            </w:tcBorders>
            <w:shd w:val="clear" w:color="auto" w:fill="007CBA"/>
          </w:tcPr>
          <w:p>
            <w:pPr>
              <w:spacing w:after="0"/>
              <w:rPr>
                <w:sz w:val="18"/>
                <w:szCs w:val="18"/>
                <w:color w:val="auto"/>
              </w:rPr>
            </w:pPr>
          </w:p>
        </w:tc>
        <w:tc>
          <w:tcPr>
            <w:tcW w:w="1460" w:type="dxa"/>
            <w:vAlign w:val="bottom"/>
            <w:tcBorders>
              <w:right w:val="single" w:sz="8" w:color="007CBA"/>
            </w:tcBorders>
            <w:gridSpan w:val="2"/>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6"/>
              </w:rPr>
              <w:t>(Service- and</w:t>
            </w:r>
          </w:p>
        </w:tc>
        <w:tc>
          <w:tcPr>
            <w:tcW w:w="30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center"/>
              <w:ind w:right="210"/>
              <w:spacing w:after="0" w:line="216" w:lineRule="exact"/>
              <w:rPr>
                <w:sz w:val="20"/>
                <w:szCs w:val="20"/>
                <w:color w:val="auto"/>
              </w:rPr>
            </w:pPr>
            <w:r>
              <w:rPr>
                <w:rFonts w:ascii="Calibri" w:cs="Calibri" w:eastAsia="Calibri" w:hAnsi="Calibri"/>
                <w:sz w:val="18"/>
                <w:szCs w:val="18"/>
                <w:b w:val="1"/>
                <w:bCs w:val="1"/>
                <w:color w:val="FFFFFF"/>
              </w:rPr>
              <w:t>Incentve</w:t>
            </w:r>
          </w:p>
        </w:tc>
        <w:tc>
          <w:tcPr>
            <w:tcW w:w="26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ind w:right="150"/>
              <w:spacing w:after="0" w:line="216" w:lineRule="exact"/>
              <w:rPr>
                <w:sz w:val="20"/>
                <w:szCs w:val="20"/>
                <w:color w:val="auto"/>
              </w:rPr>
            </w:pPr>
            <w:r>
              <w:rPr>
                <w:rFonts w:ascii="Calibri" w:cs="Calibri" w:eastAsia="Calibri" w:hAnsi="Calibri"/>
                <w:sz w:val="18"/>
                <w:szCs w:val="18"/>
                <w:b w:val="1"/>
                <w:bCs w:val="1"/>
                <w:color w:val="FFFFFF"/>
                <w:w w:val="95"/>
              </w:rPr>
              <w:t>Directors’</w:t>
            </w:r>
          </w:p>
        </w:tc>
        <w:tc>
          <w:tcPr>
            <w:tcW w:w="380" w:type="dxa"/>
            <w:vAlign w:val="bottom"/>
            <w:shd w:val="clear" w:color="auto" w:fill="007CBA"/>
          </w:tcPr>
          <w:p>
            <w:pPr>
              <w:spacing w:after="0"/>
              <w:rPr>
                <w:sz w:val="18"/>
                <w:szCs w:val="18"/>
                <w:color w:val="auto"/>
              </w:rPr>
            </w:pPr>
          </w:p>
        </w:tc>
        <w:tc>
          <w:tcPr>
            <w:tcW w:w="1020" w:type="dxa"/>
            <w:vAlign w:val="bottom"/>
            <w:shd w:val="clear" w:color="auto" w:fill="007CBA"/>
          </w:tcPr>
          <w:p>
            <w:pPr>
              <w:spacing w:after="0"/>
              <w:rPr>
                <w:sz w:val="18"/>
                <w:szCs w:val="18"/>
                <w:color w:val="auto"/>
              </w:rPr>
            </w:pPr>
          </w:p>
        </w:tc>
      </w:tr>
      <w:tr>
        <w:trPr>
          <w:trHeight w:val="216"/>
        </w:trPr>
        <w:tc>
          <w:tcPr>
            <w:tcW w:w="5580" w:type="dxa"/>
            <w:vAlign w:val="bottom"/>
            <w:tcBorders>
              <w:right w:val="single" w:sz="8" w:color="007CBA"/>
            </w:tcBorders>
            <w:shd w:val="clear" w:color="auto" w:fill="007CBA"/>
          </w:tcPr>
          <w:p>
            <w:pPr>
              <w:spacing w:after="0"/>
              <w:rPr>
                <w:sz w:val="18"/>
                <w:szCs w:val="18"/>
                <w:color w:val="auto"/>
              </w:rPr>
            </w:pPr>
          </w:p>
        </w:tc>
        <w:tc>
          <w:tcPr>
            <w:tcW w:w="1460" w:type="dxa"/>
            <w:vAlign w:val="bottom"/>
            <w:tcBorders>
              <w:right w:val="single" w:sz="8" w:color="007CBA"/>
            </w:tcBorders>
            <w:gridSpan w:val="2"/>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7"/>
              </w:rPr>
              <w:t>Performance-</w:t>
            </w:r>
          </w:p>
        </w:tc>
        <w:tc>
          <w:tcPr>
            <w:tcW w:w="1400" w:type="dxa"/>
            <w:vAlign w:val="bottom"/>
            <w:tcBorders>
              <w:right w:val="single" w:sz="8" w:color="007CBA"/>
            </w:tcBorders>
            <w:gridSpan w:val="2"/>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rPr>
              <w:t>Compensaton</w:t>
            </w:r>
          </w:p>
        </w:tc>
        <w:tc>
          <w:tcPr>
            <w:tcW w:w="26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ind w:right="190"/>
              <w:spacing w:after="0" w:line="216" w:lineRule="exact"/>
              <w:rPr>
                <w:sz w:val="20"/>
                <w:szCs w:val="20"/>
                <w:color w:val="auto"/>
              </w:rPr>
            </w:pPr>
            <w:r>
              <w:rPr>
                <w:rFonts w:ascii="Calibri" w:cs="Calibri" w:eastAsia="Calibri" w:hAnsi="Calibri"/>
                <w:sz w:val="18"/>
                <w:szCs w:val="18"/>
                <w:b w:val="1"/>
                <w:bCs w:val="1"/>
                <w:color w:val="FFFFFF"/>
                <w:w w:val="97"/>
              </w:rPr>
              <w:t>Fees Paid in</w:t>
            </w:r>
          </w:p>
        </w:tc>
        <w:tc>
          <w:tcPr>
            <w:tcW w:w="380" w:type="dxa"/>
            <w:vAlign w:val="bottom"/>
            <w:shd w:val="clear" w:color="auto" w:fill="007CBA"/>
          </w:tcPr>
          <w:p>
            <w:pPr>
              <w:spacing w:after="0"/>
              <w:rPr>
                <w:sz w:val="18"/>
                <w:szCs w:val="18"/>
                <w:color w:val="auto"/>
              </w:rPr>
            </w:pPr>
          </w:p>
        </w:tc>
        <w:tc>
          <w:tcPr>
            <w:tcW w:w="1020" w:type="dxa"/>
            <w:vAlign w:val="bottom"/>
            <w:shd w:val="clear" w:color="auto" w:fill="007CBA"/>
          </w:tcPr>
          <w:p>
            <w:pPr>
              <w:spacing w:after="0"/>
              <w:rPr>
                <w:sz w:val="18"/>
                <w:szCs w:val="18"/>
                <w:color w:val="auto"/>
              </w:rPr>
            </w:pPr>
          </w:p>
        </w:tc>
      </w:tr>
      <w:tr>
        <w:trPr>
          <w:trHeight w:val="233"/>
        </w:trPr>
        <w:tc>
          <w:tcPr>
            <w:tcW w:w="558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 except year data)</w:t>
            </w:r>
          </w:p>
        </w:tc>
        <w:tc>
          <w:tcPr>
            <w:tcW w:w="32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center"/>
              <w:ind w:right="190"/>
              <w:spacing w:after="0" w:line="216" w:lineRule="exact"/>
              <w:rPr>
                <w:sz w:val="20"/>
                <w:szCs w:val="20"/>
                <w:color w:val="auto"/>
              </w:rPr>
            </w:pPr>
            <w:r>
              <w:rPr>
                <w:rFonts w:ascii="Calibri" w:cs="Calibri" w:eastAsia="Calibri" w:hAnsi="Calibri"/>
                <w:sz w:val="18"/>
                <w:szCs w:val="18"/>
                <w:b w:val="1"/>
                <w:bCs w:val="1"/>
                <w:color w:val="FFFFFF"/>
                <w:w w:val="98"/>
              </w:rPr>
              <w:t>Based)</w:t>
            </w:r>
          </w:p>
        </w:tc>
        <w:tc>
          <w:tcPr>
            <w:tcW w:w="300" w:type="dxa"/>
            <w:vAlign w:val="bottom"/>
            <w:tcBorders>
              <w:bottom w:val="single" w:sz="8" w:color="007CBA"/>
            </w:tcBorders>
            <w:shd w:val="clear" w:color="auto" w:fill="007CBA"/>
          </w:tcPr>
          <w:p>
            <w:pPr>
              <w:spacing w:after="0"/>
              <w:rPr>
                <w:sz w:val="20"/>
                <w:szCs w:val="20"/>
                <w:color w:val="auto"/>
              </w:rPr>
            </w:pPr>
          </w:p>
        </w:tc>
        <w:tc>
          <w:tcPr>
            <w:tcW w:w="1100" w:type="dxa"/>
            <w:vAlign w:val="bottom"/>
            <w:tcBorders>
              <w:bottom w:val="single" w:sz="8" w:color="007CBA"/>
              <w:right w:val="single" w:sz="8" w:color="007CBA"/>
            </w:tcBorders>
            <w:shd w:val="clear" w:color="auto" w:fill="007CBA"/>
          </w:tcPr>
          <w:p>
            <w:pPr>
              <w:jc w:val="center"/>
              <w:ind w:right="210"/>
              <w:spacing w:after="0" w:line="216" w:lineRule="exact"/>
              <w:rPr>
                <w:sz w:val="20"/>
                <w:szCs w:val="20"/>
                <w:color w:val="auto"/>
              </w:rPr>
            </w:pPr>
            <w:r>
              <w:rPr>
                <w:rFonts w:ascii="Calibri" w:cs="Calibri" w:eastAsia="Calibri" w:hAnsi="Calibri"/>
                <w:sz w:val="18"/>
                <w:szCs w:val="18"/>
                <w:b w:val="1"/>
                <w:bCs w:val="1"/>
                <w:color w:val="FFFFFF"/>
                <w:w w:val="98"/>
              </w:rPr>
              <w:t>Stock</w:t>
            </w:r>
          </w:p>
        </w:tc>
        <w:tc>
          <w:tcPr>
            <w:tcW w:w="2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center"/>
              <w:ind w:right="150"/>
              <w:spacing w:after="0" w:line="216" w:lineRule="exact"/>
              <w:rPr>
                <w:sz w:val="20"/>
                <w:szCs w:val="20"/>
                <w:color w:val="auto"/>
              </w:rPr>
            </w:pPr>
            <w:r>
              <w:rPr>
                <w:rFonts w:ascii="Calibri" w:cs="Calibri" w:eastAsia="Calibri" w:hAnsi="Calibri"/>
                <w:sz w:val="18"/>
                <w:szCs w:val="18"/>
                <w:b w:val="1"/>
                <w:bCs w:val="1"/>
                <w:color w:val="FFFFFF"/>
                <w:w w:val="93"/>
              </w:rPr>
              <w:t>Stock</w:t>
            </w:r>
          </w:p>
        </w:tc>
        <w:tc>
          <w:tcPr>
            <w:tcW w:w="380" w:type="dxa"/>
            <w:vAlign w:val="bottom"/>
            <w:tcBorders>
              <w:bottom w:val="single" w:sz="8" w:color="007CBA"/>
            </w:tcBorders>
            <w:shd w:val="clear" w:color="auto" w:fill="007CBA"/>
          </w:tcPr>
          <w:p>
            <w:pPr>
              <w:spacing w:after="0"/>
              <w:rPr>
                <w:sz w:val="20"/>
                <w:szCs w:val="20"/>
                <w:color w:val="auto"/>
              </w:rPr>
            </w:pPr>
          </w:p>
        </w:tc>
        <w:tc>
          <w:tcPr>
            <w:tcW w:w="1020" w:type="dxa"/>
            <w:vAlign w:val="bottom"/>
            <w:tcBorders>
              <w:bottom w:val="single" w:sz="8" w:color="007CBA"/>
            </w:tcBorders>
            <w:shd w:val="clear" w:color="auto" w:fill="007CBA"/>
          </w:tcPr>
          <w:p>
            <w:pPr>
              <w:jc w:val="right"/>
              <w:ind w:right="410"/>
              <w:spacing w:after="0" w:line="216" w:lineRule="exact"/>
              <w:rPr>
                <w:sz w:val="20"/>
                <w:szCs w:val="20"/>
                <w:color w:val="auto"/>
              </w:rPr>
            </w:pPr>
            <w:r>
              <w:rPr>
                <w:rFonts w:ascii="Calibri" w:cs="Calibri" w:eastAsia="Calibri" w:hAnsi="Calibri"/>
                <w:sz w:val="18"/>
                <w:szCs w:val="18"/>
                <w:b w:val="1"/>
                <w:bCs w:val="1"/>
                <w:color w:val="FFFFFF"/>
              </w:rPr>
              <w:t>Total</w:t>
            </w:r>
          </w:p>
        </w:tc>
      </w:tr>
      <w:tr>
        <w:trPr>
          <w:trHeight w:val="194"/>
        </w:trPr>
        <w:tc>
          <w:tcPr>
            <w:tcW w:w="5580" w:type="dxa"/>
            <w:vAlign w:val="bottom"/>
            <w:tcBorders>
              <w:right w:val="single" w:sz="8" w:color="007CBA"/>
            </w:tcBorders>
          </w:tcPr>
          <w:p>
            <w:pPr>
              <w:ind w:left="120"/>
              <w:spacing w:after="0" w:line="194" w:lineRule="exact"/>
              <w:rPr>
                <w:sz w:val="20"/>
                <w:szCs w:val="20"/>
                <w:color w:val="auto"/>
              </w:rPr>
            </w:pPr>
            <w:r>
              <w:rPr>
                <w:rFonts w:ascii="Calibri" w:cs="Calibri" w:eastAsia="Calibri" w:hAnsi="Calibri"/>
                <w:sz w:val="18"/>
                <w:szCs w:val="18"/>
                <w:color w:val="auto"/>
              </w:rPr>
              <w:t>Stock-based compensaton expense recognized for</w:t>
            </w:r>
          </w:p>
        </w:tc>
        <w:tc>
          <w:tcPr>
            <w:tcW w:w="320" w:type="dxa"/>
            <w:vAlign w:val="bottom"/>
          </w:tcPr>
          <w:p>
            <w:pPr>
              <w:spacing w:after="0"/>
              <w:rPr>
                <w:sz w:val="16"/>
                <w:szCs w:val="16"/>
                <w:color w:val="auto"/>
              </w:rPr>
            </w:pPr>
          </w:p>
        </w:tc>
        <w:tc>
          <w:tcPr>
            <w:tcW w:w="1140" w:type="dxa"/>
            <w:vAlign w:val="bottom"/>
            <w:tcBorders>
              <w:right w:val="single" w:sz="8" w:color="007CBA"/>
            </w:tcBorders>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right w:val="single" w:sz="8" w:color="007CBA"/>
            </w:tcBorders>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5"/>
        </w:trPr>
        <w:tc>
          <w:tcPr>
            <w:tcW w:w="558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color w:val="auto"/>
              </w:rPr>
              <w:t>years ended December 31:</w:t>
            </w:r>
          </w:p>
        </w:tc>
        <w:tc>
          <w:tcPr>
            <w:tcW w:w="32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
        </w:trPr>
        <w:tc>
          <w:tcPr>
            <w:tcW w:w="558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58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b w:val="1"/>
                <w:bCs w:val="1"/>
                <w:color w:val="auto"/>
              </w:rPr>
              <w:t>2024</w:t>
            </w:r>
          </w:p>
        </w:tc>
        <w:tc>
          <w:tcPr>
            <w:tcW w:w="320" w:type="dxa"/>
            <w:vAlign w:val="bottom"/>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56</w:t>
            </w:r>
          </w:p>
        </w:tc>
        <w:tc>
          <w:tcPr>
            <w:tcW w:w="300" w:type="dxa"/>
            <w:vAlign w:val="bottom"/>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w:t>
            </w:r>
          </w:p>
        </w:tc>
        <w:tc>
          <w:tcPr>
            <w:tcW w:w="260" w:type="dxa"/>
            <w:vAlign w:val="bottom"/>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w:t>
            </w:r>
          </w:p>
        </w:tc>
        <w:tc>
          <w:tcPr>
            <w:tcW w:w="38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02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58</w:t>
            </w:r>
          </w:p>
        </w:tc>
      </w:tr>
      <w:tr>
        <w:trPr>
          <w:trHeight w:val="216"/>
        </w:trPr>
        <w:tc>
          <w:tcPr>
            <w:tcW w:w="5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2023</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49</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50</w:t>
            </w:r>
          </w:p>
        </w:tc>
      </w:tr>
      <w:tr>
        <w:trPr>
          <w:trHeight w:val="215"/>
        </w:trPr>
        <w:tc>
          <w:tcPr>
            <w:tcW w:w="55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2022</w:t>
            </w:r>
          </w:p>
        </w:tc>
        <w:tc>
          <w:tcPr>
            <w:tcW w:w="32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41</w:t>
            </w:r>
          </w:p>
        </w:tc>
        <w:tc>
          <w:tcPr>
            <w:tcW w:w="30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w:t>
            </w:r>
          </w:p>
        </w:tc>
        <w:tc>
          <w:tcPr>
            <w:tcW w:w="38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43</w:t>
            </w:r>
          </w:p>
        </w:tc>
      </w:tr>
      <w:tr>
        <w:trPr>
          <w:trHeight w:val="188"/>
        </w:trPr>
        <w:tc>
          <w:tcPr>
            <w:tcW w:w="5580" w:type="dxa"/>
            <w:vAlign w:val="bottom"/>
          </w:tcPr>
          <w:p>
            <w:pPr>
              <w:ind w:left="120"/>
              <w:spacing w:after="0" w:line="187" w:lineRule="exact"/>
              <w:rPr>
                <w:sz w:val="20"/>
                <w:szCs w:val="20"/>
                <w:color w:val="auto"/>
              </w:rPr>
            </w:pPr>
            <w:r>
              <w:rPr>
                <w:rFonts w:ascii="Calibri" w:cs="Calibri" w:eastAsia="Calibri" w:hAnsi="Calibri"/>
                <w:sz w:val="18"/>
                <w:szCs w:val="18"/>
                <w:color w:val="auto"/>
              </w:rPr>
              <w:t>Unrecognized compensaton cost at</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5"/>
        </w:trPr>
        <w:tc>
          <w:tcPr>
            <w:tcW w:w="5580" w:type="dxa"/>
            <w:vAlign w:val="bottom"/>
          </w:tcPr>
          <w:p>
            <w:pPr>
              <w:ind w:left="240"/>
              <w:spacing w:after="0" w:line="215" w:lineRule="exact"/>
              <w:rPr>
                <w:sz w:val="20"/>
                <w:szCs w:val="20"/>
                <w:color w:val="auto"/>
              </w:rPr>
            </w:pPr>
            <w:r>
              <w:rPr>
                <w:rFonts w:ascii="Calibri" w:cs="Calibri" w:eastAsia="Calibri" w:hAnsi="Calibri"/>
                <w:sz w:val="18"/>
                <w:szCs w:val="18"/>
                <w:color w:val="auto"/>
              </w:rPr>
              <w:t>December 31, 2024</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28</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1</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38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02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29</w:t>
            </w:r>
          </w:p>
        </w:tc>
      </w:tr>
      <w:tr>
        <w:trPr>
          <w:trHeight w:val="23"/>
        </w:trPr>
        <w:tc>
          <w:tcPr>
            <w:tcW w:w="5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5580" w:type="dxa"/>
            <w:vAlign w:val="bottom"/>
            <w:tcBorders>
              <w:right w:val="single" w:sz="8" w:color="E5F1F8"/>
            </w:tcBorders>
            <w:shd w:val="clear" w:color="auto" w:fill="E5F1F8"/>
          </w:tcPr>
          <w:p>
            <w:pPr>
              <w:ind w:left="120"/>
              <w:spacing w:after="0" w:line="187" w:lineRule="exact"/>
              <w:rPr>
                <w:sz w:val="20"/>
                <w:szCs w:val="20"/>
                <w:color w:val="auto"/>
              </w:rPr>
            </w:pPr>
            <w:r>
              <w:rPr>
                <w:rFonts w:ascii="Calibri" w:cs="Calibri" w:eastAsia="Calibri" w:hAnsi="Calibri"/>
                <w:sz w:val="18"/>
                <w:szCs w:val="18"/>
                <w:color w:val="auto"/>
              </w:rPr>
              <w:t>Weighted-average period over which unrecognized</w:t>
            </w:r>
          </w:p>
        </w:tc>
        <w:tc>
          <w:tcPr>
            <w:tcW w:w="320" w:type="dxa"/>
            <w:vAlign w:val="bottom"/>
            <w:shd w:val="clear" w:color="auto" w:fill="E5F1F8"/>
          </w:tcPr>
          <w:p>
            <w:pPr>
              <w:spacing w:after="0"/>
              <w:rPr>
                <w:sz w:val="16"/>
                <w:szCs w:val="16"/>
                <w:color w:val="auto"/>
              </w:rPr>
            </w:pPr>
          </w:p>
        </w:tc>
        <w:tc>
          <w:tcPr>
            <w:tcW w:w="1140" w:type="dxa"/>
            <w:vAlign w:val="bottom"/>
            <w:tcBorders>
              <w:right w:val="single" w:sz="8" w:color="E5F1F8"/>
            </w:tcBorders>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1100" w:type="dxa"/>
            <w:vAlign w:val="bottom"/>
            <w:tcBorders>
              <w:right w:val="single" w:sz="8" w:color="E5F1F8"/>
            </w:tcBorders>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1140" w:type="dxa"/>
            <w:vAlign w:val="bottom"/>
            <w:tcBorders>
              <w:right w:val="single" w:sz="8" w:color="E5F1F8"/>
            </w:tcBorders>
            <w:shd w:val="clear" w:color="auto" w:fill="E5F1F8"/>
          </w:tcPr>
          <w:p>
            <w:pPr>
              <w:spacing w:after="0"/>
              <w:rPr>
                <w:sz w:val="16"/>
                <w:szCs w:val="16"/>
                <w:color w:val="auto"/>
              </w:rPr>
            </w:pPr>
          </w:p>
        </w:tc>
        <w:tc>
          <w:tcPr>
            <w:tcW w:w="380" w:type="dxa"/>
            <w:vAlign w:val="bottom"/>
            <w:shd w:val="clear" w:color="auto" w:fill="E5F1F8"/>
          </w:tcPr>
          <w:p>
            <w:pPr>
              <w:spacing w:after="0"/>
              <w:rPr>
                <w:sz w:val="16"/>
                <w:szCs w:val="16"/>
                <w:color w:val="auto"/>
              </w:rPr>
            </w:pPr>
          </w:p>
        </w:tc>
        <w:tc>
          <w:tcPr>
            <w:tcW w:w="1020" w:type="dxa"/>
            <w:vAlign w:val="bottom"/>
            <w:shd w:val="clear" w:color="auto" w:fill="E5F1F8"/>
          </w:tcPr>
          <w:p>
            <w:pPr>
              <w:spacing w:after="0"/>
              <w:rPr>
                <w:sz w:val="16"/>
                <w:szCs w:val="16"/>
                <w:color w:val="auto"/>
              </w:rPr>
            </w:pPr>
          </w:p>
        </w:tc>
      </w:tr>
      <w:tr>
        <w:trPr>
          <w:trHeight w:val="218"/>
        </w:trPr>
        <w:tc>
          <w:tcPr>
            <w:tcW w:w="5580" w:type="dxa"/>
            <w:vAlign w:val="bottom"/>
            <w:tcBorders>
              <w:bottom w:val="single" w:sz="8" w:color="E5F1F8"/>
              <w:right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compensaton cost will be recognized</w:t>
            </w:r>
          </w:p>
        </w:tc>
        <w:tc>
          <w:tcPr>
            <w:tcW w:w="32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1.9 years</w:t>
            </w:r>
          </w:p>
        </w:tc>
        <w:tc>
          <w:tcPr>
            <w:tcW w:w="300" w:type="dxa"/>
            <w:vAlign w:val="bottom"/>
            <w:tcBorders>
              <w:bottom w:val="single" w:sz="8" w:color="E5F1F8"/>
            </w:tcBorders>
            <w:shd w:val="clear" w:color="auto" w:fill="E5F1F8"/>
          </w:tcPr>
          <w:p>
            <w:pPr>
              <w:spacing w:after="0"/>
              <w:rPr>
                <w:sz w:val="18"/>
                <w:szCs w:val="18"/>
                <w:color w:val="auto"/>
              </w:rPr>
            </w:pPr>
          </w:p>
        </w:tc>
        <w:tc>
          <w:tcPr>
            <w:tcW w:w="110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1.8 years</w:t>
            </w:r>
          </w:p>
        </w:tc>
        <w:tc>
          <w:tcPr>
            <w:tcW w:w="26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E5F1F8"/>
            </w:tcBorders>
            <w:shd w:val="clear" w:color="auto" w:fill="E5F1F8"/>
          </w:tcPr>
          <w:p>
            <w:pPr>
              <w:spacing w:after="0"/>
              <w:rPr>
                <w:sz w:val="18"/>
                <w:szCs w:val="18"/>
                <w:color w:val="auto"/>
              </w:rPr>
            </w:pPr>
          </w:p>
        </w:tc>
        <w:tc>
          <w:tcPr>
            <w:tcW w:w="380" w:type="dxa"/>
            <w:vAlign w:val="bottom"/>
            <w:tcBorders>
              <w:bottom w:val="single" w:sz="8" w:color="E5F1F8"/>
            </w:tcBorders>
            <w:shd w:val="clear" w:color="auto" w:fill="E5F1F8"/>
          </w:tcPr>
          <w:p>
            <w:pPr>
              <w:spacing w:after="0"/>
              <w:rPr>
                <w:sz w:val="18"/>
                <w:szCs w:val="18"/>
                <w:color w:val="auto"/>
              </w:rPr>
            </w:pPr>
          </w:p>
        </w:tc>
        <w:tc>
          <w:tcPr>
            <w:tcW w:w="1020" w:type="dxa"/>
            <w:vAlign w:val="bottom"/>
            <w:tcBorders>
              <w:bottom w:val="single" w:sz="8" w:color="E5F1F8"/>
            </w:tcBorders>
            <w:shd w:val="clear" w:color="auto" w:fill="E5F1F8"/>
          </w:tcPr>
          <w:p>
            <w:pPr>
              <w:spacing w:after="0"/>
              <w:rPr>
                <w:sz w:val="18"/>
                <w:szCs w:val="18"/>
                <w:color w:val="auto"/>
              </w:rPr>
            </w:pPr>
          </w:p>
        </w:tc>
      </w:tr>
      <w:tr>
        <w:trPr>
          <w:trHeight w:val="20"/>
        </w:trPr>
        <w:tc>
          <w:tcPr>
            <w:tcW w:w="55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2832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-723900</wp:posOffset>
            </wp:positionV>
            <wp:extent cx="33655" cy="7372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33655" cy="73723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-723900</wp:posOffset>
            </wp:positionV>
            <wp:extent cx="34290" cy="7372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34290" cy="73723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-723900</wp:posOffset>
            </wp:positionV>
            <wp:extent cx="33655" cy="7372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33655" cy="737235"/>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-723900</wp:posOffset>
            </wp:positionV>
            <wp:extent cx="34290" cy="7372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34290" cy="73723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tax benefts related to stock-based compensaton expense were $9 million, $9 million and $8 million for the years ended December 31, 2024, 2023 and 2022, respectvely.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presents expected stock-based compensaton expense in future periods for outstanding awards as of December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140" w:type="dxa"/>
            <w:vAlign w:val="bottom"/>
            <w:shd w:val="clear" w:color="auto" w:fill="007CBA"/>
          </w:tcPr>
          <w:p>
            <w:pPr>
              <w:spacing w:after="0"/>
              <w:rPr>
                <w:sz w:val="19"/>
                <w:szCs w:val="19"/>
                <w:color w:val="auto"/>
              </w:rPr>
            </w:pPr>
          </w:p>
        </w:tc>
        <w:tc>
          <w:tcPr>
            <w:tcW w:w="1120" w:type="dxa"/>
            <w:vAlign w:val="bottom"/>
            <w:shd w:val="clear" w:color="auto" w:fill="007CBA"/>
          </w:tcPr>
          <w:p>
            <w:pPr>
              <w:spacing w:after="0"/>
              <w:rPr>
                <w:sz w:val="19"/>
                <w:szCs w:val="19"/>
                <w:color w:val="auto"/>
              </w:rPr>
            </w:pPr>
          </w:p>
        </w:tc>
      </w:tr>
      <w:tr>
        <w:trPr>
          <w:trHeight w:val="215"/>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140" w:type="dxa"/>
            <w:vAlign w:val="bottom"/>
          </w:tcPr>
          <w:p>
            <w:pPr>
              <w:jc w:val="right"/>
              <w:ind w:right="7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19</w:t>
            </w:r>
          </w:p>
        </w:tc>
      </w:tr>
      <w:tr>
        <w:trPr>
          <w:trHeight w:val="217"/>
        </w:trPr>
        <w:tc>
          <w:tcPr>
            <w:tcW w:w="89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2026</w:t>
            </w:r>
          </w:p>
        </w:tc>
        <w:tc>
          <w:tcPr>
            <w:tcW w:w="1140" w:type="dxa"/>
            <w:vAlign w:val="bottom"/>
            <w:shd w:val="clear" w:color="auto" w:fill="E5F1F8"/>
          </w:tcPr>
          <w:p>
            <w:pPr>
              <w:jc w:val="right"/>
              <w:ind w:right="710"/>
              <w:spacing w:after="0" w:line="216"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8</w:t>
            </w:r>
          </w:p>
        </w:tc>
      </w:tr>
      <w:tr>
        <w:trPr>
          <w:trHeight w:val="216"/>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140" w:type="dxa"/>
            <w:vAlign w:val="bottom"/>
          </w:tcPr>
          <w:p>
            <w:pPr>
              <w:jc w:val="right"/>
              <w:ind w:right="7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w:t>
            </w:r>
          </w:p>
        </w:tc>
      </w:tr>
      <w:tr>
        <w:trPr>
          <w:trHeight w:val="215"/>
        </w:trPr>
        <w:tc>
          <w:tcPr>
            <w:tcW w:w="89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2028</w:t>
            </w:r>
          </w:p>
        </w:tc>
        <w:tc>
          <w:tcPr>
            <w:tcW w:w="1140" w:type="dxa"/>
            <w:vAlign w:val="bottom"/>
            <w:tcBorders>
              <w:bottom w:val="single" w:sz="8" w:color="auto"/>
            </w:tcBorders>
            <w:shd w:val="clear" w:color="auto" w:fill="E5F1F8"/>
          </w:tcPr>
          <w:p>
            <w:pPr>
              <w:jc w:val="right"/>
              <w:ind w:right="7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w:t>
            </w:r>
          </w:p>
        </w:tc>
      </w:tr>
      <w:tr>
        <w:trPr>
          <w:trHeight w:val="209"/>
        </w:trPr>
        <w:tc>
          <w:tcPr>
            <w:tcW w:w="898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1140" w:type="dxa"/>
            <w:vAlign w:val="bottom"/>
            <w:tcBorders>
              <w:bottom w:val="single" w:sz="8" w:color="auto"/>
            </w:tcBorders>
          </w:tcPr>
          <w:p>
            <w:pPr>
              <w:jc w:val="right"/>
              <w:ind w:right="710"/>
              <w:spacing w:after="0" w:line="209"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29</w:t>
            </w:r>
          </w:p>
        </w:tc>
      </w:tr>
      <w:tr>
        <w:trPr>
          <w:trHeight w:val="20"/>
        </w:trPr>
        <w:tc>
          <w:tcPr>
            <w:tcW w:w="8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460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-320675</wp:posOffset>
            </wp:positionV>
            <wp:extent cx="33655" cy="3340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Stock-based compensaton expense is primarily included in </w:t>
      </w:r>
      <w:r>
        <w:rPr>
          <w:rFonts w:ascii="Calibri" w:cs="Calibri" w:eastAsia="Calibri" w:hAnsi="Calibri"/>
          <w:sz w:val="18"/>
          <w:szCs w:val="18"/>
          <w:i w:val="1"/>
          <w:iCs w:val="1"/>
          <w:color w:val="auto"/>
        </w:rPr>
        <w:t>Selling, general and administratve expenses</w:t>
      </w:r>
      <w:r>
        <w:rPr>
          <w:rFonts w:ascii="Calibri" w:cs="Calibri" w:eastAsia="Calibri" w:hAnsi="Calibri"/>
          <w:sz w:val="18"/>
          <w:szCs w:val="18"/>
          <w:color w:val="auto"/>
        </w:rPr>
        <w:t xml:space="preserve"> in the Company’s consolidated statements of earnings.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L: Leases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leases, primarily for equipment, railcars, feet vehicles, ofce space, land, informaton technology equipment and sofware. The Company’s leases have remaining lease terms, inclusive of optons to renew that the Company is reasonably certain to exercise, ranging from less than one year to 46 years. Some of the Company's leases include optons to terminate the leases within one year.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Certain of the Company’s lease agreements include payments based upon variable rates, including, but not limited to, hours used, tonnage processed and factors related to indices. The Company’s lease agreements do not contain any material residual value guarantees or material restrictve covenants.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80" w:type="dxa"/>
            <w:vAlign w:val="bottom"/>
          </w:tcPr>
          <w:p>
            <w:pPr>
              <w:spacing w:after="0"/>
              <w:rPr>
                <w:sz w:val="20"/>
                <w:szCs w:val="20"/>
                <w:color w:val="auto"/>
              </w:rPr>
            </w:pPr>
            <w:r>
              <w:rPr>
                <w:rFonts w:ascii="Calibri" w:cs="Calibri" w:eastAsia="Calibri" w:hAnsi="Calibri"/>
                <w:sz w:val="18"/>
                <w:szCs w:val="18"/>
                <w:color w:val="auto"/>
              </w:rPr>
              <w:t>The components of lease cost are as follows:</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31"/>
        </w:trPr>
        <w:tc>
          <w:tcPr>
            <w:tcW w:w="6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4"/>
        </w:trPr>
        <w:tc>
          <w:tcPr>
            <w:tcW w:w="638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1160" w:type="dxa"/>
            <w:vAlign w:val="bottom"/>
            <w:shd w:val="clear" w:color="auto" w:fill="007CBA"/>
          </w:tcPr>
          <w:p>
            <w:pPr>
              <w:spacing w:after="0"/>
              <w:rPr>
                <w:sz w:val="16"/>
                <w:szCs w:val="16"/>
                <w:color w:val="auto"/>
              </w:rPr>
            </w:pPr>
          </w:p>
        </w:tc>
      </w:tr>
      <w:tr>
        <w:trPr>
          <w:trHeight w:val="218"/>
        </w:trPr>
        <w:tc>
          <w:tcPr>
            <w:tcW w:w="63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2024</w:t>
            </w:r>
          </w:p>
        </w:tc>
        <w:tc>
          <w:tcPr>
            <w:tcW w:w="46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2023</w:t>
            </w:r>
          </w:p>
        </w:tc>
        <w:tc>
          <w:tcPr>
            <w:tcW w:w="46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lease cost</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76</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77</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73</w:t>
            </w:r>
          </w:p>
        </w:tc>
      </w:tr>
      <w:tr>
        <w:trPr>
          <w:trHeight w:val="217"/>
        </w:trPr>
        <w:tc>
          <w:tcPr>
            <w:tcW w:w="63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Finance lease cost:</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spacing w:after="0"/>
              <w:rPr>
                <w:sz w:val="18"/>
                <w:szCs w:val="18"/>
                <w:color w:val="auto"/>
              </w:rPr>
            </w:pPr>
          </w:p>
        </w:tc>
      </w:tr>
      <w:tr>
        <w:trPr>
          <w:trHeight w:val="215"/>
        </w:trPr>
        <w:tc>
          <w:tcPr>
            <w:tcW w:w="638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Amortzaton of right-of-use assets</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26</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21</w:t>
            </w:r>
          </w:p>
        </w:tc>
        <w:tc>
          <w:tcPr>
            <w:tcW w:w="46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18</w:t>
            </w:r>
          </w:p>
        </w:tc>
      </w:tr>
      <w:tr>
        <w:trPr>
          <w:trHeight w:val="217"/>
        </w:trPr>
        <w:tc>
          <w:tcPr>
            <w:tcW w:w="6380" w:type="dxa"/>
            <w:vAlign w:val="bottom"/>
            <w:tcBorders>
              <w:right w:val="single" w:sz="8" w:color="007CBA"/>
            </w:tcBorders>
            <w:shd w:val="clear" w:color="auto" w:fill="E5F1F8"/>
          </w:tcPr>
          <w:p>
            <w:pPr>
              <w:ind w:left="200"/>
              <w:spacing w:after="0" w:line="216" w:lineRule="exact"/>
              <w:rPr>
                <w:sz w:val="20"/>
                <w:szCs w:val="20"/>
                <w:color w:val="auto"/>
              </w:rPr>
            </w:pPr>
            <w:r>
              <w:rPr>
                <w:rFonts w:ascii="Calibri" w:cs="Calibri" w:eastAsia="Calibri" w:hAnsi="Calibri"/>
                <w:sz w:val="18"/>
                <w:szCs w:val="18"/>
                <w:color w:val="auto"/>
              </w:rPr>
              <w:t>Interest on lease liabilites</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6</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5</w:t>
            </w: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w:t>
            </w:r>
          </w:p>
        </w:tc>
      </w:tr>
      <w:tr>
        <w:trPr>
          <w:trHeight w:val="216"/>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Variable lease cost</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14</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18</w:t>
            </w:r>
          </w:p>
        </w:tc>
        <w:tc>
          <w:tcPr>
            <w:tcW w:w="46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17</w:t>
            </w:r>
          </w:p>
        </w:tc>
      </w:tr>
      <w:tr>
        <w:trPr>
          <w:trHeight w:val="215"/>
        </w:trPr>
        <w:tc>
          <w:tcPr>
            <w:tcW w:w="63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Short-term lease cost</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46</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46</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45</w:t>
            </w:r>
          </w:p>
        </w:tc>
      </w:tr>
      <w:tr>
        <w:trPr>
          <w:trHeight w:val="210"/>
        </w:trPr>
        <w:tc>
          <w:tcPr>
            <w:tcW w:w="638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 lease cost</w:t>
            </w:r>
          </w:p>
        </w:tc>
        <w:tc>
          <w:tcPr>
            <w:tcW w:w="46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168</w:t>
            </w:r>
          </w:p>
        </w:tc>
        <w:tc>
          <w:tcPr>
            <w:tcW w:w="46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167</w:t>
            </w:r>
          </w:p>
        </w:tc>
        <w:tc>
          <w:tcPr>
            <w:tcW w:w="46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157</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205740</wp:posOffset>
            </wp:positionV>
            <wp:extent cx="325755" cy="1974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-320675</wp:posOffset>
            </wp:positionV>
            <wp:extent cx="34290" cy="3340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-320675</wp:posOffset>
            </wp:positionV>
            <wp:extent cx="33655" cy="3340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-320675</wp:posOffset>
            </wp:positionV>
            <wp:extent cx="33655" cy="3340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7" w:name="page98"/>
    <w:bookmarkEnd w:id="97"/>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royalty agreements that are prescriptvely excluded from the scope of ASC 842 and generally require royalty payments based on tons produced, tons sold or total sales dollars and also contain minimum payments. Royalty expense was $92 million, $86 million and $78 million for the years ended December 31, 2024, 2023 and 2022, respectvely.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60" w:type="dxa"/>
            <w:vAlign w:val="bottom"/>
          </w:tcPr>
          <w:p>
            <w:pPr>
              <w:spacing w:after="0"/>
              <w:rPr>
                <w:sz w:val="20"/>
                <w:szCs w:val="20"/>
                <w:color w:val="auto"/>
              </w:rPr>
            </w:pPr>
            <w:r>
              <w:rPr>
                <w:rFonts w:ascii="Calibri" w:cs="Calibri" w:eastAsia="Calibri" w:hAnsi="Calibri"/>
                <w:sz w:val="18"/>
                <w:szCs w:val="18"/>
                <w:color w:val="auto"/>
              </w:rPr>
              <w:t>The balance sheet classifcatons of operatng and fnance leases are as follows:</w:t>
            </w: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31"/>
        </w:trPr>
        <w:tc>
          <w:tcPr>
            <w:tcW w:w="7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94"/>
        </w:trPr>
        <w:tc>
          <w:tcPr>
            <w:tcW w:w="746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December 31</w:t>
            </w:r>
          </w:p>
        </w:tc>
        <w:tc>
          <w:tcPr>
            <w:tcW w:w="580" w:type="dxa"/>
            <w:vAlign w:val="bottom"/>
            <w:shd w:val="clear" w:color="auto" w:fill="007CBA"/>
          </w:tcPr>
          <w:p>
            <w:pPr>
              <w:spacing w:after="0"/>
              <w:rPr>
                <w:sz w:val="16"/>
                <w:szCs w:val="16"/>
                <w:color w:val="auto"/>
              </w:rPr>
            </w:pPr>
          </w:p>
        </w:tc>
        <w:tc>
          <w:tcPr>
            <w:tcW w:w="1320" w:type="dxa"/>
            <w:vAlign w:val="bottom"/>
            <w:tcBorders>
              <w:right w:val="single" w:sz="8" w:color="007CBA"/>
            </w:tcBorders>
            <w:shd w:val="clear" w:color="auto" w:fill="007CBA"/>
          </w:tcPr>
          <w:p>
            <w:pPr>
              <w:spacing w:after="0"/>
              <w:rPr>
                <w:sz w:val="16"/>
                <w:szCs w:val="16"/>
                <w:color w:val="auto"/>
              </w:rPr>
            </w:pPr>
          </w:p>
        </w:tc>
        <w:tc>
          <w:tcPr>
            <w:tcW w:w="560" w:type="dxa"/>
            <w:vAlign w:val="bottom"/>
            <w:shd w:val="clear" w:color="auto" w:fill="007CBA"/>
          </w:tcPr>
          <w:p>
            <w:pPr>
              <w:spacing w:after="0"/>
              <w:rPr>
                <w:sz w:val="16"/>
                <w:szCs w:val="16"/>
                <w:color w:val="auto"/>
              </w:rPr>
            </w:pPr>
          </w:p>
        </w:tc>
        <w:tc>
          <w:tcPr>
            <w:tcW w:w="1320" w:type="dxa"/>
            <w:vAlign w:val="bottom"/>
            <w:shd w:val="clear" w:color="auto" w:fill="007CBA"/>
          </w:tcPr>
          <w:p>
            <w:pPr>
              <w:spacing w:after="0"/>
              <w:rPr>
                <w:sz w:val="16"/>
                <w:szCs w:val="16"/>
                <w:color w:val="auto"/>
              </w:rPr>
            </w:pPr>
          </w:p>
        </w:tc>
      </w:tr>
      <w:tr>
        <w:trPr>
          <w:trHeight w:val="218"/>
        </w:trPr>
        <w:tc>
          <w:tcPr>
            <w:tcW w:w="74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80" w:type="dxa"/>
            <w:vAlign w:val="bottom"/>
            <w:tcBorders>
              <w:bottom w:val="single" w:sz="8" w:color="007CBA"/>
            </w:tcBorders>
            <w:shd w:val="clear" w:color="auto" w:fill="007CBA"/>
          </w:tcPr>
          <w:p>
            <w:pPr>
              <w:spacing w:after="0"/>
              <w:rPr>
                <w:sz w:val="18"/>
                <w:szCs w:val="18"/>
                <w:color w:val="auto"/>
              </w:rPr>
            </w:pPr>
          </w:p>
        </w:tc>
        <w:tc>
          <w:tcPr>
            <w:tcW w:w="1320" w:type="dxa"/>
            <w:vAlign w:val="bottom"/>
            <w:tcBorders>
              <w:bottom w:val="single" w:sz="8" w:color="007CBA"/>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b w:val="1"/>
                <w:bCs w:val="1"/>
                <w:color w:val="FFFFFF"/>
              </w:rPr>
              <w:t>2024</w:t>
            </w:r>
          </w:p>
        </w:tc>
        <w:tc>
          <w:tcPr>
            <w:tcW w:w="560" w:type="dxa"/>
            <w:vAlign w:val="bottom"/>
            <w:tcBorders>
              <w:bottom w:val="single" w:sz="8" w:color="007CBA"/>
            </w:tcBorders>
            <w:shd w:val="clear" w:color="auto" w:fill="007CBA"/>
          </w:tcPr>
          <w:p>
            <w:pPr>
              <w:spacing w:after="0"/>
              <w:rPr>
                <w:sz w:val="18"/>
                <w:szCs w:val="18"/>
                <w:color w:val="auto"/>
              </w:rPr>
            </w:pPr>
          </w:p>
        </w:tc>
        <w:tc>
          <w:tcPr>
            <w:tcW w:w="1320" w:type="dxa"/>
            <w:vAlign w:val="bottom"/>
            <w:tcBorders>
              <w:bottom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2023</w:t>
            </w:r>
          </w:p>
        </w:tc>
      </w:tr>
      <w:tr>
        <w:trPr>
          <w:trHeight w:val="216"/>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leases:</w:t>
            </w:r>
          </w:p>
        </w:tc>
        <w:tc>
          <w:tcPr>
            <w:tcW w:w="580" w:type="dxa"/>
            <w:vAlign w:val="bottom"/>
          </w:tcPr>
          <w:p>
            <w:pPr>
              <w:spacing w:after="0"/>
              <w:rPr>
                <w:sz w:val="18"/>
                <w:szCs w:val="18"/>
                <w:color w:val="auto"/>
              </w:rPr>
            </w:pPr>
          </w:p>
        </w:tc>
        <w:tc>
          <w:tcPr>
            <w:tcW w:w="1320" w:type="dxa"/>
            <w:vAlign w:val="bottom"/>
            <w:tcBorders>
              <w:right w:val="single" w:sz="8" w:color="007CBA"/>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5"/>
        </w:trPr>
        <w:tc>
          <w:tcPr>
            <w:tcW w:w="7460" w:type="dxa"/>
            <w:vAlign w:val="bottom"/>
            <w:tcBorders>
              <w:bottom w:val="single" w:sz="8" w:color="auto"/>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Operatng lease right-of-use assets</w:t>
            </w:r>
          </w:p>
        </w:tc>
        <w:tc>
          <w:tcPr>
            <w:tcW w:w="580" w:type="dxa"/>
            <w:vAlign w:val="bottom"/>
            <w:tcBorders>
              <w:bottom w:val="single" w:sz="8" w:color="auto"/>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376</w:t>
            </w:r>
          </w:p>
        </w:tc>
        <w:tc>
          <w:tcPr>
            <w:tcW w:w="560" w:type="dxa"/>
            <w:vAlign w:val="bottom"/>
            <w:tcBorders>
              <w:bottom w:val="single" w:sz="8" w:color="auto"/>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372</w:t>
            </w:r>
          </w:p>
        </w:tc>
      </w:tr>
      <w:tr>
        <w:trPr>
          <w:trHeight w:val="197"/>
        </w:trPr>
        <w:tc>
          <w:tcPr>
            <w:tcW w:w="7460" w:type="dxa"/>
            <w:vAlign w:val="bottom"/>
            <w:tcBorders>
              <w:right w:val="single" w:sz="8" w:color="007CBA"/>
            </w:tcBorders>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Borders>
              <w:right w:val="single" w:sz="8" w:color="007CBA"/>
            </w:tcBorders>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7460" w:type="dxa"/>
            <w:vAlign w:val="bottom"/>
            <w:tcBorders>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Current operatng lease liabilites</w:t>
            </w:r>
          </w:p>
        </w:tc>
        <w:tc>
          <w:tcPr>
            <w:tcW w:w="580" w:type="dxa"/>
            <w:vAlign w:val="bottom"/>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56</w:t>
            </w:r>
          </w:p>
        </w:tc>
        <w:tc>
          <w:tcPr>
            <w:tcW w:w="560" w:type="dxa"/>
            <w:vAlign w:val="bottom"/>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53</w:t>
            </w:r>
          </w:p>
        </w:tc>
      </w:tr>
      <w:tr>
        <w:trPr>
          <w:trHeight w:val="215"/>
        </w:trPr>
        <w:tc>
          <w:tcPr>
            <w:tcW w:w="7460" w:type="dxa"/>
            <w:vAlign w:val="bottom"/>
            <w:tcBorders>
              <w:bottom w:val="single" w:sz="8" w:color="auto"/>
            </w:tcBorders>
          </w:tcPr>
          <w:p>
            <w:pPr>
              <w:ind w:left="200"/>
              <w:spacing w:after="0" w:line="215" w:lineRule="exact"/>
              <w:rPr>
                <w:sz w:val="20"/>
                <w:szCs w:val="20"/>
                <w:color w:val="auto"/>
              </w:rPr>
            </w:pPr>
            <w:r>
              <w:rPr>
                <w:rFonts w:ascii="Calibri" w:cs="Calibri" w:eastAsia="Calibri" w:hAnsi="Calibri"/>
                <w:sz w:val="18"/>
                <w:szCs w:val="18"/>
                <w:color w:val="auto"/>
              </w:rPr>
              <w:t>Noncurrent operatng lease liabilites</w:t>
            </w: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335</w:t>
            </w: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327</w:t>
            </w:r>
          </w:p>
        </w:tc>
      </w:tr>
      <w:tr>
        <w:trPr>
          <w:trHeight w:val="250"/>
        </w:trPr>
        <w:tc>
          <w:tcPr>
            <w:tcW w:w="746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 operatng lease liabilites</w:t>
            </w:r>
          </w:p>
        </w:tc>
        <w:tc>
          <w:tcPr>
            <w:tcW w:w="580" w:type="dxa"/>
            <w:vAlign w:val="bottom"/>
            <w:tcBorders>
              <w:bottom w:val="single" w:sz="8" w:color="auto"/>
            </w:tcBorders>
            <w:shd w:val="clear" w:color="auto" w:fill="E5F1F8"/>
          </w:tcPr>
          <w:p>
            <w:pPr>
              <w:jc w:val="right"/>
              <w:ind w:right="170"/>
              <w:spacing w:after="0" w:line="209"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right w:val="single" w:sz="8" w:color="E5F1F8"/>
            </w:tcBorders>
            <w:shd w:val="clear" w:color="auto" w:fill="E5F1F8"/>
          </w:tcPr>
          <w:p>
            <w:pPr>
              <w:jc w:val="right"/>
              <w:ind w:right="30"/>
              <w:spacing w:after="0" w:line="209" w:lineRule="exact"/>
              <w:rPr>
                <w:sz w:val="20"/>
                <w:szCs w:val="20"/>
                <w:color w:val="auto"/>
              </w:rPr>
            </w:pPr>
            <w:r>
              <w:rPr>
                <w:rFonts w:ascii="Calibri" w:cs="Calibri" w:eastAsia="Calibri" w:hAnsi="Calibri"/>
                <w:sz w:val="18"/>
                <w:szCs w:val="18"/>
                <w:b w:val="1"/>
                <w:bCs w:val="1"/>
                <w:color w:val="auto"/>
              </w:rPr>
              <w:t>391</w:t>
            </w:r>
          </w:p>
        </w:tc>
        <w:tc>
          <w:tcPr>
            <w:tcW w:w="560" w:type="dxa"/>
            <w:vAlign w:val="bottom"/>
            <w:tcBorders>
              <w:bottom w:val="single" w:sz="8" w:color="auto"/>
            </w:tcBorders>
            <w:shd w:val="clear" w:color="auto" w:fill="E5F1F8"/>
          </w:tcPr>
          <w:p>
            <w:pPr>
              <w:jc w:val="right"/>
              <w:ind w:right="150"/>
              <w:spacing w:after="0" w:line="209"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380</w:t>
            </w:r>
          </w:p>
        </w:tc>
      </w:tr>
      <w:tr>
        <w:trPr>
          <w:trHeight w:val="197"/>
        </w:trPr>
        <w:tc>
          <w:tcPr>
            <w:tcW w:w="7460" w:type="dxa"/>
            <w:vAlign w:val="bottom"/>
            <w:tcBorders>
              <w:right w:val="single" w:sz="8" w:color="007CBA"/>
            </w:tcBorders>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Borders>
              <w:right w:val="single" w:sz="8" w:color="007CBA"/>
            </w:tcBorders>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746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Finance leases:</w:t>
            </w:r>
          </w:p>
        </w:tc>
        <w:tc>
          <w:tcPr>
            <w:tcW w:w="580" w:type="dxa"/>
            <w:vAlign w:val="bottom"/>
            <w:shd w:val="clear" w:color="auto" w:fill="E5F1F8"/>
          </w:tcPr>
          <w:p>
            <w:pPr>
              <w:spacing w:after="0"/>
              <w:rPr>
                <w:sz w:val="18"/>
                <w:szCs w:val="18"/>
                <w:color w:val="auto"/>
              </w:rPr>
            </w:pPr>
          </w:p>
        </w:tc>
        <w:tc>
          <w:tcPr>
            <w:tcW w:w="1320" w:type="dxa"/>
            <w:vAlign w:val="bottom"/>
            <w:tcBorders>
              <w:right w:val="single" w:sz="8" w:color="007CBA"/>
            </w:tcBorders>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320" w:type="dxa"/>
            <w:vAlign w:val="bottom"/>
            <w:shd w:val="clear" w:color="auto" w:fill="E5F1F8"/>
          </w:tcPr>
          <w:p>
            <w:pPr>
              <w:spacing w:after="0"/>
              <w:rPr>
                <w:sz w:val="18"/>
                <w:szCs w:val="18"/>
                <w:color w:val="auto"/>
              </w:rPr>
            </w:pPr>
          </w:p>
        </w:tc>
      </w:tr>
      <w:tr>
        <w:trPr>
          <w:trHeight w:val="216"/>
        </w:trPr>
        <w:tc>
          <w:tcPr>
            <w:tcW w:w="74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Property, plant and equipment</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295</w:t>
            </w:r>
          </w:p>
        </w:tc>
        <w:tc>
          <w:tcPr>
            <w:tcW w:w="5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254</w:t>
            </w:r>
          </w:p>
        </w:tc>
      </w:tr>
      <w:tr>
        <w:trPr>
          <w:trHeight w:val="215"/>
        </w:trPr>
        <w:tc>
          <w:tcPr>
            <w:tcW w:w="7460" w:type="dxa"/>
            <w:vAlign w:val="bottom"/>
            <w:tcBorders>
              <w:bottom w:val="single" w:sz="8" w:color="auto"/>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Accumulated depreciaton</w:t>
            </w:r>
          </w:p>
        </w:tc>
        <w:tc>
          <w:tcPr>
            <w:tcW w:w="58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(83 )</w:t>
            </w:r>
          </w:p>
        </w:tc>
        <w:tc>
          <w:tcPr>
            <w:tcW w:w="56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(59 )</w:t>
            </w:r>
          </w:p>
        </w:tc>
      </w:tr>
      <w:tr>
        <w:trPr>
          <w:trHeight w:val="210"/>
        </w:trPr>
        <w:tc>
          <w:tcPr>
            <w:tcW w:w="746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Property, plant and equipment, net</w:t>
            </w:r>
          </w:p>
        </w:tc>
        <w:tc>
          <w:tcPr>
            <w:tcW w:w="58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212</w:t>
            </w:r>
          </w:p>
        </w:tc>
        <w:tc>
          <w:tcPr>
            <w:tcW w:w="560" w:type="dxa"/>
            <w:vAlign w:val="bottom"/>
            <w:tcBorders>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195</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tcBorders>
              <w:right w:val="single" w:sz="8" w:color="007CBA"/>
            </w:tcBorders>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1320" w:type="dxa"/>
            <w:vAlign w:val="bottom"/>
            <w:tcBorders>
              <w:right w:val="single" w:sz="8" w:color="007CBA"/>
            </w:tcBorders>
            <w:shd w:val="clear" w:color="auto" w:fill="E5F1F8"/>
          </w:tcPr>
          <w:p>
            <w:pPr>
              <w:spacing w:after="0"/>
              <w:rPr>
                <w:sz w:val="17"/>
                <w:szCs w:val="17"/>
                <w:color w:val="auto"/>
              </w:rPr>
            </w:pPr>
          </w:p>
        </w:tc>
        <w:tc>
          <w:tcPr>
            <w:tcW w:w="560" w:type="dxa"/>
            <w:vAlign w:val="bottom"/>
            <w:shd w:val="clear" w:color="auto" w:fill="E5F1F8"/>
          </w:tcPr>
          <w:p>
            <w:pPr>
              <w:spacing w:after="0"/>
              <w:rPr>
                <w:sz w:val="17"/>
                <w:szCs w:val="17"/>
                <w:color w:val="auto"/>
              </w:rPr>
            </w:pPr>
          </w:p>
        </w:tc>
        <w:tc>
          <w:tcPr>
            <w:tcW w:w="1320" w:type="dxa"/>
            <w:vAlign w:val="bottom"/>
            <w:shd w:val="clear" w:color="auto" w:fill="E5F1F8"/>
          </w:tcPr>
          <w:p>
            <w:pPr>
              <w:spacing w:after="0"/>
              <w:rPr>
                <w:sz w:val="17"/>
                <w:szCs w:val="17"/>
                <w:color w:val="auto"/>
              </w:rPr>
            </w:pPr>
          </w:p>
        </w:tc>
      </w:tr>
      <w:tr>
        <w:trPr>
          <w:trHeight w:val="216"/>
        </w:trPr>
        <w:tc>
          <w:tcPr>
            <w:tcW w:w="746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Other current liabilites</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19</w:t>
            </w:r>
          </w:p>
        </w:tc>
        <w:tc>
          <w:tcPr>
            <w:tcW w:w="5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20</w:t>
            </w:r>
          </w:p>
        </w:tc>
      </w:tr>
      <w:tr>
        <w:trPr>
          <w:trHeight w:val="215"/>
        </w:trPr>
        <w:tc>
          <w:tcPr>
            <w:tcW w:w="7460" w:type="dxa"/>
            <w:vAlign w:val="bottom"/>
            <w:tcBorders>
              <w:bottom w:val="single" w:sz="8" w:color="auto"/>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Other noncurrent liabilites</w:t>
            </w:r>
          </w:p>
        </w:tc>
        <w:tc>
          <w:tcPr>
            <w:tcW w:w="58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202</w:t>
            </w:r>
          </w:p>
        </w:tc>
        <w:tc>
          <w:tcPr>
            <w:tcW w:w="560" w:type="dxa"/>
            <w:vAlign w:val="bottom"/>
            <w:tcBorders>
              <w:bottom w:val="single" w:sz="8" w:color="auto"/>
            </w:tcBorders>
            <w:shd w:val="clear" w:color="auto" w:fill="E5F1F8"/>
          </w:tcPr>
          <w:p>
            <w:pPr>
              <w:spacing w:after="0"/>
              <w:rPr>
                <w:sz w:val="18"/>
                <w:szCs w:val="18"/>
                <w:color w:val="auto"/>
              </w:rPr>
            </w:pPr>
          </w:p>
        </w:tc>
        <w:tc>
          <w:tcPr>
            <w:tcW w:w="132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180</w:t>
            </w:r>
          </w:p>
        </w:tc>
      </w:tr>
      <w:tr>
        <w:trPr>
          <w:trHeight w:val="210"/>
        </w:trPr>
        <w:tc>
          <w:tcPr>
            <w:tcW w:w="746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 fnance lease liabilites</w:t>
            </w:r>
          </w:p>
        </w:tc>
        <w:tc>
          <w:tcPr>
            <w:tcW w:w="58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w:t>
            </w:r>
          </w:p>
        </w:tc>
        <w:tc>
          <w:tcPr>
            <w:tcW w:w="132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221</w:t>
            </w:r>
          </w:p>
        </w:tc>
        <w:tc>
          <w:tcPr>
            <w:tcW w:w="560" w:type="dxa"/>
            <w:vAlign w:val="bottom"/>
            <w:tcBorders>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200</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-2061210</wp:posOffset>
            </wp:positionV>
            <wp:extent cx="34290" cy="18859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-2061210</wp:posOffset>
            </wp:positionV>
            <wp:extent cx="34290" cy="1885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-1623695</wp:posOffset>
            </wp:positionV>
            <wp:extent cx="34290" cy="3340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-1623695</wp:posOffset>
            </wp:positionV>
            <wp:extent cx="34290" cy="3340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-903605</wp:posOffset>
            </wp:positionV>
            <wp:extent cx="34290" cy="3340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-903605</wp:posOffset>
            </wp:positionV>
            <wp:extent cx="34290" cy="3340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-320675</wp:posOffset>
            </wp:positionV>
            <wp:extent cx="34290" cy="3340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-320675</wp:posOffset>
            </wp:positionV>
            <wp:extent cx="34290" cy="3340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14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incremental borrowing rate ranged from 0.4% to 6.0% for the years ended December 31, 2024 and 2023. Weighted-average remaining lease terms and discount rates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1400" w:type="dxa"/>
            <w:vAlign w:val="bottom"/>
            <w:shd w:val="clear" w:color="auto" w:fill="007CBA"/>
          </w:tcPr>
          <w:p>
            <w:pPr>
              <w:jc w:val="right"/>
              <w:ind w:right="70"/>
              <w:spacing w:after="0"/>
              <w:rPr>
                <w:sz w:val="20"/>
                <w:szCs w:val="20"/>
                <w:color w:val="auto"/>
              </w:rPr>
            </w:pPr>
            <w:r>
              <w:rPr>
                <w:rFonts w:ascii="Calibri" w:cs="Calibri" w:eastAsia="Calibri" w:hAnsi="Calibri"/>
                <w:sz w:val="18"/>
                <w:szCs w:val="18"/>
                <w:b w:val="1"/>
                <w:bCs w:val="1"/>
                <w:color w:val="FFFFFF"/>
              </w:rPr>
              <w:t>2024</w:t>
            </w:r>
          </w:p>
        </w:tc>
        <w:tc>
          <w:tcPr>
            <w:tcW w:w="500" w:type="dxa"/>
            <w:vAlign w:val="bottom"/>
            <w:tcBorders>
              <w:right w:val="single" w:sz="8" w:color="007CBA"/>
            </w:tcBorders>
            <w:shd w:val="clear" w:color="auto" w:fill="007CBA"/>
          </w:tcPr>
          <w:p>
            <w:pPr>
              <w:spacing w:after="0"/>
              <w:rPr>
                <w:sz w:val="19"/>
                <w:szCs w:val="19"/>
                <w:color w:val="auto"/>
              </w:rPr>
            </w:pPr>
          </w:p>
        </w:tc>
        <w:tc>
          <w:tcPr>
            <w:tcW w:w="500" w:type="dxa"/>
            <w:vAlign w:val="bottom"/>
            <w:shd w:val="clear" w:color="auto" w:fill="007CBA"/>
          </w:tcPr>
          <w:p>
            <w:pPr>
              <w:spacing w:after="0"/>
              <w:rPr>
                <w:sz w:val="19"/>
                <w:szCs w:val="19"/>
                <w:color w:val="auto"/>
              </w:rPr>
            </w:pPr>
          </w:p>
        </w:tc>
        <w:tc>
          <w:tcPr>
            <w:tcW w:w="1380" w:type="dxa"/>
            <w:vAlign w:val="bottom"/>
            <w:shd w:val="clear" w:color="auto" w:fill="007CBA"/>
          </w:tcPr>
          <w:p>
            <w:pPr>
              <w:jc w:val="right"/>
              <w:ind w:right="570"/>
              <w:spacing w:after="0"/>
              <w:rPr>
                <w:sz w:val="20"/>
                <w:szCs w:val="20"/>
                <w:color w:val="auto"/>
              </w:rPr>
            </w:pPr>
            <w:r>
              <w:rPr>
                <w:rFonts w:ascii="Calibri" w:cs="Calibri" w:eastAsia="Calibri" w:hAnsi="Calibri"/>
                <w:sz w:val="18"/>
                <w:szCs w:val="18"/>
                <w:color w:val="FFFFFF"/>
              </w:rPr>
              <w:t>2023</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Weighted-average remaining lease terms (years):</w:t>
            </w:r>
          </w:p>
        </w:tc>
        <w:tc>
          <w:tcPr>
            <w:tcW w:w="1400" w:type="dxa"/>
            <w:vAlign w:val="bottom"/>
          </w:tcPr>
          <w:p>
            <w:pPr>
              <w:spacing w:after="0"/>
              <w:rPr>
                <w:sz w:val="18"/>
                <w:szCs w:val="18"/>
                <w:color w:val="auto"/>
              </w:rPr>
            </w:pPr>
          </w:p>
        </w:tc>
        <w:tc>
          <w:tcPr>
            <w:tcW w:w="500" w:type="dxa"/>
            <w:vAlign w:val="bottom"/>
            <w:tcBorders>
              <w:right w:val="single" w:sz="8" w:color="007CBA"/>
            </w:tcBorders>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460" w:type="dxa"/>
            <w:vAlign w:val="bottom"/>
            <w:tcBorders>
              <w:right w:val="single" w:sz="8" w:color="007CBA"/>
            </w:tcBorders>
            <w:shd w:val="clear" w:color="auto" w:fill="E5F1F8"/>
          </w:tcPr>
          <w:p>
            <w:pPr>
              <w:ind w:left="320"/>
              <w:spacing w:after="0" w:line="216" w:lineRule="exact"/>
              <w:rPr>
                <w:sz w:val="20"/>
                <w:szCs w:val="20"/>
                <w:color w:val="auto"/>
              </w:rPr>
            </w:pPr>
            <w:r>
              <w:rPr>
                <w:rFonts w:ascii="Calibri" w:cs="Calibri" w:eastAsia="Calibri" w:hAnsi="Calibri"/>
                <w:sz w:val="18"/>
                <w:szCs w:val="18"/>
                <w:color w:val="auto"/>
              </w:rPr>
              <w:t>Operatng leases</w:t>
            </w:r>
          </w:p>
        </w:tc>
        <w:tc>
          <w:tcPr>
            <w:tcW w:w="1400" w:type="dxa"/>
            <w:vAlign w:val="bottom"/>
            <w:shd w:val="clear" w:color="auto" w:fill="E5F1F8"/>
          </w:tcPr>
          <w:p>
            <w:pPr>
              <w:jc w:val="center"/>
              <w:ind w:left="390"/>
              <w:spacing w:after="0" w:line="216" w:lineRule="exact"/>
              <w:rPr>
                <w:sz w:val="20"/>
                <w:szCs w:val="20"/>
                <w:color w:val="auto"/>
              </w:rPr>
            </w:pPr>
            <w:r>
              <w:rPr>
                <w:rFonts w:ascii="Calibri" w:cs="Calibri" w:eastAsia="Calibri" w:hAnsi="Calibri"/>
                <w:sz w:val="18"/>
                <w:szCs w:val="18"/>
                <w:b w:val="1"/>
                <w:bCs w:val="1"/>
                <w:color w:val="auto"/>
                <w:w w:val="99"/>
              </w:rPr>
              <w:t>11.0</w:t>
            </w:r>
          </w:p>
        </w:tc>
        <w:tc>
          <w:tcPr>
            <w:tcW w:w="500" w:type="dxa"/>
            <w:vAlign w:val="bottom"/>
            <w:tcBorders>
              <w:right w:val="single" w:sz="8" w:color="007CBA"/>
            </w:tcBorders>
            <w:shd w:val="clear" w:color="auto" w:fill="E5F1F8"/>
          </w:tcPr>
          <w:p>
            <w:pPr>
              <w:spacing w:after="0"/>
              <w:rPr>
                <w:sz w:val="18"/>
                <w:szCs w:val="18"/>
                <w:color w:val="auto"/>
              </w:rPr>
            </w:pPr>
          </w:p>
        </w:tc>
        <w:tc>
          <w:tcPr>
            <w:tcW w:w="500" w:type="dxa"/>
            <w:vAlign w:val="bottom"/>
            <w:shd w:val="clear" w:color="auto" w:fill="E5F1F8"/>
          </w:tcPr>
          <w:p>
            <w:pPr>
              <w:spacing w:after="0"/>
              <w:rPr>
                <w:sz w:val="18"/>
                <w:szCs w:val="18"/>
                <w:color w:val="auto"/>
              </w:rPr>
            </w:pPr>
          </w:p>
        </w:tc>
        <w:tc>
          <w:tcPr>
            <w:tcW w:w="1380" w:type="dxa"/>
            <w:vAlign w:val="bottom"/>
            <w:shd w:val="clear" w:color="auto" w:fill="E5F1F8"/>
          </w:tcPr>
          <w:p>
            <w:pPr>
              <w:jc w:val="center"/>
              <w:ind w:right="410"/>
              <w:spacing w:after="0" w:line="216" w:lineRule="exact"/>
              <w:rPr>
                <w:sz w:val="20"/>
                <w:szCs w:val="20"/>
                <w:color w:val="auto"/>
              </w:rPr>
            </w:pPr>
            <w:r>
              <w:rPr>
                <w:rFonts w:ascii="Calibri" w:cs="Calibri" w:eastAsia="Calibri" w:hAnsi="Calibri"/>
                <w:sz w:val="18"/>
                <w:szCs w:val="18"/>
                <w:color w:val="auto"/>
              </w:rPr>
              <w:t>11.7</w:t>
            </w:r>
          </w:p>
        </w:tc>
      </w:tr>
      <w:tr>
        <w:trPr>
          <w:trHeight w:val="215"/>
        </w:trPr>
        <w:tc>
          <w:tcPr>
            <w:tcW w:w="7460" w:type="dxa"/>
            <w:vAlign w:val="bottom"/>
            <w:tcBorders>
              <w:right w:val="single" w:sz="8" w:color="007CBA"/>
            </w:tcBorders>
          </w:tcPr>
          <w:p>
            <w:pPr>
              <w:ind w:left="320"/>
              <w:spacing w:after="0" w:line="215" w:lineRule="exact"/>
              <w:rPr>
                <w:sz w:val="20"/>
                <w:szCs w:val="20"/>
                <w:color w:val="auto"/>
              </w:rPr>
            </w:pPr>
            <w:r>
              <w:rPr>
                <w:rFonts w:ascii="Calibri" w:cs="Calibri" w:eastAsia="Calibri" w:hAnsi="Calibri"/>
                <w:sz w:val="18"/>
                <w:szCs w:val="18"/>
                <w:color w:val="auto"/>
              </w:rPr>
              <w:t>Finance leases</w:t>
            </w:r>
          </w:p>
        </w:tc>
        <w:tc>
          <w:tcPr>
            <w:tcW w:w="1400" w:type="dxa"/>
            <w:vAlign w:val="bottom"/>
          </w:tcPr>
          <w:p>
            <w:pPr>
              <w:jc w:val="center"/>
              <w:ind w:left="390"/>
              <w:spacing w:after="0" w:line="215" w:lineRule="exact"/>
              <w:rPr>
                <w:sz w:val="20"/>
                <w:szCs w:val="20"/>
                <w:color w:val="auto"/>
              </w:rPr>
            </w:pPr>
            <w:r>
              <w:rPr>
                <w:rFonts w:ascii="Calibri" w:cs="Calibri" w:eastAsia="Calibri" w:hAnsi="Calibri"/>
                <w:sz w:val="18"/>
                <w:szCs w:val="18"/>
                <w:b w:val="1"/>
                <w:bCs w:val="1"/>
                <w:color w:val="auto"/>
                <w:w w:val="99"/>
              </w:rPr>
              <w:t>18.1</w:t>
            </w:r>
          </w:p>
        </w:tc>
        <w:tc>
          <w:tcPr>
            <w:tcW w:w="500" w:type="dxa"/>
            <w:vAlign w:val="bottom"/>
            <w:tcBorders>
              <w:right w:val="single" w:sz="8" w:color="007CBA"/>
            </w:tcBorders>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jc w:val="center"/>
              <w:ind w:right="410"/>
              <w:spacing w:after="0" w:line="215" w:lineRule="exact"/>
              <w:rPr>
                <w:sz w:val="20"/>
                <w:szCs w:val="20"/>
                <w:color w:val="auto"/>
              </w:rPr>
            </w:pPr>
            <w:r>
              <w:rPr>
                <w:rFonts w:ascii="Calibri" w:cs="Calibri" w:eastAsia="Calibri" w:hAnsi="Calibri"/>
                <w:sz w:val="18"/>
                <w:szCs w:val="18"/>
                <w:color w:val="auto"/>
              </w:rPr>
              <w:t>18.3</w:t>
            </w:r>
          </w:p>
        </w:tc>
      </w:tr>
      <w:tr>
        <w:trPr>
          <w:trHeight w:val="217"/>
        </w:trPr>
        <w:tc>
          <w:tcPr>
            <w:tcW w:w="7460" w:type="dxa"/>
            <w:vAlign w:val="bottom"/>
            <w:tcBorders>
              <w:right w:val="single" w:sz="8" w:color="007CBA"/>
            </w:tcBorders>
            <w:shd w:val="clear" w:color="auto" w:fill="E5F1F8"/>
          </w:tcPr>
          <w:p>
            <w:pPr>
              <w:spacing w:after="0"/>
              <w:rPr>
                <w:sz w:val="18"/>
                <w:szCs w:val="18"/>
                <w:color w:val="auto"/>
              </w:rPr>
            </w:pPr>
          </w:p>
        </w:tc>
        <w:tc>
          <w:tcPr>
            <w:tcW w:w="1400" w:type="dxa"/>
            <w:vAlign w:val="bottom"/>
            <w:shd w:val="clear" w:color="auto" w:fill="E5F1F8"/>
          </w:tcPr>
          <w:p>
            <w:pPr>
              <w:spacing w:after="0"/>
              <w:rPr>
                <w:sz w:val="18"/>
                <w:szCs w:val="18"/>
                <w:color w:val="auto"/>
              </w:rPr>
            </w:pPr>
          </w:p>
        </w:tc>
        <w:tc>
          <w:tcPr>
            <w:tcW w:w="500" w:type="dxa"/>
            <w:vAlign w:val="bottom"/>
            <w:tcBorders>
              <w:right w:val="single" w:sz="8" w:color="007CBA"/>
            </w:tcBorders>
            <w:shd w:val="clear" w:color="auto" w:fill="E5F1F8"/>
          </w:tcPr>
          <w:p>
            <w:pPr>
              <w:spacing w:after="0"/>
              <w:rPr>
                <w:sz w:val="18"/>
                <w:szCs w:val="18"/>
                <w:color w:val="auto"/>
              </w:rPr>
            </w:pPr>
          </w:p>
        </w:tc>
        <w:tc>
          <w:tcPr>
            <w:tcW w:w="500" w:type="dxa"/>
            <w:vAlign w:val="bottom"/>
            <w:shd w:val="clear" w:color="auto" w:fill="E5F1F8"/>
          </w:tcPr>
          <w:p>
            <w:pPr>
              <w:spacing w:after="0"/>
              <w:rPr>
                <w:sz w:val="18"/>
                <w:szCs w:val="18"/>
                <w:color w:val="auto"/>
              </w:rPr>
            </w:pPr>
          </w:p>
        </w:tc>
        <w:tc>
          <w:tcPr>
            <w:tcW w:w="1380" w:type="dxa"/>
            <w:vAlign w:val="bottom"/>
            <w:shd w:val="clear" w:color="auto" w:fill="E5F1F8"/>
          </w:tcPr>
          <w:p>
            <w:pPr>
              <w:spacing w:after="0"/>
              <w:rPr>
                <w:sz w:val="18"/>
                <w:szCs w:val="18"/>
                <w:color w:val="auto"/>
              </w:rPr>
            </w:pP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Weighted-average discount rates:</w:t>
            </w:r>
          </w:p>
        </w:tc>
        <w:tc>
          <w:tcPr>
            <w:tcW w:w="1400" w:type="dxa"/>
            <w:vAlign w:val="bottom"/>
          </w:tcPr>
          <w:p>
            <w:pPr>
              <w:spacing w:after="0"/>
              <w:rPr>
                <w:sz w:val="18"/>
                <w:szCs w:val="18"/>
                <w:color w:val="auto"/>
              </w:rPr>
            </w:pPr>
          </w:p>
        </w:tc>
        <w:tc>
          <w:tcPr>
            <w:tcW w:w="500" w:type="dxa"/>
            <w:vAlign w:val="bottom"/>
            <w:tcBorders>
              <w:right w:val="single" w:sz="8" w:color="007CBA"/>
            </w:tcBorders>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460" w:type="dxa"/>
            <w:vAlign w:val="bottom"/>
            <w:tcBorders>
              <w:right w:val="single" w:sz="8" w:color="007CBA"/>
            </w:tcBorders>
            <w:shd w:val="clear" w:color="auto" w:fill="E5F1F8"/>
          </w:tcPr>
          <w:p>
            <w:pPr>
              <w:ind w:left="320"/>
              <w:spacing w:after="0" w:line="216" w:lineRule="exact"/>
              <w:rPr>
                <w:sz w:val="20"/>
                <w:szCs w:val="20"/>
                <w:color w:val="auto"/>
              </w:rPr>
            </w:pPr>
            <w:r>
              <w:rPr>
                <w:rFonts w:ascii="Calibri" w:cs="Calibri" w:eastAsia="Calibri" w:hAnsi="Calibri"/>
                <w:sz w:val="18"/>
                <w:szCs w:val="18"/>
                <w:color w:val="auto"/>
              </w:rPr>
              <w:t>Operatng leases</w:t>
            </w:r>
          </w:p>
        </w:tc>
        <w:tc>
          <w:tcPr>
            <w:tcW w:w="1400" w:type="dxa"/>
            <w:vAlign w:val="bottom"/>
            <w:shd w:val="clear" w:color="auto" w:fill="E5F1F8"/>
          </w:tcPr>
          <w:p>
            <w:pPr>
              <w:jc w:val="center"/>
              <w:ind w:left="390"/>
              <w:spacing w:after="0" w:line="216" w:lineRule="exact"/>
              <w:rPr>
                <w:sz w:val="20"/>
                <w:szCs w:val="20"/>
                <w:color w:val="auto"/>
              </w:rPr>
            </w:pPr>
            <w:r>
              <w:rPr>
                <w:rFonts w:ascii="Calibri" w:cs="Calibri" w:eastAsia="Calibri" w:hAnsi="Calibri"/>
                <w:sz w:val="18"/>
                <w:szCs w:val="18"/>
                <w:b w:val="1"/>
                <w:bCs w:val="1"/>
                <w:color w:val="auto"/>
                <w:w w:val="99"/>
              </w:rPr>
              <w:t>4.6%</w:t>
            </w:r>
          </w:p>
        </w:tc>
        <w:tc>
          <w:tcPr>
            <w:tcW w:w="500" w:type="dxa"/>
            <w:vAlign w:val="bottom"/>
            <w:tcBorders>
              <w:right w:val="single" w:sz="8" w:color="007CBA"/>
            </w:tcBorders>
            <w:shd w:val="clear" w:color="auto" w:fill="E5F1F8"/>
          </w:tcPr>
          <w:p>
            <w:pPr>
              <w:spacing w:after="0"/>
              <w:rPr>
                <w:sz w:val="18"/>
                <w:szCs w:val="18"/>
                <w:color w:val="auto"/>
              </w:rPr>
            </w:pPr>
          </w:p>
        </w:tc>
        <w:tc>
          <w:tcPr>
            <w:tcW w:w="500" w:type="dxa"/>
            <w:vAlign w:val="bottom"/>
            <w:shd w:val="clear" w:color="auto" w:fill="E5F1F8"/>
          </w:tcPr>
          <w:p>
            <w:pPr>
              <w:spacing w:after="0"/>
              <w:rPr>
                <w:sz w:val="18"/>
                <w:szCs w:val="18"/>
                <w:color w:val="auto"/>
              </w:rPr>
            </w:pPr>
          </w:p>
        </w:tc>
        <w:tc>
          <w:tcPr>
            <w:tcW w:w="1380" w:type="dxa"/>
            <w:vAlign w:val="bottom"/>
            <w:shd w:val="clear" w:color="auto" w:fill="E5F1F8"/>
          </w:tcPr>
          <w:p>
            <w:pPr>
              <w:jc w:val="center"/>
              <w:ind w:right="410"/>
              <w:spacing w:after="0" w:line="216" w:lineRule="exact"/>
              <w:rPr>
                <w:sz w:val="20"/>
                <w:szCs w:val="20"/>
                <w:color w:val="auto"/>
              </w:rPr>
            </w:pPr>
            <w:r>
              <w:rPr>
                <w:rFonts w:ascii="Calibri" w:cs="Calibri" w:eastAsia="Calibri" w:hAnsi="Calibri"/>
                <w:sz w:val="18"/>
                <w:szCs w:val="18"/>
                <w:color w:val="auto"/>
              </w:rPr>
              <w:t>4.3%</w:t>
            </w:r>
          </w:p>
        </w:tc>
      </w:tr>
      <w:tr>
        <w:trPr>
          <w:trHeight w:val="215"/>
        </w:trPr>
        <w:tc>
          <w:tcPr>
            <w:tcW w:w="7460" w:type="dxa"/>
            <w:vAlign w:val="bottom"/>
            <w:tcBorders>
              <w:bottom w:val="single" w:sz="8" w:color="auto"/>
            </w:tcBorders>
          </w:tcPr>
          <w:p>
            <w:pPr>
              <w:ind w:left="320"/>
              <w:spacing w:after="0" w:line="215" w:lineRule="exact"/>
              <w:rPr>
                <w:sz w:val="20"/>
                <w:szCs w:val="20"/>
                <w:color w:val="auto"/>
              </w:rPr>
            </w:pPr>
            <w:r>
              <w:rPr>
                <w:rFonts w:ascii="Calibri" w:cs="Calibri" w:eastAsia="Calibri" w:hAnsi="Calibri"/>
                <w:sz w:val="18"/>
                <w:szCs w:val="18"/>
                <w:color w:val="auto"/>
              </w:rPr>
              <w:t>Finance leases</w:t>
            </w:r>
          </w:p>
        </w:tc>
        <w:tc>
          <w:tcPr>
            <w:tcW w:w="1400" w:type="dxa"/>
            <w:vAlign w:val="bottom"/>
            <w:tcBorders>
              <w:bottom w:val="single" w:sz="8" w:color="auto"/>
            </w:tcBorders>
          </w:tcPr>
          <w:p>
            <w:pPr>
              <w:jc w:val="center"/>
              <w:ind w:left="390"/>
              <w:spacing w:after="0" w:line="215" w:lineRule="exact"/>
              <w:rPr>
                <w:sz w:val="20"/>
                <w:szCs w:val="20"/>
                <w:color w:val="auto"/>
              </w:rPr>
            </w:pPr>
            <w:r>
              <w:rPr>
                <w:rFonts w:ascii="Calibri" w:cs="Calibri" w:eastAsia="Calibri" w:hAnsi="Calibri"/>
                <w:sz w:val="18"/>
                <w:szCs w:val="18"/>
                <w:b w:val="1"/>
                <w:bCs w:val="1"/>
                <w:color w:val="auto"/>
                <w:w w:val="99"/>
              </w:rPr>
              <w:t>3.3%</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410"/>
              <w:spacing w:after="0" w:line="215" w:lineRule="exact"/>
              <w:rPr>
                <w:sz w:val="20"/>
                <w:szCs w:val="20"/>
                <w:color w:val="auto"/>
              </w:rPr>
            </w:pPr>
            <w:r>
              <w:rPr>
                <w:rFonts w:ascii="Calibri" w:cs="Calibri" w:eastAsia="Calibri" w:hAnsi="Calibri"/>
                <w:sz w:val="18"/>
                <w:szCs w:val="18"/>
                <w:color w:val="auto"/>
              </w:rPr>
              <w:t>2.6%</w:t>
            </w:r>
          </w:p>
        </w:tc>
      </w:tr>
      <w:tr>
        <w:trPr>
          <w:trHeight w:val="362"/>
        </w:trPr>
        <w:tc>
          <w:tcPr>
            <w:tcW w:w="7460" w:type="dxa"/>
            <w:vAlign w:val="bottom"/>
          </w:tcPr>
          <w:p>
            <w:pPr>
              <w:spacing w:after="0"/>
              <w:rPr>
                <w:sz w:val="20"/>
                <w:szCs w:val="20"/>
                <w:color w:val="auto"/>
              </w:rPr>
            </w:pPr>
            <w:r>
              <w:rPr>
                <w:rFonts w:ascii="Calibri" w:cs="Calibri" w:eastAsia="Calibri" w:hAnsi="Calibri"/>
                <w:sz w:val="18"/>
                <w:szCs w:val="18"/>
                <w:color w:val="auto"/>
              </w:rPr>
              <w:t>Future lease payments as of December 31, 2024 are as follows:</w:t>
            </w: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31"/>
        </w:trPr>
        <w:tc>
          <w:tcPr>
            <w:tcW w:w="7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15"/>
        </w:trPr>
        <w:tc>
          <w:tcPr>
            <w:tcW w:w="7460" w:type="dxa"/>
            <w:vAlign w:val="bottom"/>
            <w:tcBorders>
              <w:right w:val="single" w:sz="8" w:color="007CBA"/>
            </w:tcBorders>
            <w:shd w:val="clear" w:color="auto" w:fill="007CBA"/>
          </w:tcPr>
          <w:p>
            <w:pPr>
              <w:spacing w:after="0"/>
              <w:rPr>
                <w:sz w:val="18"/>
                <w:szCs w:val="18"/>
                <w:color w:val="auto"/>
              </w:rPr>
            </w:pPr>
          </w:p>
        </w:tc>
        <w:tc>
          <w:tcPr>
            <w:tcW w:w="1400" w:type="dxa"/>
            <w:vAlign w:val="bottom"/>
            <w:shd w:val="clear" w:color="auto" w:fill="007CBA"/>
          </w:tcPr>
          <w:p>
            <w:pPr>
              <w:jc w:val="right"/>
              <w:spacing w:after="0" w:line="215" w:lineRule="exact"/>
              <w:rPr>
                <w:sz w:val="20"/>
                <w:szCs w:val="20"/>
                <w:color w:val="auto"/>
              </w:rPr>
            </w:pPr>
            <w:r>
              <w:rPr>
                <w:rFonts w:ascii="Calibri" w:cs="Calibri" w:eastAsia="Calibri" w:hAnsi="Calibri"/>
                <w:sz w:val="18"/>
                <w:szCs w:val="18"/>
                <w:b w:val="1"/>
                <w:bCs w:val="1"/>
                <w:color w:val="FFFFFF"/>
              </w:rPr>
              <w:t>Operatng</w:t>
            </w:r>
          </w:p>
        </w:tc>
        <w:tc>
          <w:tcPr>
            <w:tcW w:w="500" w:type="dxa"/>
            <w:vAlign w:val="bottom"/>
            <w:tcBorders>
              <w:right w:val="single" w:sz="8" w:color="007CBA"/>
            </w:tcBorders>
            <w:shd w:val="clear" w:color="auto" w:fill="007CBA"/>
          </w:tcPr>
          <w:p>
            <w:pPr>
              <w:spacing w:after="0"/>
              <w:rPr>
                <w:sz w:val="18"/>
                <w:szCs w:val="18"/>
                <w:color w:val="auto"/>
              </w:rPr>
            </w:pPr>
          </w:p>
        </w:tc>
        <w:tc>
          <w:tcPr>
            <w:tcW w:w="500" w:type="dxa"/>
            <w:vAlign w:val="bottom"/>
            <w:shd w:val="clear" w:color="auto" w:fill="007CBA"/>
          </w:tcPr>
          <w:p>
            <w:pPr>
              <w:spacing w:after="0"/>
              <w:rPr>
                <w:sz w:val="18"/>
                <w:szCs w:val="18"/>
                <w:color w:val="auto"/>
              </w:rPr>
            </w:pPr>
          </w:p>
        </w:tc>
        <w:tc>
          <w:tcPr>
            <w:tcW w:w="1380" w:type="dxa"/>
            <w:vAlign w:val="bottom"/>
            <w:shd w:val="clear" w:color="auto" w:fill="007CBA"/>
          </w:tcPr>
          <w:p>
            <w:pPr>
              <w:jc w:val="right"/>
              <w:ind w:right="530"/>
              <w:spacing w:after="0" w:line="215" w:lineRule="exact"/>
              <w:rPr>
                <w:sz w:val="20"/>
                <w:szCs w:val="20"/>
                <w:color w:val="auto"/>
              </w:rPr>
            </w:pPr>
            <w:r>
              <w:rPr>
                <w:rFonts w:ascii="Calibri" w:cs="Calibri" w:eastAsia="Calibri" w:hAnsi="Calibri"/>
                <w:sz w:val="18"/>
                <w:szCs w:val="18"/>
                <w:b w:val="1"/>
                <w:bCs w:val="1"/>
                <w:color w:val="FFFFFF"/>
              </w:rPr>
              <w:t>Finance</w:t>
            </w:r>
          </w:p>
        </w:tc>
      </w:tr>
      <w:tr>
        <w:trPr>
          <w:trHeight w:val="231"/>
        </w:trPr>
        <w:tc>
          <w:tcPr>
            <w:tcW w:w="74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400" w:type="dxa"/>
            <w:vAlign w:val="bottom"/>
            <w:shd w:val="clear" w:color="auto" w:fill="007CBA"/>
          </w:tcPr>
          <w:p>
            <w:pPr>
              <w:jc w:val="right"/>
              <w:ind w:right="70"/>
              <w:spacing w:after="0" w:line="215" w:lineRule="exact"/>
              <w:rPr>
                <w:sz w:val="20"/>
                <w:szCs w:val="20"/>
                <w:color w:val="auto"/>
              </w:rPr>
            </w:pPr>
            <w:r>
              <w:rPr>
                <w:rFonts w:ascii="Calibri" w:cs="Calibri" w:eastAsia="Calibri" w:hAnsi="Calibri"/>
                <w:sz w:val="18"/>
                <w:szCs w:val="18"/>
                <w:b w:val="1"/>
                <w:bCs w:val="1"/>
                <w:color w:val="FFFFFF"/>
              </w:rPr>
              <w:t>Leases</w:t>
            </w:r>
          </w:p>
        </w:tc>
        <w:tc>
          <w:tcPr>
            <w:tcW w:w="500" w:type="dxa"/>
            <w:vAlign w:val="bottom"/>
            <w:tcBorders>
              <w:right w:val="single" w:sz="8" w:color="007CBA"/>
            </w:tcBorders>
            <w:shd w:val="clear" w:color="auto" w:fill="007CBA"/>
          </w:tcPr>
          <w:p>
            <w:pPr>
              <w:spacing w:after="0"/>
              <w:rPr>
                <w:sz w:val="20"/>
                <w:szCs w:val="20"/>
                <w:color w:val="auto"/>
              </w:rPr>
            </w:pPr>
          </w:p>
        </w:tc>
        <w:tc>
          <w:tcPr>
            <w:tcW w:w="500" w:type="dxa"/>
            <w:vAlign w:val="bottom"/>
            <w:shd w:val="clear" w:color="auto" w:fill="007CBA"/>
          </w:tcPr>
          <w:p>
            <w:pPr>
              <w:spacing w:after="0"/>
              <w:rPr>
                <w:sz w:val="20"/>
                <w:szCs w:val="20"/>
                <w:color w:val="auto"/>
              </w:rPr>
            </w:pPr>
          </w:p>
        </w:tc>
        <w:tc>
          <w:tcPr>
            <w:tcW w:w="1380" w:type="dxa"/>
            <w:vAlign w:val="bottom"/>
            <w:shd w:val="clear" w:color="auto" w:fill="007CBA"/>
          </w:tcPr>
          <w:p>
            <w:pPr>
              <w:jc w:val="right"/>
              <w:ind w:right="570"/>
              <w:spacing w:after="0" w:line="215" w:lineRule="exact"/>
              <w:rPr>
                <w:sz w:val="20"/>
                <w:szCs w:val="20"/>
                <w:color w:val="auto"/>
              </w:rPr>
            </w:pPr>
            <w:r>
              <w:rPr>
                <w:rFonts w:ascii="Calibri" w:cs="Calibri" w:eastAsia="Calibri" w:hAnsi="Calibri"/>
                <w:sz w:val="18"/>
                <w:szCs w:val="18"/>
                <w:b w:val="1"/>
                <w:bCs w:val="1"/>
                <w:color w:val="FFFFFF"/>
              </w:rPr>
              <w:t>Leases</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400" w:type="dxa"/>
            <w:vAlign w:val="bottom"/>
          </w:tcPr>
          <w:p>
            <w:pPr>
              <w:jc w:val="right"/>
              <w:ind w:right="99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72</w:t>
            </w:r>
          </w:p>
        </w:tc>
        <w:tc>
          <w:tcPr>
            <w:tcW w:w="5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26</w:t>
            </w:r>
          </w:p>
        </w:tc>
      </w:tr>
      <w:tr>
        <w:trPr>
          <w:trHeight w:val="217"/>
        </w:trPr>
        <w:tc>
          <w:tcPr>
            <w:tcW w:w="74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2026</w:t>
            </w:r>
          </w:p>
        </w:tc>
        <w:tc>
          <w:tcPr>
            <w:tcW w:w="1400" w:type="dxa"/>
            <w:vAlign w:val="bottom"/>
            <w:shd w:val="clear" w:color="auto" w:fill="E5F1F8"/>
          </w:tcPr>
          <w:p>
            <w:pPr>
              <w:spacing w:after="0"/>
              <w:rPr>
                <w:sz w:val="18"/>
                <w:szCs w:val="18"/>
                <w:color w:val="auto"/>
              </w:rPr>
            </w:pPr>
          </w:p>
        </w:tc>
        <w:tc>
          <w:tcPr>
            <w:tcW w:w="50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color w:val="auto"/>
              </w:rPr>
              <w:t>65</w:t>
            </w:r>
          </w:p>
        </w:tc>
        <w:tc>
          <w:tcPr>
            <w:tcW w:w="500" w:type="dxa"/>
            <w:vAlign w:val="bottom"/>
            <w:shd w:val="clear" w:color="auto" w:fill="E5F1F8"/>
          </w:tcPr>
          <w:p>
            <w:pPr>
              <w:spacing w:after="0"/>
              <w:rPr>
                <w:sz w:val="18"/>
                <w:szCs w:val="18"/>
                <w:color w:val="auto"/>
              </w:rPr>
            </w:pPr>
          </w:p>
        </w:tc>
        <w:tc>
          <w:tcPr>
            <w:tcW w:w="13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19</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400" w:type="dxa"/>
            <w:vAlign w:val="bottom"/>
          </w:tcPr>
          <w:p>
            <w:pPr>
              <w:spacing w:after="0"/>
              <w:rPr>
                <w:sz w:val="18"/>
                <w:szCs w:val="18"/>
                <w:color w:val="auto"/>
              </w:rPr>
            </w:pPr>
          </w:p>
        </w:tc>
        <w:tc>
          <w:tcPr>
            <w:tcW w:w="5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53</w:t>
            </w:r>
          </w:p>
        </w:tc>
        <w:tc>
          <w:tcPr>
            <w:tcW w:w="500" w:type="dxa"/>
            <w:vAlign w:val="bottom"/>
          </w:tcPr>
          <w:p>
            <w:pPr>
              <w:spacing w:after="0"/>
              <w:rPr>
                <w:sz w:val="18"/>
                <w:szCs w:val="18"/>
                <w:color w:val="auto"/>
              </w:rPr>
            </w:pP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18</w:t>
            </w:r>
          </w:p>
        </w:tc>
      </w:tr>
      <w:tr>
        <w:trPr>
          <w:trHeight w:val="217"/>
        </w:trPr>
        <w:tc>
          <w:tcPr>
            <w:tcW w:w="746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2028</w:t>
            </w:r>
          </w:p>
        </w:tc>
        <w:tc>
          <w:tcPr>
            <w:tcW w:w="1400" w:type="dxa"/>
            <w:vAlign w:val="bottom"/>
            <w:shd w:val="clear" w:color="auto" w:fill="E5F1F8"/>
          </w:tcPr>
          <w:p>
            <w:pPr>
              <w:spacing w:after="0"/>
              <w:rPr>
                <w:sz w:val="18"/>
                <w:szCs w:val="18"/>
                <w:color w:val="auto"/>
              </w:rPr>
            </w:pPr>
          </w:p>
        </w:tc>
        <w:tc>
          <w:tcPr>
            <w:tcW w:w="50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color w:val="auto"/>
              </w:rPr>
              <w:t>43</w:t>
            </w:r>
          </w:p>
        </w:tc>
        <w:tc>
          <w:tcPr>
            <w:tcW w:w="500" w:type="dxa"/>
            <w:vAlign w:val="bottom"/>
            <w:shd w:val="clear" w:color="auto" w:fill="E5F1F8"/>
          </w:tcPr>
          <w:p>
            <w:pPr>
              <w:spacing w:after="0"/>
              <w:rPr>
                <w:sz w:val="18"/>
                <w:szCs w:val="18"/>
                <w:color w:val="auto"/>
              </w:rPr>
            </w:pPr>
          </w:p>
        </w:tc>
        <w:tc>
          <w:tcPr>
            <w:tcW w:w="138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16</w:t>
            </w:r>
          </w:p>
        </w:tc>
      </w:tr>
      <w:tr>
        <w:trPr>
          <w:trHeight w:val="216"/>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2029</w:t>
            </w:r>
          </w:p>
        </w:tc>
        <w:tc>
          <w:tcPr>
            <w:tcW w:w="1400" w:type="dxa"/>
            <w:vAlign w:val="bottom"/>
          </w:tcPr>
          <w:p>
            <w:pPr>
              <w:spacing w:after="0"/>
              <w:rPr>
                <w:sz w:val="18"/>
                <w:szCs w:val="18"/>
                <w:color w:val="auto"/>
              </w:rPr>
            </w:pPr>
          </w:p>
        </w:tc>
        <w:tc>
          <w:tcPr>
            <w:tcW w:w="5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38</w:t>
            </w:r>
          </w:p>
        </w:tc>
        <w:tc>
          <w:tcPr>
            <w:tcW w:w="500" w:type="dxa"/>
            <w:vAlign w:val="bottom"/>
          </w:tcPr>
          <w:p>
            <w:pPr>
              <w:spacing w:after="0"/>
              <w:rPr>
                <w:sz w:val="18"/>
                <w:szCs w:val="18"/>
                <w:color w:val="auto"/>
              </w:rPr>
            </w:pPr>
          </w:p>
        </w:tc>
        <w:tc>
          <w:tcPr>
            <w:tcW w:w="1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15</w:t>
            </w:r>
          </w:p>
        </w:tc>
      </w:tr>
      <w:tr>
        <w:trPr>
          <w:trHeight w:val="215"/>
        </w:trPr>
        <w:tc>
          <w:tcPr>
            <w:tcW w:w="74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400" w:type="dxa"/>
            <w:vAlign w:val="bottom"/>
            <w:tcBorders>
              <w:bottom w:val="single" w:sz="8" w:color="auto"/>
            </w:tcBorders>
            <w:shd w:val="clear" w:color="auto" w:fill="E5F1F8"/>
          </w:tcPr>
          <w:p>
            <w:pPr>
              <w:spacing w:after="0"/>
              <w:rPr>
                <w:sz w:val="18"/>
                <w:szCs w:val="18"/>
                <w:color w:val="auto"/>
              </w:rPr>
            </w:pPr>
          </w:p>
        </w:tc>
        <w:tc>
          <w:tcPr>
            <w:tcW w:w="500" w:type="dxa"/>
            <w:vAlign w:val="bottom"/>
            <w:tcBorders>
              <w:bottom w:val="single" w:sz="8" w:color="auto"/>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234</w:t>
            </w:r>
          </w:p>
        </w:tc>
        <w:tc>
          <w:tcPr>
            <w:tcW w:w="50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202</w:t>
            </w:r>
          </w:p>
        </w:tc>
      </w:tr>
      <w:tr>
        <w:trPr>
          <w:trHeight w:val="210"/>
        </w:trPr>
        <w:tc>
          <w:tcPr>
            <w:tcW w:w="7460" w:type="dxa"/>
            <w:vAlign w:val="bottom"/>
            <w:tcBorders>
              <w:right w:val="single" w:sz="8" w:color="007CBA"/>
            </w:tcBorders>
          </w:tcPr>
          <w:p>
            <w:pPr>
              <w:ind w:left="120"/>
              <w:spacing w:after="0" w:line="210" w:lineRule="exact"/>
              <w:rPr>
                <w:sz w:val="20"/>
                <w:szCs w:val="20"/>
                <w:color w:val="auto"/>
              </w:rPr>
            </w:pPr>
            <w:r>
              <w:rPr>
                <w:rFonts w:ascii="Calibri" w:cs="Calibri" w:eastAsia="Calibri" w:hAnsi="Calibri"/>
                <w:sz w:val="18"/>
                <w:szCs w:val="18"/>
                <w:color w:val="auto"/>
              </w:rPr>
              <w:t>Total lease payments</w:t>
            </w:r>
          </w:p>
        </w:tc>
        <w:tc>
          <w:tcPr>
            <w:tcW w:w="1400" w:type="dxa"/>
            <w:vAlign w:val="bottom"/>
          </w:tcPr>
          <w:p>
            <w:pPr>
              <w:spacing w:after="0"/>
              <w:rPr>
                <w:sz w:val="18"/>
                <w:szCs w:val="18"/>
                <w:color w:val="auto"/>
              </w:rPr>
            </w:pPr>
          </w:p>
        </w:tc>
        <w:tc>
          <w:tcPr>
            <w:tcW w:w="500" w:type="dxa"/>
            <w:vAlign w:val="bottom"/>
            <w:tcBorders>
              <w:right w:val="single" w:sz="8" w:color="007CBA"/>
            </w:tcBorders>
          </w:tcPr>
          <w:p>
            <w:pPr>
              <w:jc w:val="right"/>
              <w:ind w:right="30"/>
              <w:spacing w:after="0" w:line="210" w:lineRule="exact"/>
              <w:rPr>
                <w:sz w:val="20"/>
                <w:szCs w:val="20"/>
                <w:color w:val="auto"/>
              </w:rPr>
            </w:pPr>
            <w:r>
              <w:rPr>
                <w:rFonts w:ascii="Calibri" w:cs="Calibri" w:eastAsia="Calibri" w:hAnsi="Calibri"/>
                <w:sz w:val="18"/>
                <w:szCs w:val="18"/>
                <w:color w:val="auto"/>
              </w:rPr>
              <w:t>505</w:t>
            </w:r>
          </w:p>
        </w:tc>
        <w:tc>
          <w:tcPr>
            <w:tcW w:w="500" w:type="dxa"/>
            <w:vAlign w:val="bottom"/>
          </w:tcPr>
          <w:p>
            <w:pPr>
              <w:spacing w:after="0"/>
              <w:rPr>
                <w:sz w:val="18"/>
                <w:szCs w:val="18"/>
                <w:color w:val="auto"/>
              </w:rPr>
            </w:pPr>
          </w:p>
        </w:tc>
        <w:tc>
          <w:tcPr>
            <w:tcW w:w="138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rPr>
              <w:t>296</w:t>
            </w:r>
          </w:p>
        </w:tc>
      </w:tr>
      <w:tr>
        <w:trPr>
          <w:trHeight w:val="215"/>
        </w:trPr>
        <w:tc>
          <w:tcPr>
            <w:tcW w:w="74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imputed interest</w:t>
            </w:r>
          </w:p>
        </w:tc>
        <w:tc>
          <w:tcPr>
            <w:tcW w:w="1400" w:type="dxa"/>
            <w:vAlign w:val="bottom"/>
            <w:tcBorders>
              <w:bottom w:val="single" w:sz="8" w:color="auto"/>
            </w:tcBorders>
            <w:shd w:val="clear" w:color="auto" w:fill="E5F1F8"/>
          </w:tcPr>
          <w:p>
            <w:pPr>
              <w:spacing w:after="0"/>
              <w:rPr>
                <w:sz w:val="18"/>
                <w:szCs w:val="18"/>
                <w:color w:val="auto"/>
              </w:rPr>
            </w:pPr>
          </w:p>
        </w:tc>
        <w:tc>
          <w:tcPr>
            <w:tcW w:w="50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(114 )</w:t>
            </w:r>
          </w:p>
        </w:tc>
        <w:tc>
          <w:tcPr>
            <w:tcW w:w="50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(75 )</w:t>
            </w:r>
          </w:p>
        </w:tc>
      </w:tr>
      <w:tr>
        <w:trPr>
          <w:trHeight w:val="210"/>
        </w:trPr>
        <w:tc>
          <w:tcPr>
            <w:tcW w:w="7460" w:type="dxa"/>
            <w:vAlign w:val="bottom"/>
            <w:tcBorders>
              <w:right w:val="single" w:sz="8" w:color="007CBA"/>
            </w:tcBorders>
          </w:tcPr>
          <w:p>
            <w:pPr>
              <w:ind w:left="120"/>
              <w:spacing w:after="0" w:line="210" w:lineRule="exact"/>
              <w:rPr>
                <w:sz w:val="20"/>
                <w:szCs w:val="20"/>
                <w:color w:val="auto"/>
              </w:rPr>
            </w:pPr>
            <w:r>
              <w:rPr>
                <w:rFonts w:ascii="Calibri" w:cs="Calibri" w:eastAsia="Calibri" w:hAnsi="Calibri"/>
                <w:sz w:val="18"/>
                <w:szCs w:val="18"/>
                <w:color w:val="auto"/>
              </w:rPr>
              <w:t>Present value of lease payments</w:t>
            </w:r>
          </w:p>
        </w:tc>
        <w:tc>
          <w:tcPr>
            <w:tcW w:w="1400" w:type="dxa"/>
            <w:vAlign w:val="bottom"/>
          </w:tcPr>
          <w:p>
            <w:pPr>
              <w:spacing w:after="0"/>
              <w:rPr>
                <w:sz w:val="18"/>
                <w:szCs w:val="18"/>
                <w:color w:val="auto"/>
              </w:rPr>
            </w:pPr>
          </w:p>
        </w:tc>
        <w:tc>
          <w:tcPr>
            <w:tcW w:w="500" w:type="dxa"/>
            <w:vAlign w:val="bottom"/>
            <w:tcBorders>
              <w:right w:val="single" w:sz="8" w:color="007CBA"/>
            </w:tcBorders>
          </w:tcPr>
          <w:p>
            <w:pPr>
              <w:jc w:val="right"/>
              <w:ind w:right="30"/>
              <w:spacing w:after="0" w:line="210" w:lineRule="exact"/>
              <w:rPr>
                <w:sz w:val="20"/>
                <w:szCs w:val="20"/>
                <w:color w:val="auto"/>
              </w:rPr>
            </w:pPr>
            <w:r>
              <w:rPr>
                <w:rFonts w:ascii="Calibri" w:cs="Calibri" w:eastAsia="Calibri" w:hAnsi="Calibri"/>
                <w:sz w:val="18"/>
                <w:szCs w:val="18"/>
                <w:color w:val="auto"/>
              </w:rPr>
              <w:t>391</w:t>
            </w:r>
          </w:p>
        </w:tc>
        <w:tc>
          <w:tcPr>
            <w:tcW w:w="500" w:type="dxa"/>
            <w:vAlign w:val="bottom"/>
          </w:tcPr>
          <w:p>
            <w:pPr>
              <w:spacing w:after="0"/>
              <w:rPr>
                <w:sz w:val="18"/>
                <w:szCs w:val="18"/>
                <w:color w:val="auto"/>
              </w:rPr>
            </w:pPr>
          </w:p>
        </w:tc>
        <w:tc>
          <w:tcPr>
            <w:tcW w:w="138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rPr>
              <w:t>221</w:t>
            </w:r>
          </w:p>
        </w:tc>
      </w:tr>
      <w:tr>
        <w:trPr>
          <w:trHeight w:val="215"/>
        </w:trPr>
        <w:tc>
          <w:tcPr>
            <w:tcW w:w="746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current lease obligatons</w:t>
            </w:r>
          </w:p>
        </w:tc>
        <w:tc>
          <w:tcPr>
            <w:tcW w:w="1400" w:type="dxa"/>
            <w:vAlign w:val="bottom"/>
            <w:tcBorders>
              <w:bottom w:val="single" w:sz="8" w:color="auto"/>
            </w:tcBorders>
            <w:shd w:val="clear" w:color="auto" w:fill="E5F1F8"/>
          </w:tcPr>
          <w:p>
            <w:pPr>
              <w:spacing w:after="0"/>
              <w:rPr>
                <w:sz w:val="18"/>
                <w:szCs w:val="18"/>
                <w:color w:val="auto"/>
              </w:rPr>
            </w:pPr>
          </w:p>
        </w:tc>
        <w:tc>
          <w:tcPr>
            <w:tcW w:w="50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(56 )</w:t>
            </w:r>
          </w:p>
        </w:tc>
        <w:tc>
          <w:tcPr>
            <w:tcW w:w="500" w:type="dxa"/>
            <w:vAlign w:val="bottom"/>
            <w:tcBorders>
              <w:bottom w:val="single" w:sz="8" w:color="auto"/>
            </w:tcBorders>
            <w:shd w:val="clear" w:color="auto" w:fill="E5F1F8"/>
          </w:tcPr>
          <w:p>
            <w:pPr>
              <w:spacing w:after="0"/>
              <w:rPr>
                <w:sz w:val="18"/>
                <w:szCs w:val="18"/>
                <w:color w:val="auto"/>
              </w:rPr>
            </w:pPr>
          </w:p>
        </w:tc>
        <w:tc>
          <w:tcPr>
            <w:tcW w:w="1380" w:type="dxa"/>
            <w:vAlign w:val="bottom"/>
            <w:tcBorders>
              <w:bottom w:val="single" w:sz="8" w:color="auto"/>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(19 )</w:t>
            </w:r>
          </w:p>
        </w:tc>
      </w:tr>
      <w:tr>
        <w:trPr>
          <w:trHeight w:val="210"/>
        </w:trPr>
        <w:tc>
          <w:tcPr>
            <w:tcW w:w="746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 long-term lease obligatons</w:t>
            </w:r>
          </w:p>
        </w:tc>
        <w:tc>
          <w:tcPr>
            <w:tcW w:w="1400" w:type="dxa"/>
            <w:vAlign w:val="bottom"/>
            <w:tcBorders>
              <w:bottom w:val="single" w:sz="8" w:color="auto"/>
            </w:tcBorders>
          </w:tcPr>
          <w:p>
            <w:pPr>
              <w:jc w:val="right"/>
              <w:ind w:right="990"/>
              <w:spacing w:after="0" w:line="209"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color w:val="auto"/>
              </w:rPr>
              <w:t>335</w:t>
            </w:r>
          </w:p>
        </w:tc>
        <w:tc>
          <w:tcPr>
            <w:tcW w:w="5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202</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205740</wp:posOffset>
            </wp:positionV>
            <wp:extent cx="325755" cy="1968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-2317750</wp:posOffset>
            </wp:positionV>
            <wp:extent cx="34290" cy="1708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-2317750</wp:posOffset>
            </wp:positionV>
            <wp:extent cx="34290" cy="1708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460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-886460</wp:posOffset>
            </wp:positionV>
            <wp:extent cx="34290" cy="1714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-886460</wp:posOffset>
            </wp:positionV>
            <wp:extent cx="34290" cy="1714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-603250</wp:posOffset>
            </wp:positionV>
            <wp:extent cx="34290" cy="1714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-603250</wp:posOffset>
            </wp:positionV>
            <wp:extent cx="34290" cy="1714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-320675</wp:posOffset>
            </wp:positionV>
            <wp:extent cx="34290" cy="3340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-320675</wp:posOffset>
            </wp:positionV>
            <wp:extent cx="34290" cy="3340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8" w:name="page99"/>
    <w:bookmarkEnd w:id="9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M: Shareholders’ Equity</w:t>
      </w:r>
    </w:p>
    <w:p>
      <w:pPr>
        <w:spacing w:after="0" w:line="5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authorized capital structure of the Company includes 100 million shares of common stock, with a par value of $0.01 per share. At December 31, 2024, approximately 1.0 million common shares were reserved for issuance under stock-based award plans.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authority granted by its Board of Directors, the Company can repurchase up to 20 million shares of common stock. During 2024, the Company repurchased 0.8 million shares of common stock. During each of 2023 and 2022, the Company repurchased 0.4 million shares of common stock. Future share repurchases are at the discreton of management. At December 31, 2024, 11.9 million shares of common stock were remaining under the Company’s repurchase authorizaton.</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N: Commitments and Contngencies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Legal and Administratve Proceedings. </w:t>
      </w:r>
      <w:r>
        <w:rPr>
          <w:rFonts w:ascii="Calibri" w:cs="Calibri" w:eastAsia="Calibri" w:hAnsi="Calibri"/>
          <w:sz w:val="18"/>
          <w:szCs w:val="18"/>
          <w:color w:val="000000"/>
        </w:rPr>
        <w:t>The Company is engaged in certain legal and administratve proceedings incidental to its normal business actvites. In</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opinion of management and counsel, based upon currently available facts, the likelihood is remote that the ultmate outcome of any litgaton and other proceedings, including those pertaining to environmental maters (see Note A), relatng to the Company and its subsidiaries, will have a material adverse efect on the overall results of the Company’s operatons, its cash fows or its fnancial positon.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Asset Retrement Obligatons. </w:t>
      </w:r>
      <w:r>
        <w:rPr>
          <w:rFonts w:ascii="Calibri" w:cs="Calibri" w:eastAsia="Calibri" w:hAnsi="Calibri"/>
          <w:sz w:val="18"/>
          <w:szCs w:val="18"/>
          <w:color w:val="000000"/>
        </w:rPr>
        <w:t>The Company incurs reclamaton and teardown costs as part of its mining and producton processes. Estmated future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 xml:space="preserve">obligatons are discounted to their present value and accreted to their projected future obligatons via charges to operatng expenses. Additonally, the fxed assets recorded concurrently with the liabilites are depreciated over the period untl retrement actvites are expected to occur. Total accreton and depreciaton expenses for 2024, 2023 and 2022 were $28 million, $17 million and $16 million, respectvely, and are included in </w:t>
      </w:r>
      <w:r>
        <w:rPr>
          <w:rFonts w:ascii="Calibri" w:cs="Calibri" w:eastAsia="Calibri" w:hAnsi="Calibri"/>
          <w:sz w:val="18"/>
          <w:szCs w:val="18"/>
          <w:i w:val="1"/>
          <w:iCs w:val="1"/>
          <w:color w:val="000000"/>
        </w:rPr>
        <w:t>Other operatng income, net</w:t>
      </w:r>
      <w:r>
        <w:rPr>
          <w:rFonts w:ascii="Calibri" w:cs="Calibri" w:eastAsia="Calibri" w:hAnsi="Calibri"/>
          <w:sz w:val="18"/>
          <w:szCs w:val="18"/>
          <w:color w:val="000000"/>
        </w:rPr>
        <w:t>, in the consolidated statements of earnings.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40" w:type="dxa"/>
            <w:vAlign w:val="bottom"/>
          </w:tcPr>
          <w:p>
            <w:pPr>
              <w:spacing w:after="0"/>
              <w:rPr>
                <w:sz w:val="20"/>
                <w:szCs w:val="20"/>
                <w:color w:val="auto"/>
              </w:rPr>
            </w:pPr>
            <w:r>
              <w:rPr>
                <w:rFonts w:ascii="Calibri" w:cs="Calibri" w:eastAsia="Calibri" w:hAnsi="Calibri"/>
                <w:sz w:val="18"/>
                <w:szCs w:val="18"/>
                <w:color w:val="auto"/>
              </w:rPr>
              <w:t>The following shows the changes in asset retrement obligatons: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32"/>
        </w:trPr>
        <w:tc>
          <w:tcPr>
            <w:tcW w:w="6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4"/>
        </w:trPr>
        <w:tc>
          <w:tcPr>
            <w:tcW w:w="634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spacing w:after="0"/>
              <w:rPr>
                <w:sz w:val="16"/>
                <w:szCs w:val="16"/>
                <w:color w:val="auto"/>
              </w:rPr>
            </w:pPr>
          </w:p>
        </w:tc>
        <w:tc>
          <w:tcPr>
            <w:tcW w:w="48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1160" w:type="dxa"/>
            <w:vAlign w:val="bottom"/>
            <w:shd w:val="clear" w:color="auto" w:fill="007CBA"/>
          </w:tcPr>
          <w:p>
            <w:pPr>
              <w:spacing w:after="0"/>
              <w:rPr>
                <w:sz w:val="16"/>
                <w:szCs w:val="16"/>
                <w:color w:val="auto"/>
              </w:rPr>
            </w:pPr>
          </w:p>
        </w:tc>
      </w:tr>
      <w:tr>
        <w:trPr>
          <w:trHeight w:val="218"/>
        </w:trPr>
        <w:tc>
          <w:tcPr>
            <w:tcW w:w="63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2024</w:t>
            </w:r>
          </w:p>
        </w:tc>
        <w:tc>
          <w:tcPr>
            <w:tcW w:w="48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shd w:val="clear" w:color="auto" w:fill="007CBA"/>
          </w:tcPr>
          <w:p>
            <w:pPr>
              <w:jc w:val="right"/>
              <w:ind w:right="530"/>
              <w:spacing w:after="0" w:line="215" w:lineRule="exact"/>
              <w:rPr>
                <w:sz w:val="20"/>
                <w:szCs w:val="20"/>
                <w:color w:val="auto"/>
              </w:rPr>
            </w:pPr>
            <w:r>
              <w:rPr>
                <w:rFonts w:ascii="Calibri" w:cs="Calibri" w:eastAsia="Calibri" w:hAnsi="Calibri"/>
                <w:sz w:val="18"/>
                <w:szCs w:val="18"/>
                <w:color w:val="FFFFFF"/>
              </w:rPr>
              <w:t>2023</w:t>
            </w:r>
          </w:p>
        </w:tc>
        <w:tc>
          <w:tcPr>
            <w:tcW w:w="46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Balance at beginning of year</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400</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380</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307</w:t>
            </w:r>
          </w:p>
        </w:tc>
      </w:tr>
      <w:tr>
        <w:trPr>
          <w:trHeight w:val="217"/>
        </w:trPr>
        <w:tc>
          <w:tcPr>
            <w:tcW w:w="63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Accreton expense</w:t>
            </w:r>
          </w:p>
        </w:tc>
        <w:tc>
          <w:tcPr>
            <w:tcW w:w="48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11</w:t>
            </w:r>
          </w:p>
        </w:tc>
        <w:tc>
          <w:tcPr>
            <w:tcW w:w="48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11</w:t>
            </w: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10</w:t>
            </w:r>
          </w:p>
        </w:tc>
      </w:tr>
      <w:tr>
        <w:trPr>
          <w:trHeight w:val="215"/>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Liabilites incurred and liabilites assumed in business combinatons</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34</w:t>
            </w:r>
          </w:p>
        </w:tc>
        <w:tc>
          <w:tcPr>
            <w:tcW w:w="46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79</w:t>
            </w:r>
          </w:p>
        </w:tc>
      </w:tr>
      <w:tr>
        <w:trPr>
          <w:trHeight w:val="217"/>
        </w:trPr>
        <w:tc>
          <w:tcPr>
            <w:tcW w:w="63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Liabilites setled</w:t>
            </w:r>
          </w:p>
        </w:tc>
        <w:tc>
          <w:tcPr>
            <w:tcW w:w="48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b w:val="1"/>
                <w:bCs w:val="1"/>
                <w:color w:val="auto"/>
              </w:rPr>
              <w:t>(2 )</w:t>
            </w:r>
          </w:p>
        </w:tc>
        <w:tc>
          <w:tcPr>
            <w:tcW w:w="48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(28 )</w:t>
            </w: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jc w:val="right"/>
              <w:spacing w:after="0" w:line="216" w:lineRule="exact"/>
              <w:rPr>
                <w:sz w:val="20"/>
                <w:szCs w:val="20"/>
                <w:color w:val="auto"/>
              </w:rPr>
            </w:pPr>
            <w:r>
              <w:rPr>
                <w:rFonts w:ascii="Calibri" w:cs="Calibri" w:eastAsia="Calibri" w:hAnsi="Calibri"/>
                <w:sz w:val="18"/>
                <w:szCs w:val="18"/>
                <w:color w:val="auto"/>
              </w:rPr>
              <w:t>(14 )</w:t>
            </w:r>
          </w:p>
        </w:tc>
      </w:tr>
      <w:tr>
        <w:trPr>
          <w:trHeight w:val="216"/>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Revisions in estmated cash fows</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9</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(13 )</w:t>
            </w:r>
          </w:p>
        </w:tc>
        <w:tc>
          <w:tcPr>
            <w:tcW w:w="4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(3 )</w:t>
            </w:r>
          </w:p>
        </w:tc>
      </w:tr>
      <w:tr>
        <w:trPr>
          <w:trHeight w:val="215"/>
        </w:trPr>
        <w:tc>
          <w:tcPr>
            <w:tcW w:w="634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Liabilites reclassifed from assets held for sale</w:t>
            </w:r>
          </w:p>
        </w:tc>
        <w:tc>
          <w:tcPr>
            <w:tcW w:w="48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w:t>
            </w:r>
          </w:p>
        </w:tc>
        <w:tc>
          <w:tcPr>
            <w:tcW w:w="48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16</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w:t>
            </w:r>
          </w:p>
        </w:tc>
      </w:tr>
      <w:tr>
        <w:trPr>
          <w:trHeight w:val="210"/>
        </w:trPr>
        <w:tc>
          <w:tcPr>
            <w:tcW w:w="634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Balance at end of year</w:t>
            </w:r>
          </w:p>
        </w:tc>
        <w:tc>
          <w:tcPr>
            <w:tcW w:w="48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432</w:t>
            </w:r>
          </w:p>
        </w:tc>
        <w:tc>
          <w:tcPr>
            <w:tcW w:w="48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400</w:t>
            </w:r>
          </w:p>
        </w:tc>
        <w:tc>
          <w:tcPr>
            <w:tcW w:w="46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380</w:t>
            </w: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-320675</wp:posOffset>
            </wp:positionV>
            <wp:extent cx="34290" cy="3340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-320675</wp:posOffset>
            </wp:positionV>
            <wp:extent cx="34290" cy="3340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-320675</wp:posOffset>
            </wp:positionV>
            <wp:extent cx="34290" cy="3340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13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4EAD8A"/>
        </w:rPr>
        <w:t>Other Environmental Maters</w:t>
      </w:r>
      <w:r>
        <w:rPr>
          <w:rFonts w:ascii="Calibri" w:cs="Calibri" w:eastAsia="Calibri" w:hAnsi="Calibri"/>
          <w:sz w:val="17"/>
          <w:szCs w:val="17"/>
          <w:color w:val="4EAD8A"/>
        </w:rPr>
        <w:t>.</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The Company’s operatons are subject to and afected by federal, state and local laws and regulatons relatng to the</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environment, health and safety, and other regulatory maters. Certain of the Company’s operatons may, from tme to tme, involve the use of substances that are classifed as toxic or hazardous within the meaning of these laws and regulatons. Environmental operatng permits are, or may be, required for certain of the Company’s operatons, and such permits are subject to modifcaton, renewal and revocaton. The Company regularly monitors and reviews its operatons, procedures and policies for compliance with these laws and regulatons. Despite these compliance eforts, risk of environmental remediaton liability is inherent in the operaton of the Company’s businesses, as it is with other companies engaged in similar businesses. The Company has no material provisions for environmental remediaton liabilites and does not believe such liabilites will have a material adverse efect on the Company in the future.</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 xml:space="preserve">Insurance Reserves. </w:t>
      </w:r>
      <w:r>
        <w:rPr>
          <w:rFonts w:ascii="Calibri" w:cs="Calibri" w:eastAsia="Calibri" w:hAnsi="Calibri"/>
          <w:sz w:val="18"/>
          <w:szCs w:val="18"/>
          <w:color w:val="000000"/>
        </w:rPr>
        <w:t>At December 31, 2024 and 2023, reserves of $53 million and $47 million, respectvely, were recorded for insurance claims.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Leters of Credit. </w:t>
      </w:r>
      <w:r>
        <w:rPr>
          <w:rFonts w:ascii="Calibri" w:cs="Calibri" w:eastAsia="Calibri" w:hAnsi="Calibri"/>
          <w:sz w:val="18"/>
          <w:szCs w:val="18"/>
          <w:color w:val="000000"/>
        </w:rPr>
        <w:t>In the normal course of business, the Company provides certain third partes with standby leter of credit agreements guaranteeing its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payment for certain insurance claims, contract performance and permit requirements. At December 31, 2024, the Company was contngently liable for $37 million in leters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84455</wp:posOffset>
            </wp:positionV>
            <wp:extent cx="325755" cy="1968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9" w:name="page100"/>
    <w:bookmarkEnd w:id="99"/>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Surety Bonds. </w:t>
      </w:r>
      <w:r>
        <w:rPr>
          <w:rFonts w:ascii="Calibri" w:cs="Calibri" w:eastAsia="Calibri" w:hAnsi="Calibri"/>
          <w:sz w:val="18"/>
          <w:szCs w:val="18"/>
          <w:color w:val="000000"/>
        </w:rPr>
        <w:t>At December 31, 2024, the Company was contngently liable for $818 million in surety bonds required by certain states and municipalites and</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their related agencies. The bonds are provided in the normal course of business and are principally for certain insurance claims, constructon contracts, reclamaton obligatons and mining permits guaranteeing the Company’s own performance. The Company has indemnifed the underwritng insurance company against any exposure under the surety bonds. In the Company’s past experience, no material claims have been made against these fnancial instruments.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Purchase Commitments. </w:t>
      </w:r>
      <w:r>
        <w:rPr>
          <w:rFonts w:ascii="Calibri" w:cs="Calibri" w:eastAsia="Calibri" w:hAnsi="Calibri"/>
          <w:sz w:val="18"/>
          <w:szCs w:val="18"/>
          <w:color w:val="000000"/>
        </w:rPr>
        <w:t>The Company had purchase commitments for property, plant and equipment of $162 million as of December 31, 2024. The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Company also had other purchase obligatons related to energy and service contracts of $158 million as of December 31, 2024. The Company’s contractual purchase commitments as of December 31, 2024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260" w:type="dxa"/>
            <w:vAlign w:val="bottom"/>
            <w:shd w:val="clear" w:color="auto" w:fill="007CBA"/>
          </w:tcPr>
          <w:p>
            <w:pPr>
              <w:spacing w:after="0"/>
              <w:rPr>
                <w:sz w:val="19"/>
                <w:szCs w:val="19"/>
                <w:color w:val="auto"/>
              </w:rPr>
            </w:pPr>
          </w:p>
        </w:tc>
        <w:tc>
          <w:tcPr>
            <w:tcW w:w="1240" w:type="dxa"/>
            <w:vAlign w:val="bottom"/>
            <w:shd w:val="clear" w:color="auto" w:fill="007CBA"/>
          </w:tcPr>
          <w:p>
            <w:pPr>
              <w:spacing w:after="0"/>
              <w:rPr>
                <w:sz w:val="19"/>
                <w:szCs w:val="19"/>
                <w:color w:val="auto"/>
              </w:rPr>
            </w:pPr>
          </w:p>
        </w:tc>
      </w:tr>
      <w:tr>
        <w:trPr>
          <w:trHeight w:val="215"/>
        </w:trPr>
        <w:tc>
          <w:tcPr>
            <w:tcW w:w="8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260" w:type="dxa"/>
            <w:vAlign w:val="bottom"/>
          </w:tcPr>
          <w:p>
            <w:pPr>
              <w:jc w:val="right"/>
              <w:ind w:right="77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215</w:t>
            </w:r>
          </w:p>
        </w:tc>
      </w:tr>
      <w:tr>
        <w:trPr>
          <w:trHeight w:val="217"/>
        </w:trPr>
        <w:tc>
          <w:tcPr>
            <w:tcW w:w="87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2026</w:t>
            </w:r>
          </w:p>
        </w:tc>
        <w:tc>
          <w:tcPr>
            <w:tcW w:w="1260" w:type="dxa"/>
            <w:vAlign w:val="bottom"/>
            <w:shd w:val="clear" w:color="auto" w:fill="E5F1F8"/>
          </w:tcPr>
          <w:p>
            <w:pPr>
              <w:spacing w:after="0"/>
              <w:rPr>
                <w:sz w:val="18"/>
                <w:szCs w:val="18"/>
                <w:color w:val="auto"/>
              </w:rPr>
            </w:pPr>
          </w:p>
        </w:tc>
        <w:tc>
          <w:tcPr>
            <w:tcW w:w="12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21</w:t>
            </w:r>
          </w:p>
        </w:tc>
      </w:tr>
      <w:tr>
        <w:trPr>
          <w:trHeight w:val="215"/>
        </w:trPr>
        <w:tc>
          <w:tcPr>
            <w:tcW w:w="8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260" w:type="dxa"/>
            <w:vAlign w:val="bottom"/>
          </w:tcPr>
          <w:p>
            <w:pPr>
              <w:spacing w:after="0"/>
              <w:rPr>
                <w:sz w:val="18"/>
                <w:szCs w:val="18"/>
                <w:color w:val="auto"/>
              </w:rPr>
            </w:pPr>
          </w:p>
        </w:tc>
        <w:tc>
          <w:tcPr>
            <w:tcW w:w="1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15</w:t>
            </w:r>
          </w:p>
        </w:tc>
      </w:tr>
      <w:tr>
        <w:trPr>
          <w:trHeight w:val="217"/>
        </w:trPr>
        <w:tc>
          <w:tcPr>
            <w:tcW w:w="87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2028</w:t>
            </w:r>
          </w:p>
        </w:tc>
        <w:tc>
          <w:tcPr>
            <w:tcW w:w="1260" w:type="dxa"/>
            <w:vAlign w:val="bottom"/>
            <w:shd w:val="clear" w:color="auto" w:fill="E5F1F8"/>
          </w:tcPr>
          <w:p>
            <w:pPr>
              <w:spacing w:after="0"/>
              <w:rPr>
                <w:sz w:val="18"/>
                <w:szCs w:val="18"/>
                <w:color w:val="auto"/>
              </w:rPr>
            </w:pPr>
          </w:p>
        </w:tc>
        <w:tc>
          <w:tcPr>
            <w:tcW w:w="124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12</w:t>
            </w:r>
          </w:p>
        </w:tc>
      </w:tr>
      <w:tr>
        <w:trPr>
          <w:trHeight w:val="216"/>
        </w:trPr>
        <w:tc>
          <w:tcPr>
            <w:tcW w:w="8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2029</w:t>
            </w:r>
          </w:p>
        </w:tc>
        <w:tc>
          <w:tcPr>
            <w:tcW w:w="1260" w:type="dxa"/>
            <w:vAlign w:val="bottom"/>
          </w:tcPr>
          <w:p>
            <w:pPr>
              <w:spacing w:after="0"/>
              <w:rPr>
                <w:sz w:val="18"/>
                <w:szCs w:val="18"/>
                <w:color w:val="auto"/>
              </w:rPr>
            </w:pPr>
          </w:p>
        </w:tc>
        <w:tc>
          <w:tcPr>
            <w:tcW w:w="1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12</w:t>
            </w:r>
          </w:p>
        </w:tc>
      </w:tr>
      <w:tr>
        <w:trPr>
          <w:trHeight w:val="215"/>
        </w:trPr>
        <w:tc>
          <w:tcPr>
            <w:tcW w:w="874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260" w:type="dxa"/>
            <w:vAlign w:val="bottom"/>
            <w:tcBorders>
              <w:bottom w:val="single" w:sz="8" w:color="auto"/>
            </w:tcBorders>
            <w:shd w:val="clear" w:color="auto" w:fill="E5F1F8"/>
          </w:tcPr>
          <w:p>
            <w:pPr>
              <w:spacing w:after="0"/>
              <w:rPr>
                <w:sz w:val="18"/>
                <w:szCs w:val="18"/>
                <w:color w:val="auto"/>
              </w:rPr>
            </w:pPr>
          </w:p>
        </w:tc>
        <w:tc>
          <w:tcPr>
            <w:tcW w:w="124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45</w:t>
            </w:r>
          </w:p>
        </w:tc>
      </w:tr>
      <w:tr>
        <w:trPr>
          <w:trHeight w:val="210"/>
        </w:trPr>
        <w:tc>
          <w:tcPr>
            <w:tcW w:w="874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1260" w:type="dxa"/>
            <w:vAlign w:val="bottom"/>
            <w:tcBorders>
              <w:bottom w:val="single" w:sz="8" w:color="auto"/>
            </w:tcBorders>
          </w:tcPr>
          <w:p>
            <w:pPr>
              <w:jc w:val="right"/>
              <w:ind w:right="770"/>
              <w:spacing w:after="0" w:line="209"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320</w:t>
            </w: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-320675</wp:posOffset>
            </wp:positionV>
            <wp:extent cx="33655" cy="3340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4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Capital expenditures in 2024, 2023 and 2022 that were purchase commitments as of the prior year end were $139 million, $111 million and $90 million, respectvely.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Contracts of Afreightment and Royalty Commitments. </w:t>
      </w:r>
      <w:r>
        <w:rPr>
          <w:rFonts w:ascii="Calibri" w:cs="Calibri" w:eastAsia="Calibri" w:hAnsi="Calibri"/>
          <w:sz w:val="18"/>
          <w:szCs w:val="18"/>
          <w:color w:val="000000"/>
        </w:rPr>
        <w:t>Future minimum contracts of afreightment and royalty commitments for all noncancelable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agreements that are not accounted for as leases on the Company’s consolidated balance sheet as of December 31, 2024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40" w:type="dxa"/>
            <w:vAlign w:val="bottom"/>
            <w:tcBorders>
              <w:right w:val="single" w:sz="8" w:color="007CBA"/>
            </w:tcBorders>
            <w:shd w:val="clear" w:color="auto" w:fill="007CBA"/>
          </w:tcPr>
          <w:p>
            <w:pPr>
              <w:spacing w:after="0"/>
              <w:rPr>
                <w:sz w:val="19"/>
                <w:szCs w:val="19"/>
                <w:color w:val="auto"/>
              </w:rPr>
            </w:pPr>
          </w:p>
        </w:tc>
        <w:tc>
          <w:tcPr>
            <w:tcW w:w="1680" w:type="dxa"/>
            <w:vAlign w:val="bottom"/>
            <w:shd w:val="clear" w:color="auto" w:fill="007CBA"/>
          </w:tcPr>
          <w:p>
            <w:pPr>
              <w:jc w:val="right"/>
              <w:ind w:right="70"/>
              <w:spacing w:after="0"/>
              <w:rPr>
                <w:sz w:val="20"/>
                <w:szCs w:val="20"/>
                <w:color w:val="auto"/>
              </w:rPr>
            </w:pPr>
            <w:r>
              <w:rPr>
                <w:rFonts w:ascii="Calibri" w:cs="Calibri" w:eastAsia="Calibri" w:hAnsi="Calibri"/>
                <w:sz w:val="18"/>
                <w:szCs w:val="18"/>
                <w:b w:val="1"/>
                <w:bCs w:val="1"/>
                <w:color w:val="FFFFFF"/>
              </w:rPr>
              <w:t>Contracts of</w:t>
            </w:r>
          </w:p>
        </w:tc>
        <w:tc>
          <w:tcPr>
            <w:tcW w:w="3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600" w:type="dxa"/>
            <w:vAlign w:val="bottom"/>
            <w:shd w:val="clear" w:color="auto" w:fill="007CBA"/>
          </w:tcPr>
          <w:p>
            <w:pPr>
              <w:jc w:val="right"/>
              <w:ind w:right="590"/>
              <w:spacing w:after="0"/>
              <w:rPr>
                <w:sz w:val="20"/>
                <w:szCs w:val="20"/>
                <w:color w:val="auto"/>
              </w:rPr>
            </w:pPr>
            <w:r>
              <w:rPr>
                <w:rFonts w:ascii="Calibri" w:cs="Calibri" w:eastAsia="Calibri" w:hAnsi="Calibri"/>
                <w:sz w:val="18"/>
                <w:szCs w:val="18"/>
                <w:b w:val="1"/>
                <w:bCs w:val="1"/>
                <w:color w:val="FFFFFF"/>
              </w:rPr>
              <w:t>Royalty</w:t>
            </w:r>
          </w:p>
        </w:tc>
      </w:tr>
      <w:tr>
        <w:trPr>
          <w:trHeight w:val="232"/>
        </w:trPr>
        <w:tc>
          <w:tcPr>
            <w:tcW w:w="71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680" w:type="dxa"/>
            <w:vAlign w:val="bottom"/>
            <w:tcBorders>
              <w:bottom w:val="single" w:sz="8" w:color="007CBA"/>
            </w:tcBorders>
            <w:shd w:val="clear" w:color="auto" w:fill="007CBA"/>
          </w:tcPr>
          <w:p>
            <w:pPr>
              <w:jc w:val="right"/>
              <w:spacing w:after="0" w:line="215" w:lineRule="exact"/>
              <w:rPr>
                <w:sz w:val="20"/>
                <w:szCs w:val="20"/>
                <w:color w:val="auto"/>
              </w:rPr>
            </w:pPr>
            <w:r>
              <w:rPr>
                <w:rFonts w:ascii="Calibri" w:cs="Calibri" w:eastAsia="Calibri" w:hAnsi="Calibri"/>
                <w:sz w:val="18"/>
                <w:szCs w:val="18"/>
                <w:b w:val="1"/>
                <w:bCs w:val="1"/>
                <w:color w:val="FFFFFF"/>
              </w:rPr>
              <w:t>Afreightment</w:t>
            </w:r>
          </w:p>
        </w:tc>
        <w:tc>
          <w:tcPr>
            <w:tcW w:w="380" w:type="dxa"/>
            <w:vAlign w:val="bottom"/>
            <w:tcBorders>
              <w:bottom w:val="single" w:sz="8" w:color="007CBA"/>
              <w:right w:val="single" w:sz="8" w:color="007CBA"/>
            </w:tcBorders>
            <w:shd w:val="clear" w:color="auto" w:fill="007CBA"/>
          </w:tcPr>
          <w:p>
            <w:pPr>
              <w:spacing w:after="0"/>
              <w:rPr>
                <w:sz w:val="20"/>
                <w:szCs w:val="20"/>
                <w:color w:val="auto"/>
              </w:rPr>
            </w:pPr>
          </w:p>
        </w:tc>
        <w:tc>
          <w:tcPr>
            <w:tcW w:w="440" w:type="dxa"/>
            <w:vAlign w:val="bottom"/>
            <w:tcBorders>
              <w:bottom w:val="single" w:sz="8" w:color="007CBA"/>
            </w:tcBorders>
            <w:shd w:val="clear" w:color="auto" w:fill="007CBA"/>
          </w:tcPr>
          <w:p>
            <w:pPr>
              <w:spacing w:after="0"/>
              <w:rPr>
                <w:sz w:val="20"/>
                <w:szCs w:val="20"/>
                <w:color w:val="auto"/>
              </w:rPr>
            </w:pPr>
          </w:p>
        </w:tc>
        <w:tc>
          <w:tcPr>
            <w:tcW w:w="1600" w:type="dxa"/>
            <w:vAlign w:val="bottom"/>
            <w:tcBorders>
              <w:bottom w:val="single" w:sz="8" w:color="007CBA"/>
            </w:tcBorders>
            <w:shd w:val="clear" w:color="auto" w:fill="007CBA"/>
          </w:tcPr>
          <w:p>
            <w:pPr>
              <w:jc w:val="right"/>
              <w:ind w:right="350"/>
              <w:spacing w:after="0" w:line="215" w:lineRule="exact"/>
              <w:rPr>
                <w:sz w:val="20"/>
                <w:szCs w:val="20"/>
                <w:color w:val="auto"/>
              </w:rPr>
            </w:pPr>
            <w:r>
              <w:rPr>
                <w:rFonts w:ascii="Calibri" w:cs="Calibri" w:eastAsia="Calibri" w:hAnsi="Calibri"/>
                <w:sz w:val="18"/>
                <w:szCs w:val="18"/>
                <w:b w:val="1"/>
                <w:bCs w:val="1"/>
                <w:color w:val="FFFFFF"/>
              </w:rPr>
              <w:t>Commitments</w:t>
            </w:r>
          </w:p>
        </w:tc>
      </w:tr>
      <w:tr>
        <w:trPr>
          <w:trHeight w:val="215"/>
        </w:trPr>
        <w:tc>
          <w:tcPr>
            <w:tcW w:w="71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2025</w:t>
            </w:r>
          </w:p>
        </w:tc>
        <w:tc>
          <w:tcPr>
            <w:tcW w:w="1680" w:type="dxa"/>
            <w:vAlign w:val="bottom"/>
          </w:tcPr>
          <w:p>
            <w:pPr>
              <w:jc w:val="right"/>
              <w:ind w:right="125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17</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27</w:t>
            </w:r>
          </w:p>
        </w:tc>
      </w:tr>
      <w:tr>
        <w:trPr>
          <w:trHeight w:val="217"/>
        </w:trPr>
        <w:tc>
          <w:tcPr>
            <w:tcW w:w="71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2026</w:t>
            </w:r>
          </w:p>
        </w:tc>
        <w:tc>
          <w:tcPr>
            <w:tcW w:w="1680" w:type="dxa"/>
            <w:vAlign w:val="bottom"/>
            <w:shd w:val="clear" w:color="auto" w:fill="E5F1F8"/>
          </w:tcPr>
          <w:p>
            <w:pPr>
              <w:spacing w:after="0"/>
              <w:rPr>
                <w:sz w:val="18"/>
                <w:szCs w:val="18"/>
                <w:color w:val="auto"/>
              </w:rPr>
            </w:pPr>
          </w:p>
        </w:tc>
        <w:tc>
          <w:tcPr>
            <w:tcW w:w="38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color w:val="auto"/>
              </w:rPr>
              <w:t>17</w:t>
            </w:r>
          </w:p>
        </w:tc>
        <w:tc>
          <w:tcPr>
            <w:tcW w:w="440" w:type="dxa"/>
            <w:vAlign w:val="bottom"/>
            <w:shd w:val="clear" w:color="auto" w:fill="E5F1F8"/>
          </w:tcPr>
          <w:p>
            <w:pPr>
              <w:spacing w:after="0"/>
              <w:rPr>
                <w:sz w:val="18"/>
                <w:szCs w:val="18"/>
                <w:color w:val="auto"/>
              </w:rPr>
            </w:pPr>
          </w:p>
        </w:tc>
        <w:tc>
          <w:tcPr>
            <w:tcW w:w="160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15</w:t>
            </w:r>
          </w:p>
        </w:tc>
      </w:tr>
      <w:tr>
        <w:trPr>
          <w:trHeight w:val="215"/>
        </w:trPr>
        <w:tc>
          <w:tcPr>
            <w:tcW w:w="71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2027</w:t>
            </w:r>
          </w:p>
        </w:tc>
        <w:tc>
          <w:tcPr>
            <w:tcW w:w="1680" w:type="dxa"/>
            <w:vAlign w:val="bottom"/>
          </w:tcPr>
          <w:p>
            <w:pPr>
              <w:spacing w:after="0"/>
              <w:rPr>
                <w:sz w:val="18"/>
                <w:szCs w:val="18"/>
                <w:color w:val="auto"/>
              </w:rPr>
            </w:pPr>
          </w:p>
        </w:tc>
        <w:tc>
          <w:tcPr>
            <w:tcW w:w="3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18</w:t>
            </w:r>
          </w:p>
        </w:tc>
        <w:tc>
          <w:tcPr>
            <w:tcW w:w="440" w:type="dxa"/>
            <w:vAlign w:val="bottom"/>
          </w:tcPr>
          <w:p>
            <w:pPr>
              <w:spacing w:after="0"/>
              <w:rPr>
                <w:sz w:val="18"/>
                <w:szCs w:val="18"/>
                <w:color w:val="auto"/>
              </w:rPr>
            </w:pPr>
          </w:p>
        </w:tc>
        <w:tc>
          <w:tcPr>
            <w:tcW w:w="16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14</w:t>
            </w:r>
          </w:p>
        </w:tc>
      </w:tr>
      <w:tr>
        <w:trPr>
          <w:trHeight w:val="217"/>
        </w:trPr>
        <w:tc>
          <w:tcPr>
            <w:tcW w:w="714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2028</w:t>
            </w:r>
          </w:p>
        </w:tc>
        <w:tc>
          <w:tcPr>
            <w:tcW w:w="1680" w:type="dxa"/>
            <w:vAlign w:val="bottom"/>
            <w:shd w:val="clear" w:color="auto" w:fill="E5F1F8"/>
          </w:tcPr>
          <w:p>
            <w:pPr>
              <w:spacing w:after="0"/>
              <w:rPr>
                <w:sz w:val="18"/>
                <w:szCs w:val="18"/>
                <w:color w:val="auto"/>
              </w:rPr>
            </w:pPr>
          </w:p>
        </w:tc>
        <w:tc>
          <w:tcPr>
            <w:tcW w:w="380" w:type="dxa"/>
            <w:vAlign w:val="bottom"/>
            <w:tcBorders>
              <w:right w:val="single" w:sz="8" w:color="007CBA"/>
            </w:tcBorders>
            <w:shd w:val="clear" w:color="auto" w:fill="E5F1F8"/>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440" w:type="dxa"/>
            <w:vAlign w:val="bottom"/>
            <w:shd w:val="clear" w:color="auto" w:fill="E5F1F8"/>
          </w:tcPr>
          <w:p>
            <w:pPr>
              <w:spacing w:after="0"/>
              <w:rPr>
                <w:sz w:val="18"/>
                <w:szCs w:val="18"/>
                <w:color w:val="auto"/>
              </w:rPr>
            </w:pPr>
          </w:p>
        </w:tc>
        <w:tc>
          <w:tcPr>
            <w:tcW w:w="160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13</w:t>
            </w:r>
          </w:p>
        </w:tc>
      </w:tr>
      <w:tr>
        <w:trPr>
          <w:trHeight w:val="216"/>
        </w:trPr>
        <w:tc>
          <w:tcPr>
            <w:tcW w:w="71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2029</w:t>
            </w:r>
          </w:p>
        </w:tc>
        <w:tc>
          <w:tcPr>
            <w:tcW w:w="1680" w:type="dxa"/>
            <w:vAlign w:val="bottom"/>
          </w:tcPr>
          <w:p>
            <w:pPr>
              <w:spacing w:after="0"/>
              <w:rPr>
                <w:sz w:val="18"/>
                <w:szCs w:val="18"/>
                <w:color w:val="auto"/>
              </w:rPr>
            </w:pPr>
          </w:p>
        </w:tc>
        <w:tc>
          <w:tcPr>
            <w:tcW w:w="3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spacing w:after="0"/>
              <w:rPr>
                <w:sz w:val="18"/>
                <w:szCs w:val="18"/>
                <w:color w:val="auto"/>
              </w:rPr>
            </w:pPr>
          </w:p>
        </w:tc>
        <w:tc>
          <w:tcPr>
            <w:tcW w:w="16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10</w:t>
            </w:r>
          </w:p>
        </w:tc>
      </w:tr>
      <w:tr>
        <w:trPr>
          <w:trHeight w:val="215"/>
        </w:trPr>
        <w:tc>
          <w:tcPr>
            <w:tcW w:w="714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680" w:type="dxa"/>
            <w:vAlign w:val="bottom"/>
            <w:tcBorders>
              <w:bottom w:val="single" w:sz="8" w:color="auto"/>
            </w:tcBorders>
            <w:shd w:val="clear" w:color="auto" w:fill="E5F1F8"/>
          </w:tcPr>
          <w:p>
            <w:pPr>
              <w:spacing w:after="0"/>
              <w:rPr>
                <w:sz w:val="18"/>
                <w:szCs w:val="18"/>
                <w:color w:val="auto"/>
              </w:rPr>
            </w:pPr>
          </w:p>
        </w:tc>
        <w:tc>
          <w:tcPr>
            <w:tcW w:w="380" w:type="dxa"/>
            <w:vAlign w:val="bottom"/>
            <w:tcBorders>
              <w:bottom w:val="single" w:sz="8" w:color="auto"/>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auto"/>
            </w:tcBorders>
            <w:shd w:val="clear" w:color="auto" w:fill="E5F1F8"/>
          </w:tcPr>
          <w:p>
            <w:pPr>
              <w:spacing w:after="0"/>
              <w:rPr>
                <w:sz w:val="18"/>
                <w:szCs w:val="18"/>
                <w:color w:val="auto"/>
              </w:rPr>
            </w:pPr>
          </w:p>
        </w:tc>
        <w:tc>
          <w:tcPr>
            <w:tcW w:w="160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86</w:t>
            </w:r>
          </w:p>
        </w:tc>
      </w:tr>
      <w:tr>
        <w:trPr>
          <w:trHeight w:val="210"/>
        </w:trPr>
        <w:tc>
          <w:tcPr>
            <w:tcW w:w="714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1680" w:type="dxa"/>
            <w:vAlign w:val="bottom"/>
            <w:tcBorders>
              <w:bottom w:val="single" w:sz="8" w:color="auto"/>
            </w:tcBorders>
          </w:tcPr>
          <w:p>
            <w:pPr>
              <w:jc w:val="right"/>
              <w:ind w:right="1250"/>
              <w:spacing w:after="0" w:line="209" w:lineRule="exact"/>
              <w:rPr>
                <w:sz w:val="20"/>
                <w:szCs w:val="20"/>
                <w:color w:val="auto"/>
              </w:rPr>
            </w:pPr>
            <w:r>
              <w:rPr>
                <w:rFonts w:ascii="Calibri" w:cs="Calibri" w:eastAsia="Calibri" w:hAnsi="Calibri"/>
                <w:sz w:val="18"/>
                <w:szCs w:val="18"/>
                <w:color w:val="auto"/>
              </w:rPr>
              <w:t>$</w:t>
            </w:r>
          </w:p>
        </w:tc>
        <w:tc>
          <w:tcPr>
            <w:tcW w:w="38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color w:val="auto"/>
              </w:rPr>
              <w:t>52</w:t>
            </w:r>
          </w:p>
        </w:tc>
        <w:tc>
          <w:tcPr>
            <w:tcW w:w="44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160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165</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1460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-320675</wp:posOffset>
            </wp:positionV>
            <wp:extent cx="33655" cy="3340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-320675</wp:posOffset>
            </wp:positionV>
            <wp:extent cx="34290" cy="3340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Employees. </w:t>
      </w:r>
      <w:r>
        <w:rPr>
          <w:rFonts w:ascii="Calibri" w:cs="Calibri" w:eastAsia="Calibri" w:hAnsi="Calibri"/>
          <w:sz w:val="18"/>
          <w:szCs w:val="18"/>
          <w:color w:val="000000"/>
        </w:rPr>
        <w:t>Approximately 13% of the Company’s employees are represented by a labor union. All such employees are hourly employees. The Company</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maintains collectve bargaining agreements relatng to the union employees within the Building Materials business and Magnesia Specialtes segment. All of the hourly employees of the Magnesia Specialtes segment, located in Manistee, Michigan, and Woodville, Ohio, are represented by labor unions. The Woodville collectve bargaining agreement expires in June 2026. The Manistee collectve bargaining agreement expires in August 2027.</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O: Segments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the Building Materials business is comprised of four divisions that represent individual operatng segments. These operatng segments are consolidated into two reportable segments, the East Group and the West Group, for fnancial reportng purposes, as they meet the aggregaton criteria. The Magnesia Specialtes business represents an individual operatng and reportable segment. The accountng policies used for segment reportng are the same as those described in Note A.</w:t>
      </w:r>
    </w:p>
    <w:p>
      <w:pPr>
        <w:spacing w:after="0" w:line="111" w:lineRule="exact"/>
        <w:rPr>
          <w:sz w:val="20"/>
          <w:szCs w:val="20"/>
          <w:color w:val="auto"/>
        </w:rPr>
      </w:pPr>
    </w:p>
    <w:p>
      <w:pPr>
        <w:jc w:val="both"/>
        <w:spacing w:after="0" w:line="238" w:lineRule="auto"/>
        <w:rPr>
          <w:sz w:val="20"/>
          <w:szCs w:val="20"/>
          <w:color w:val="auto"/>
        </w:rPr>
      </w:pPr>
      <w:r>
        <w:rPr>
          <w:rFonts w:ascii="Calibri" w:cs="Calibri" w:eastAsia="Calibri" w:hAnsi="Calibri"/>
          <w:sz w:val="18"/>
          <w:szCs w:val="18"/>
          <w:color w:val="auto"/>
        </w:rPr>
        <w:t>The Company’s Chief Operatng Decision Maker (CODM) is the Chair, President and Chief Executve Ofcer. The CODM reviews results by reportable segment on a quarterly basis and allocates resources to achieve the Company’s strategic objectves based on an evaluaton of each reportable segment’s performance. This evaluaton is largely based on segment earnings from operatons, as management believes this is the best metric of segment proftability and operatng performance. Segment earnings from operatons is also a measure in the determinaton of incentve compensaton targets and awards</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Segment earnings from operatons include revenues less cost of revenues; selling, general and administratve expenses; other operatng income and expenses, net; and exclude interest income and expense; other nonoperatng income and expenses, net; and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84455</wp:posOffset>
            </wp:positionV>
            <wp:extent cx="325755" cy="1968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0" w:name="page101"/>
    <w:bookmarkEnd w:id="100"/>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signifcant expense categories shown below align with the segment-level informaton regularly provided to the CODM. Other costs of revenues for each reportable segment include mainly repairs and maintenance, contract services, supplies and royaltes.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Corporate loss from operatons primarily includes depreciaton and amortzaton; expenses for corporate administratve functons; acquisiton, divestture and integraton expenses; and other nonrecurring income and expenses not atributable to operatons of the Company's other operatng segments.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tables display selected fnancial data for the Company’s reportable segments. Revenues, as presented on the consolidated statements of earnings, refect the eliminaton of intersegment revenues, which represent sales from one segment to another segment and are immaterial. Revenues and earnings (loss) from operatons refect contnuing operatons only. Income tax expense is not allocated to the Company's reportable segments.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Earnings from operatons for the West Group included a $1.3 billion gain and $16 million of transacton expenses in 2024 and $6 million of transacton expenses in 2023 on the divestture of the South Texas cement business and certain of its related ready mixed concrete operatons (see Note B); a noncash asset and portolio ratonalizaton charge of $50 million (see Note R) in 2024; and a nonrecurring gain on divestture of $152 million in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tcBorders>
              <w:right w:val="single" w:sz="8" w:color="007CBA"/>
            </w:tcBorders>
            <w:shd w:val="clear" w:color="auto" w:fill="007CBA"/>
          </w:tcPr>
          <w:p>
            <w:pPr>
              <w:spacing w:after="0"/>
              <w:rPr>
                <w:sz w:val="16"/>
                <w:szCs w:val="16"/>
                <w:color w:val="auto"/>
              </w:rPr>
            </w:pPr>
          </w:p>
        </w:tc>
        <w:tc>
          <w:tcPr>
            <w:tcW w:w="240" w:type="dxa"/>
            <w:vAlign w:val="bottom"/>
            <w:tcBorders>
              <w:right w:val="single" w:sz="8" w:color="007CBA"/>
            </w:tcBorders>
            <w:shd w:val="clear" w:color="auto" w:fill="007CBA"/>
          </w:tcPr>
          <w:p>
            <w:pPr>
              <w:spacing w:after="0"/>
              <w:rPr>
                <w:sz w:val="16"/>
                <w:szCs w:val="16"/>
                <w:color w:val="auto"/>
              </w:rPr>
            </w:pPr>
          </w:p>
        </w:tc>
        <w:tc>
          <w:tcPr>
            <w:tcW w:w="340" w:type="dxa"/>
            <w:vAlign w:val="bottom"/>
            <w:shd w:val="clear" w:color="auto" w:fill="007CBA"/>
          </w:tcPr>
          <w:p>
            <w:pPr>
              <w:spacing w:after="0"/>
              <w:rPr>
                <w:sz w:val="16"/>
                <w:szCs w:val="16"/>
                <w:color w:val="auto"/>
              </w:rPr>
            </w:pPr>
          </w:p>
        </w:tc>
        <w:tc>
          <w:tcPr>
            <w:tcW w:w="620" w:type="dxa"/>
            <w:vAlign w:val="bottom"/>
            <w:tcBorders>
              <w:right w:val="single" w:sz="8" w:color="007CBA"/>
            </w:tcBorders>
            <w:shd w:val="clear" w:color="auto" w:fill="007CBA"/>
          </w:tcPr>
          <w:p>
            <w:pPr>
              <w:spacing w:after="0"/>
              <w:rPr>
                <w:sz w:val="16"/>
                <w:szCs w:val="16"/>
                <w:color w:val="auto"/>
              </w:rPr>
            </w:pPr>
          </w:p>
        </w:tc>
        <w:tc>
          <w:tcPr>
            <w:tcW w:w="80" w:type="dxa"/>
            <w:vAlign w:val="bottom"/>
            <w:shd w:val="clear" w:color="auto" w:fill="007CBA"/>
          </w:tcPr>
          <w:p>
            <w:pPr>
              <w:spacing w:after="0"/>
              <w:rPr>
                <w:sz w:val="16"/>
                <w:szCs w:val="16"/>
                <w:color w:val="auto"/>
              </w:rPr>
            </w:pPr>
          </w:p>
        </w:tc>
        <w:tc>
          <w:tcPr>
            <w:tcW w:w="120" w:type="dxa"/>
            <w:vAlign w:val="bottom"/>
            <w:tcBorders>
              <w:right w:val="single" w:sz="8" w:color="007CBA"/>
            </w:tcBorders>
            <w:shd w:val="clear" w:color="auto" w:fill="007CBA"/>
          </w:tcPr>
          <w:p>
            <w:pPr>
              <w:spacing w:after="0"/>
              <w:rPr>
                <w:sz w:val="16"/>
                <w:szCs w:val="16"/>
                <w:color w:val="auto"/>
              </w:rPr>
            </w:pPr>
          </w:p>
        </w:tc>
        <w:tc>
          <w:tcPr>
            <w:tcW w:w="80" w:type="dxa"/>
            <w:vAlign w:val="bottom"/>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160" w:type="dxa"/>
            <w:vAlign w:val="bottom"/>
            <w:tcBorders>
              <w:right w:val="single" w:sz="8" w:color="007CBA"/>
            </w:tcBorders>
            <w:shd w:val="clear" w:color="auto" w:fill="007CBA"/>
          </w:tcPr>
          <w:p>
            <w:pPr>
              <w:spacing w:after="0"/>
              <w:rPr>
                <w:sz w:val="16"/>
                <w:szCs w:val="16"/>
                <w:color w:val="auto"/>
              </w:rPr>
            </w:pPr>
          </w:p>
        </w:tc>
        <w:tc>
          <w:tcPr>
            <w:tcW w:w="40" w:type="dxa"/>
            <w:vAlign w:val="bottom"/>
            <w:shd w:val="clear" w:color="auto" w:fill="007CBA"/>
          </w:tcPr>
          <w:p>
            <w:pPr>
              <w:spacing w:after="0"/>
              <w:rPr>
                <w:sz w:val="16"/>
                <w:szCs w:val="16"/>
                <w:color w:val="auto"/>
              </w:rPr>
            </w:pPr>
          </w:p>
        </w:tc>
        <w:tc>
          <w:tcPr>
            <w:tcW w:w="360" w:type="dxa"/>
            <w:vAlign w:val="bottom"/>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20" w:type="dxa"/>
            <w:vAlign w:val="bottom"/>
            <w:tcBorders>
              <w:right w:val="single" w:sz="8" w:color="007CBA"/>
            </w:tcBorders>
            <w:shd w:val="clear" w:color="auto" w:fill="007CBA"/>
          </w:tcPr>
          <w:p>
            <w:pPr>
              <w:spacing w:after="0"/>
              <w:rPr>
                <w:sz w:val="16"/>
                <w:szCs w:val="16"/>
                <w:color w:val="auto"/>
              </w:rPr>
            </w:pPr>
          </w:p>
        </w:tc>
        <w:tc>
          <w:tcPr>
            <w:tcW w:w="240" w:type="dxa"/>
            <w:vAlign w:val="bottom"/>
            <w:shd w:val="clear" w:color="auto" w:fill="007CBA"/>
          </w:tcPr>
          <w:p>
            <w:pPr>
              <w:spacing w:after="0"/>
              <w:rPr>
                <w:sz w:val="16"/>
                <w:szCs w:val="16"/>
                <w:color w:val="auto"/>
              </w:rPr>
            </w:pPr>
          </w:p>
        </w:tc>
        <w:tc>
          <w:tcPr>
            <w:tcW w:w="920" w:type="dxa"/>
            <w:vAlign w:val="bottom"/>
            <w:tcBorders>
              <w:right w:val="single" w:sz="8" w:color="007CBA"/>
            </w:tcBorders>
            <w:shd w:val="clear" w:color="auto" w:fill="007CBA"/>
          </w:tcPr>
          <w:p>
            <w:pPr>
              <w:jc w:val="right"/>
              <w:ind w:right="459"/>
              <w:spacing w:after="0"/>
              <w:rPr>
                <w:sz w:val="20"/>
                <w:szCs w:val="20"/>
                <w:color w:val="auto"/>
              </w:rPr>
            </w:pPr>
            <w:r>
              <w:rPr>
                <w:rFonts w:ascii="Calibri" w:cs="Calibri" w:eastAsia="Calibri" w:hAnsi="Calibri"/>
                <w:sz w:val="16"/>
                <w:szCs w:val="16"/>
                <w:b w:val="1"/>
                <w:bCs w:val="1"/>
                <w:color w:val="FFFFFF"/>
              </w:rPr>
              <w:t>Total</w:t>
            </w:r>
          </w:p>
        </w:tc>
        <w:tc>
          <w:tcPr>
            <w:tcW w:w="420" w:type="dxa"/>
            <w:vAlign w:val="bottom"/>
            <w:shd w:val="clear" w:color="auto" w:fill="007CBA"/>
          </w:tcPr>
          <w:p>
            <w:pPr>
              <w:spacing w:after="0"/>
              <w:rPr>
                <w:sz w:val="16"/>
                <w:szCs w:val="16"/>
                <w:color w:val="auto"/>
              </w:rPr>
            </w:pPr>
          </w:p>
        </w:tc>
        <w:tc>
          <w:tcPr>
            <w:tcW w:w="68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20" w:type="dxa"/>
            <w:vAlign w:val="bottom"/>
            <w:shd w:val="clear" w:color="auto" w:fill="007CBA"/>
          </w:tcPr>
          <w:p>
            <w:pPr>
              <w:spacing w:after="0"/>
              <w:rPr>
                <w:sz w:val="16"/>
                <w:szCs w:val="16"/>
                <w:color w:val="auto"/>
              </w:rPr>
            </w:pPr>
          </w:p>
        </w:tc>
      </w:tr>
      <w:tr>
        <w:trPr>
          <w:trHeight w:val="193"/>
        </w:trPr>
        <w:tc>
          <w:tcPr>
            <w:tcW w:w="4260" w:type="dxa"/>
            <w:vAlign w:val="bottom"/>
            <w:tcBorders>
              <w:right w:val="single" w:sz="8" w:color="007CBA"/>
            </w:tcBorders>
            <w:shd w:val="clear" w:color="auto" w:fill="007CBA"/>
          </w:tcPr>
          <w:p>
            <w:pPr>
              <w:ind w:left="120"/>
              <w:spacing w:after="0" w:line="193" w:lineRule="exact"/>
              <w:rPr>
                <w:sz w:val="20"/>
                <w:szCs w:val="20"/>
                <w:color w:val="auto"/>
              </w:rPr>
            </w:pPr>
            <w:r>
              <w:rPr>
                <w:rFonts w:ascii="Calibri" w:cs="Calibri" w:eastAsia="Calibri" w:hAnsi="Calibri"/>
                <w:sz w:val="16"/>
                <w:szCs w:val="16"/>
                <w:i w:val="1"/>
                <w:iCs w:val="1"/>
                <w:color w:val="FFFFFF"/>
              </w:rPr>
              <w:t>year ended December 31, 2024</w:t>
            </w:r>
          </w:p>
        </w:tc>
        <w:tc>
          <w:tcPr>
            <w:tcW w:w="240" w:type="dxa"/>
            <w:vAlign w:val="bottom"/>
            <w:tcBorders>
              <w:right w:val="single" w:sz="8" w:color="007CBA"/>
            </w:tcBorders>
            <w:shd w:val="clear" w:color="auto" w:fill="007CBA"/>
          </w:tcPr>
          <w:p>
            <w:pPr>
              <w:spacing w:after="0"/>
              <w:rPr>
                <w:sz w:val="16"/>
                <w:szCs w:val="16"/>
                <w:color w:val="auto"/>
              </w:rPr>
            </w:pPr>
          </w:p>
        </w:tc>
        <w:tc>
          <w:tcPr>
            <w:tcW w:w="340" w:type="dxa"/>
            <w:vAlign w:val="bottom"/>
            <w:shd w:val="clear" w:color="auto" w:fill="007CBA"/>
          </w:tcPr>
          <w:p>
            <w:pPr>
              <w:spacing w:after="0"/>
              <w:rPr>
                <w:sz w:val="16"/>
                <w:szCs w:val="16"/>
                <w:color w:val="auto"/>
              </w:rPr>
            </w:pPr>
          </w:p>
        </w:tc>
        <w:tc>
          <w:tcPr>
            <w:tcW w:w="620" w:type="dxa"/>
            <w:vAlign w:val="bottom"/>
            <w:tcBorders>
              <w:right w:val="single" w:sz="8" w:color="007CBA"/>
            </w:tcBorders>
            <w:shd w:val="clear" w:color="auto" w:fill="007CBA"/>
          </w:tcPr>
          <w:p>
            <w:pPr>
              <w:spacing w:after="0"/>
              <w:rPr>
                <w:sz w:val="16"/>
                <w:szCs w:val="16"/>
                <w:color w:val="auto"/>
              </w:rPr>
            </w:pPr>
          </w:p>
        </w:tc>
        <w:tc>
          <w:tcPr>
            <w:tcW w:w="80" w:type="dxa"/>
            <w:vAlign w:val="bottom"/>
            <w:shd w:val="clear" w:color="auto" w:fill="007CBA"/>
          </w:tcPr>
          <w:p>
            <w:pPr>
              <w:spacing w:after="0"/>
              <w:rPr>
                <w:sz w:val="16"/>
                <w:szCs w:val="16"/>
                <w:color w:val="auto"/>
              </w:rPr>
            </w:pPr>
          </w:p>
        </w:tc>
        <w:tc>
          <w:tcPr>
            <w:tcW w:w="120" w:type="dxa"/>
            <w:vAlign w:val="bottom"/>
            <w:tcBorders>
              <w:right w:val="single" w:sz="8" w:color="007CBA"/>
            </w:tcBorders>
            <w:shd w:val="clear" w:color="auto" w:fill="007CBA"/>
          </w:tcPr>
          <w:p>
            <w:pPr>
              <w:spacing w:after="0"/>
              <w:rPr>
                <w:sz w:val="16"/>
                <w:szCs w:val="16"/>
                <w:color w:val="auto"/>
              </w:rPr>
            </w:pPr>
          </w:p>
        </w:tc>
        <w:tc>
          <w:tcPr>
            <w:tcW w:w="80" w:type="dxa"/>
            <w:vAlign w:val="bottom"/>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160" w:type="dxa"/>
            <w:vAlign w:val="bottom"/>
            <w:tcBorders>
              <w:right w:val="single" w:sz="8" w:color="007CBA"/>
            </w:tcBorders>
            <w:shd w:val="clear" w:color="auto" w:fill="007CBA"/>
          </w:tcPr>
          <w:p>
            <w:pPr>
              <w:spacing w:after="0"/>
              <w:rPr>
                <w:sz w:val="16"/>
                <w:szCs w:val="16"/>
                <w:color w:val="auto"/>
              </w:rPr>
            </w:pPr>
          </w:p>
        </w:tc>
        <w:tc>
          <w:tcPr>
            <w:tcW w:w="40" w:type="dxa"/>
            <w:vAlign w:val="bottom"/>
            <w:shd w:val="clear" w:color="auto" w:fill="007CBA"/>
          </w:tcPr>
          <w:p>
            <w:pPr>
              <w:spacing w:after="0"/>
              <w:rPr>
                <w:sz w:val="16"/>
                <w:szCs w:val="16"/>
                <w:color w:val="auto"/>
              </w:rPr>
            </w:pPr>
          </w:p>
        </w:tc>
        <w:tc>
          <w:tcPr>
            <w:tcW w:w="940" w:type="dxa"/>
            <w:vAlign w:val="bottom"/>
            <w:tcBorders>
              <w:right w:val="single" w:sz="8" w:color="007CBA"/>
            </w:tcBorders>
            <w:gridSpan w:val="2"/>
            <w:shd w:val="clear" w:color="auto" w:fill="007CBA"/>
          </w:tcPr>
          <w:p>
            <w:pPr>
              <w:jc w:val="right"/>
              <w:ind w:right="179"/>
              <w:spacing w:after="0" w:line="193" w:lineRule="exact"/>
              <w:rPr>
                <w:sz w:val="20"/>
                <w:szCs w:val="20"/>
                <w:color w:val="auto"/>
              </w:rPr>
            </w:pPr>
            <w:r>
              <w:rPr>
                <w:rFonts w:ascii="Calibri" w:cs="Calibri" w:eastAsia="Calibri" w:hAnsi="Calibri"/>
                <w:sz w:val="16"/>
                <w:szCs w:val="16"/>
                <w:b w:val="1"/>
                <w:bCs w:val="1"/>
                <w:color w:val="FFFFFF"/>
              </w:rPr>
              <w:t>Magnesia</w:t>
            </w:r>
          </w:p>
        </w:tc>
        <w:tc>
          <w:tcPr>
            <w:tcW w:w="120" w:type="dxa"/>
            <w:vAlign w:val="bottom"/>
            <w:tcBorders>
              <w:right w:val="single" w:sz="8" w:color="007CBA"/>
            </w:tcBorders>
            <w:shd w:val="clear" w:color="auto" w:fill="007CBA"/>
          </w:tcPr>
          <w:p>
            <w:pPr>
              <w:spacing w:after="0"/>
              <w:rPr>
                <w:sz w:val="16"/>
                <w:szCs w:val="16"/>
                <w:color w:val="auto"/>
              </w:rPr>
            </w:pPr>
          </w:p>
        </w:tc>
        <w:tc>
          <w:tcPr>
            <w:tcW w:w="1160" w:type="dxa"/>
            <w:vAlign w:val="bottom"/>
            <w:tcBorders>
              <w:right w:val="single" w:sz="8" w:color="007CBA"/>
            </w:tcBorders>
            <w:gridSpan w:val="2"/>
            <w:shd w:val="clear" w:color="auto" w:fill="007CBA"/>
          </w:tcPr>
          <w:p>
            <w:pPr>
              <w:jc w:val="right"/>
              <w:ind w:right="259"/>
              <w:spacing w:after="0" w:line="193" w:lineRule="exact"/>
              <w:rPr>
                <w:sz w:val="20"/>
                <w:szCs w:val="20"/>
                <w:color w:val="auto"/>
              </w:rPr>
            </w:pPr>
            <w:r>
              <w:rPr>
                <w:rFonts w:ascii="Calibri" w:cs="Calibri" w:eastAsia="Calibri" w:hAnsi="Calibri"/>
                <w:sz w:val="16"/>
                <w:szCs w:val="16"/>
                <w:b w:val="1"/>
                <w:bCs w:val="1"/>
                <w:color w:val="FFFFFF"/>
              </w:rPr>
              <w:t>Reportable</w:t>
            </w:r>
          </w:p>
        </w:tc>
        <w:tc>
          <w:tcPr>
            <w:tcW w:w="420" w:type="dxa"/>
            <w:vAlign w:val="bottom"/>
            <w:shd w:val="clear" w:color="auto" w:fill="007CBA"/>
          </w:tcPr>
          <w:p>
            <w:pPr>
              <w:spacing w:after="0"/>
              <w:rPr>
                <w:sz w:val="16"/>
                <w:szCs w:val="16"/>
                <w:color w:val="auto"/>
              </w:rPr>
            </w:pPr>
          </w:p>
        </w:tc>
        <w:tc>
          <w:tcPr>
            <w:tcW w:w="68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20" w:type="dxa"/>
            <w:vAlign w:val="bottom"/>
            <w:shd w:val="clear" w:color="auto" w:fill="007CBA"/>
          </w:tcPr>
          <w:p>
            <w:pPr>
              <w:spacing w:after="0"/>
              <w:rPr>
                <w:sz w:val="16"/>
                <w:szCs w:val="16"/>
                <w:color w:val="auto"/>
              </w:rPr>
            </w:pPr>
          </w:p>
        </w:tc>
      </w:tr>
      <w:tr>
        <w:trPr>
          <w:trHeight w:val="210"/>
        </w:trPr>
        <w:tc>
          <w:tcPr>
            <w:tcW w:w="42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6"/>
                <w:szCs w:val="16"/>
                <w:color w:val="FFFFFF"/>
              </w:rPr>
              <w:t>(in millions)</w:t>
            </w:r>
          </w:p>
        </w:tc>
        <w:tc>
          <w:tcPr>
            <w:tcW w:w="240" w:type="dxa"/>
            <w:vAlign w:val="bottom"/>
            <w:tcBorders>
              <w:bottom w:val="single" w:sz="8" w:color="007CBA"/>
              <w:right w:val="single" w:sz="8" w:color="007CBA"/>
            </w:tcBorders>
            <w:shd w:val="clear" w:color="auto" w:fill="007CBA"/>
          </w:tcPr>
          <w:p>
            <w:pPr>
              <w:spacing w:after="0"/>
              <w:rPr>
                <w:sz w:val="18"/>
                <w:szCs w:val="18"/>
                <w:color w:val="auto"/>
              </w:rPr>
            </w:pPr>
          </w:p>
        </w:tc>
        <w:tc>
          <w:tcPr>
            <w:tcW w:w="1040" w:type="dxa"/>
            <w:vAlign w:val="bottom"/>
            <w:tcBorders>
              <w:bottom w:val="single" w:sz="8" w:color="007CBA"/>
            </w:tcBorders>
            <w:gridSpan w:val="3"/>
            <w:shd w:val="clear" w:color="auto" w:fill="007CBA"/>
          </w:tcPr>
          <w:p>
            <w:pPr>
              <w:jc w:val="right"/>
              <w:ind w:right="320"/>
              <w:spacing w:after="0"/>
              <w:rPr>
                <w:sz w:val="20"/>
                <w:szCs w:val="20"/>
                <w:color w:val="auto"/>
              </w:rPr>
            </w:pPr>
            <w:r>
              <w:rPr>
                <w:rFonts w:ascii="Calibri" w:cs="Calibri" w:eastAsia="Calibri" w:hAnsi="Calibri"/>
                <w:sz w:val="16"/>
                <w:szCs w:val="16"/>
                <w:b w:val="1"/>
                <w:bCs w:val="1"/>
                <w:color w:val="FFFFFF"/>
                <w:w w:val="95"/>
              </w:rPr>
              <w:t>East Group</w:t>
            </w:r>
          </w:p>
        </w:tc>
        <w:tc>
          <w:tcPr>
            <w:tcW w:w="1240" w:type="dxa"/>
            <w:vAlign w:val="bottom"/>
            <w:tcBorders>
              <w:bottom w:val="single" w:sz="8" w:color="007CBA"/>
              <w:right w:val="single" w:sz="8" w:color="007CBA"/>
            </w:tcBorders>
            <w:gridSpan w:val="5"/>
            <w:shd w:val="clear" w:color="auto" w:fill="007CBA"/>
          </w:tcPr>
          <w:p>
            <w:pPr>
              <w:jc w:val="right"/>
              <w:ind w:right="340"/>
              <w:spacing w:after="0"/>
              <w:rPr>
                <w:sz w:val="20"/>
                <w:szCs w:val="20"/>
                <w:color w:val="auto"/>
              </w:rPr>
            </w:pPr>
            <w:r>
              <w:rPr>
                <w:rFonts w:ascii="Calibri" w:cs="Calibri" w:eastAsia="Calibri" w:hAnsi="Calibri"/>
                <w:sz w:val="16"/>
                <w:szCs w:val="16"/>
                <w:b w:val="1"/>
                <w:bCs w:val="1"/>
                <w:color w:val="FFFFFF"/>
              </w:rPr>
              <w:t>West Group</w:t>
            </w:r>
          </w:p>
        </w:tc>
        <w:tc>
          <w:tcPr>
            <w:tcW w:w="40" w:type="dxa"/>
            <w:vAlign w:val="bottom"/>
            <w:tcBorders>
              <w:bottom w:val="single" w:sz="8" w:color="007CBA"/>
            </w:tcBorders>
            <w:shd w:val="clear" w:color="auto" w:fill="007CBA"/>
          </w:tcPr>
          <w:p>
            <w:pPr>
              <w:spacing w:after="0"/>
              <w:rPr>
                <w:sz w:val="18"/>
                <w:szCs w:val="18"/>
                <w:color w:val="auto"/>
              </w:rPr>
            </w:pPr>
          </w:p>
        </w:tc>
        <w:tc>
          <w:tcPr>
            <w:tcW w:w="940" w:type="dxa"/>
            <w:vAlign w:val="bottom"/>
            <w:tcBorders>
              <w:bottom w:val="single" w:sz="8" w:color="007CBA"/>
              <w:right w:val="single" w:sz="8" w:color="007CBA"/>
            </w:tcBorders>
            <w:gridSpan w:val="2"/>
            <w:shd w:val="clear" w:color="auto" w:fill="007CBA"/>
          </w:tcPr>
          <w:p>
            <w:pPr>
              <w:jc w:val="right"/>
              <w:ind w:right="139"/>
              <w:spacing w:after="0"/>
              <w:rPr>
                <w:sz w:val="20"/>
                <w:szCs w:val="20"/>
                <w:color w:val="auto"/>
              </w:rPr>
            </w:pPr>
            <w:r>
              <w:rPr>
                <w:rFonts w:ascii="Calibri" w:cs="Calibri" w:eastAsia="Calibri" w:hAnsi="Calibri"/>
                <w:sz w:val="16"/>
                <w:szCs w:val="16"/>
                <w:b w:val="1"/>
                <w:bCs w:val="1"/>
                <w:color w:val="FFFFFF"/>
              </w:rPr>
              <w:t>Specialtes</w:t>
            </w:r>
          </w:p>
        </w:tc>
        <w:tc>
          <w:tcPr>
            <w:tcW w:w="120" w:type="dxa"/>
            <w:vAlign w:val="bottom"/>
            <w:tcBorders>
              <w:bottom w:val="single" w:sz="8" w:color="007CBA"/>
              <w:right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gridSpan w:val="2"/>
            <w:shd w:val="clear" w:color="auto" w:fill="007CBA"/>
          </w:tcPr>
          <w:p>
            <w:pPr>
              <w:ind w:left="140"/>
              <w:spacing w:after="0"/>
              <w:rPr>
                <w:sz w:val="20"/>
                <w:szCs w:val="20"/>
                <w:color w:val="auto"/>
              </w:rPr>
            </w:pPr>
            <w:r>
              <w:rPr>
                <w:rFonts w:ascii="Calibri" w:cs="Calibri" w:eastAsia="Calibri" w:hAnsi="Calibri"/>
                <w:sz w:val="16"/>
                <w:szCs w:val="16"/>
                <w:b w:val="1"/>
                <w:bCs w:val="1"/>
                <w:color w:val="FFFFFF"/>
              </w:rPr>
              <w:t>Segments</w:t>
            </w:r>
          </w:p>
        </w:tc>
        <w:tc>
          <w:tcPr>
            <w:tcW w:w="1100" w:type="dxa"/>
            <w:vAlign w:val="bottom"/>
            <w:tcBorders>
              <w:bottom w:val="single" w:sz="8" w:color="007CBA"/>
              <w:right w:val="single" w:sz="8" w:color="007CBA"/>
            </w:tcBorders>
            <w:gridSpan w:val="2"/>
            <w:shd w:val="clear" w:color="auto" w:fill="007CBA"/>
          </w:tcPr>
          <w:p>
            <w:pPr>
              <w:jc w:val="right"/>
              <w:ind w:right="199"/>
              <w:spacing w:after="0"/>
              <w:rPr>
                <w:sz w:val="20"/>
                <w:szCs w:val="20"/>
                <w:color w:val="auto"/>
              </w:rPr>
            </w:pPr>
            <w:r>
              <w:rPr>
                <w:rFonts w:ascii="Calibri" w:cs="Calibri" w:eastAsia="Calibri" w:hAnsi="Calibri"/>
                <w:sz w:val="16"/>
                <w:szCs w:val="16"/>
                <w:b w:val="1"/>
                <w:bCs w:val="1"/>
                <w:color w:val="FFFFFF"/>
              </w:rPr>
              <w:t>Corporate</w:t>
            </w:r>
          </w:p>
        </w:tc>
        <w:tc>
          <w:tcPr>
            <w:tcW w:w="280" w:type="dxa"/>
            <w:vAlign w:val="bottom"/>
            <w:tcBorders>
              <w:bottom w:val="single" w:sz="8" w:color="007CBA"/>
            </w:tcBorders>
            <w:shd w:val="clear" w:color="auto" w:fill="007CBA"/>
          </w:tcPr>
          <w:p>
            <w:pPr>
              <w:spacing w:after="0"/>
              <w:rPr>
                <w:sz w:val="18"/>
                <w:szCs w:val="18"/>
                <w:color w:val="auto"/>
              </w:rPr>
            </w:pPr>
          </w:p>
        </w:tc>
        <w:tc>
          <w:tcPr>
            <w:tcW w:w="820" w:type="dxa"/>
            <w:vAlign w:val="bottom"/>
            <w:tcBorders>
              <w:bottom w:val="single" w:sz="8" w:color="007CBA"/>
            </w:tcBorders>
            <w:shd w:val="clear" w:color="auto" w:fill="007CBA"/>
          </w:tcPr>
          <w:p>
            <w:pPr>
              <w:jc w:val="right"/>
              <w:ind w:right="319"/>
              <w:spacing w:after="0"/>
              <w:rPr>
                <w:sz w:val="20"/>
                <w:szCs w:val="20"/>
                <w:color w:val="auto"/>
              </w:rPr>
            </w:pPr>
            <w:r>
              <w:rPr>
                <w:rFonts w:ascii="Calibri" w:cs="Calibri" w:eastAsia="Calibri" w:hAnsi="Calibri"/>
                <w:sz w:val="16"/>
                <w:szCs w:val="16"/>
                <w:b w:val="1"/>
                <w:bCs w:val="1"/>
                <w:color w:val="FFFFFF"/>
              </w:rPr>
              <w:t>Total</w:t>
            </w:r>
          </w:p>
        </w:tc>
      </w:tr>
      <w:tr>
        <w:trPr>
          <w:trHeight w:val="198"/>
        </w:trPr>
        <w:tc>
          <w:tcPr>
            <w:tcW w:w="42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Segment Revenues</w:t>
            </w:r>
          </w:p>
        </w:tc>
        <w:tc>
          <w:tcPr>
            <w:tcW w:w="2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340" w:type="dxa"/>
            <w:vAlign w:val="bottom"/>
          </w:tcPr>
          <w:p>
            <w:pPr>
              <w:spacing w:after="0"/>
              <w:rPr>
                <w:sz w:val="17"/>
                <w:szCs w:val="17"/>
                <w:color w:val="auto"/>
              </w:rPr>
            </w:pPr>
          </w:p>
        </w:tc>
        <w:tc>
          <w:tcPr>
            <w:tcW w:w="6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2,941</w:t>
            </w:r>
          </w:p>
        </w:tc>
        <w:tc>
          <w:tcPr>
            <w:tcW w:w="80" w:type="dxa"/>
            <w:vAlign w:val="bottom"/>
          </w:tcPr>
          <w:p>
            <w:pPr>
              <w:spacing w:after="0"/>
              <w:rPr>
                <w:sz w:val="17"/>
                <w:szCs w:val="17"/>
                <w:color w:val="auto"/>
              </w:rPr>
            </w:pPr>
          </w:p>
        </w:tc>
        <w:tc>
          <w:tcPr>
            <w:tcW w:w="20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b w:val="1"/>
                <w:bCs w:val="1"/>
                <w:color w:val="auto"/>
              </w:rPr>
              <w:t>$</w:t>
            </w:r>
          </w:p>
        </w:tc>
        <w:tc>
          <w:tcPr>
            <w:tcW w:w="220" w:type="dxa"/>
            <w:vAlign w:val="bottom"/>
          </w:tcPr>
          <w:p>
            <w:pPr>
              <w:spacing w:after="0"/>
              <w:rPr>
                <w:sz w:val="17"/>
                <w:szCs w:val="17"/>
                <w:color w:val="auto"/>
              </w:rPr>
            </w:pPr>
          </w:p>
        </w:tc>
        <w:tc>
          <w:tcPr>
            <w:tcW w:w="6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3,275</w:t>
            </w:r>
          </w:p>
        </w:tc>
        <w:tc>
          <w:tcPr>
            <w:tcW w:w="16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Calibri" w:cs="Calibri" w:eastAsia="Calibri" w:hAnsi="Calibri"/>
                <w:sz w:val="5"/>
                <w:szCs w:val="5"/>
                <w:b w:val="1"/>
                <w:bCs w:val="1"/>
                <w:color w:val="auto"/>
                <w:w w:val="76"/>
              </w:rPr>
              <w:t>$</w:t>
            </w:r>
          </w:p>
        </w:tc>
        <w:tc>
          <w:tcPr>
            <w:tcW w:w="360" w:type="dxa"/>
            <w:vAlign w:val="bottom"/>
          </w:tcPr>
          <w:p>
            <w:pPr>
              <w:spacing w:after="0"/>
              <w:rPr>
                <w:sz w:val="17"/>
                <w:szCs w:val="17"/>
                <w:color w:val="auto"/>
              </w:rPr>
            </w:pPr>
          </w:p>
        </w:tc>
        <w:tc>
          <w:tcPr>
            <w:tcW w:w="5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320</w:t>
            </w:r>
          </w:p>
        </w:tc>
        <w:tc>
          <w:tcPr>
            <w:tcW w:w="360" w:type="dxa"/>
            <w:vAlign w:val="bottom"/>
            <w:gridSpan w:val="2"/>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920" w:type="dxa"/>
            <w:vAlign w:val="bottom"/>
            <w:tcBorders>
              <w:right w:val="single" w:sz="8" w:color="007CBA"/>
            </w:tcBorders>
          </w:tcPr>
          <w:p>
            <w:pPr>
              <w:jc w:val="right"/>
              <w:ind w:right="139"/>
              <w:spacing w:after="0" w:line="193" w:lineRule="exact"/>
              <w:rPr>
                <w:sz w:val="20"/>
                <w:szCs w:val="20"/>
                <w:color w:val="auto"/>
              </w:rPr>
            </w:pPr>
            <w:r>
              <w:rPr>
                <w:rFonts w:ascii="Calibri" w:cs="Calibri" w:eastAsia="Calibri" w:hAnsi="Calibri"/>
                <w:sz w:val="16"/>
                <w:szCs w:val="16"/>
                <w:b w:val="1"/>
                <w:bCs w:val="1"/>
                <w:color w:val="auto"/>
              </w:rPr>
              <w:t>6,536</w:t>
            </w:r>
          </w:p>
        </w:tc>
        <w:tc>
          <w:tcPr>
            <w:tcW w:w="420" w:type="dxa"/>
            <w:vAlign w:val="bottom"/>
          </w:tcPr>
          <w:p>
            <w:pPr>
              <w:jc w:val="right"/>
              <w:ind w:right="219"/>
              <w:spacing w:after="0" w:line="193" w:lineRule="exact"/>
              <w:rPr>
                <w:sz w:val="20"/>
                <w:szCs w:val="20"/>
                <w:color w:val="auto"/>
              </w:rPr>
            </w:pPr>
            <w:r>
              <w:rPr>
                <w:rFonts w:ascii="Calibri" w:cs="Calibri" w:eastAsia="Calibri" w:hAnsi="Calibri"/>
                <w:sz w:val="16"/>
                <w:szCs w:val="16"/>
                <w:b w:val="1"/>
                <w:bCs w:val="1"/>
                <w:color w:val="auto"/>
              </w:rPr>
              <w:t>$</w:t>
            </w:r>
          </w:p>
        </w:tc>
        <w:tc>
          <w:tcPr>
            <w:tcW w:w="680" w:type="dxa"/>
            <w:vAlign w:val="bottom"/>
            <w:tcBorders>
              <w:right w:val="single" w:sz="8" w:color="007CBA"/>
            </w:tcBorders>
          </w:tcPr>
          <w:p>
            <w:pPr>
              <w:jc w:val="right"/>
              <w:ind w:right="79"/>
              <w:spacing w:after="0" w:line="193" w:lineRule="exact"/>
              <w:rPr>
                <w:sz w:val="20"/>
                <w:szCs w:val="20"/>
                <w:color w:val="auto"/>
              </w:rPr>
            </w:pPr>
            <w:r>
              <w:rPr>
                <w:rFonts w:ascii="Calibri" w:cs="Calibri" w:eastAsia="Calibri" w:hAnsi="Calibri"/>
                <w:sz w:val="16"/>
                <w:szCs w:val="16"/>
                <w:b w:val="1"/>
                <w:bCs w:val="1"/>
                <w:color w:val="auto"/>
              </w:rPr>
              <w:t>—</w:t>
            </w:r>
          </w:p>
        </w:tc>
        <w:tc>
          <w:tcPr>
            <w:tcW w:w="280" w:type="dxa"/>
            <w:vAlign w:val="bottom"/>
          </w:tcPr>
          <w:p>
            <w:pPr>
              <w:jc w:val="right"/>
              <w:ind w:right="19"/>
              <w:spacing w:after="0" w:line="193" w:lineRule="exact"/>
              <w:rPr>
                <w:sz w:val="20"/>
                <w:szCs w:val="20"/>
                <w:color w:val="auto"/>
              </w:rPr>
            </w:pPr>
            <w:r>
              <w:rPr>
                <w:rFonts w:ascii="Calibri" w:cs="Calibri" w:eastAsia="Calibri" w:hAnsi="Calibri"/>
                <w:sz w:val="16"/>
                <w:szCs w:val="16"/>
                <w:b w:val="1"/>
                <w:bCs w:val="1"/>
                <w:color w:val="auto"/>
              </w:rPr>
              <w:t>$</w:t>
            </w: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6,536</w:t>
            </w:r>
          </w:p>
        </w:tc>
      </w:tr>
      <w:tr>
        <w:trPr>
          <w:trHeight w:val="207"/>
        </w:trPr>
        <w:tc>
          <w:tcPr>
            <w:tcW w:w="4260" w:type="dxa"/>
            <w:vAlign w:val="bottom"/>
            <w:tcBorders>
              <w:right w:val="single" w:sz="8" w:color="007CBA"/>
            </w:tcBorders>
            <w:shd w:val="clear" w:color="auto" w:fill="E5F1F8"/>
          </w:tcPr>
          <w:p>
            <w:pPr>
              <w:ind w:left="120"/>
              <w:spacing w:after="0"/>
              <w:rPr>
                <w:sz w:val="20"/>
                <w:szCs w:val="20"/>
                <w:color w:val="auto"/>
              </w:rPr>
            </w:pPr>
            <w:r>
              <w:rPr>
                <w:rFonts w:ascii="Calibri" w:cs="Calibri" w:eastAsia="Calibri" w:hAnsi="Calibri"/>
                <w:sz w:val="16"/>
                <w:szCs w:val="16"/>
                <w:color w:val="auto"/>
              </w:rPr>
              <w:t>Less:</w:t>
            </w:r>
          </w:p>
        </w:tc>
        <w:tc>
          <w:tcPr>
            <w:tcW w:w="240" w:type="dxa"/>
            <w:vAlign w:val="bottom"/>
            <w:tcBorders>
              <w:right w:val="single" w:sz="8" w:color="E5F1F8"/>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120" w:type="dxa"/>
            <w:vAlign w:val="bottom"/>
            <w:tcBorders>
              <w:right w:val="single" w:sz="8" w:color="E5F1F8"/>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660" w:type="dxa"/>
            <w:vAlign w:val="bottom"/>
            <w:tcBorders>
              <w:right w:val="single" w:sz="8" w:color="007CBA"/>
            </w:tcBorders>
            <w:shd w:val="clear" w:color="auto" w:fill="E5F1F8"/>
          </w:tcPr>
          <w:p>
            <w:pPr>
              <w:spacing w:after="0"/>
              <w:rPr>
                <w:sz w:val="18"/>
                <w:szCs w:val="18"/>
                <w:color w:val="auto"/>
              </w:rPr>
            </w:pPr>
          </w:p>
        </w:tc>
        <w:tc>
          <w:tcPr>
            <w:tcW w:w="160" w:type="dxa"/>
            <w:vAlign w:val="bottom"/>
            <w:tcBorders>
              <w:right w:val="single" w:sz="8" w:color="E5F1F8"/>
            </w:tcBorders>
            <w:shd w:val="clear" w:color="auto" w:fill="E5F1F8"/>
          </w:tcPr>
          <w:p>
            <w:pPr>
              <w:spacing w:after="0"/>
              <w:rPr>
                <w:sz w:val="18"/>
                <w:szCs w:val="18"/>
                <w:color w:val="auto"/>
              </w:rPr>
            </w:pPr>
          </w:p>
        </w:tc>
        <w:tc>
          <w:tcPr>
            <w:tcW w:w="4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580" w:type="dxa"/>
            <w:vAlign w:val="bottom"/>
            <w:tcBorders>
              <w:right w:val="single" w:sz="8" w:color="007CBA"/>
            </w:tcBorders>
            <w:shd w:val="clear" w:color="auto" w:fill="E5F1F8"/>
          </w:tcPr>
          <w:p>
            <w:pPr>
              <w:spacing w:after="0"/>
              <w:rPr>
                <w:sz w:val="18"/>
                <w:szCs w:val="18"/>
                <w:color w:val="auto"/>
              </w:rPr>
            </w:pPr>
          </w:p>
        </w:tc>
        <w:tc>
          <w:tcPr>
            <w:tcW w:w="120" w:type="dxa"/>
            <w:vAlign w:val="bottom"/>
            <w:tcBorders>
              <w:right w:val="single" w:sz="8" w:color="E5F1F8"/>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spacing w:after="0"/>
              <w:rPr>
                <w:sz w:val="18"/>
                <w:szCs w:val="18"/>
                <w:color w:val="auto"/>
              </w:rPr>
            </w:pPr>
          </w:p>
        </w:tc>
        <w:tc>
          <w:tcPr>
            <w:tcW w:w="420" w:type="dxa"/>
            <w:vAlign w:val="bottom"/>
            <w:shd w:val="clear" w:color="auto" w:fill="E5F1F8"/>
          </w:tcPr>
          <w:p>
            <w:pPr>
              <w:spacing w:after="0"/>
              <w:rPr>
                <w:sz w:val="18"/>
                <w:szCs w:val="18"/>
                <w:color w:val="auto"/>
              </w:rPr>
            </w:pPr>
          </w:p>
        </w:tc>
        <w:tc>
          <w:tcPr>
            <w:tcW w:w="680" w:type="dxa"/>
            <w:vAlign w:val="bottom"/>
            <w:tcBorders>
              <w:right w:val="single" w:sz="8" w:color="007CBA"/>
            </w:tcBorders>
            <w:shd w:val="clear" w:color="auto" w:fill="E5F1F8"/>
          </w:tcPr>
          <w:p>
            <w:pPr>
              <w:spacing w:after="0"/>
              <w:rPr>
                <w:sz w:val="18"/>
                <w:szCs w:val="18"/>
                <w:color w:val="auto"/>
              </w:rPr>
            </w:pP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spacing w:after="0"/>
              <w:rPr>
                <w:sz w:val="18"/>
                <w:szCs w:val="18"/>
                <w:color w:val="auto"/>
              </w:rPr>
            </w:pPr>
          </w:p>
        </w:tc>
      </w:tr>
      <w:tr>
        <w:trPr>
          <w:trHeight w:val="198"/>
        </w:trPr>
        <w:tc>
          <w:tcPr>
            <w:tcW w:w="4260" w:type="dxa"/>
            <w:vAlign w:val="bottom"/>
            <w:tcBorders>
              <w:right w:val="single" w:sz="8" w:color="007CBA"/>
            </w:tcBorders>
          </w:tcPr>
          <w:p>
            <w:pPr>
              <w:ind w:left="200"/>
              <w:spacing w:after="0" w:line="193" w:lineRule="exact"/>
              <w:rPr>
                <w:sz w:val="20"/>
                <w:szCs w:val="20"/>
                <w:color w:val="auto"/>
              </w:rPr>
            </w:pPr>
            <w:r>
              <w:rPr>
                <w:rFonts w:ascii="Calibri" w:cs="Calibri" w:eastAsia="Calibri" w:hAnsi="Calibri"/>
                <w:sz w:val="16"/>
                <w:szCs w:val="16"/>
                <w:color w:val="auto"/>
              </w:rPr>
              <w:t>Labor and benefts expense</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391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402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139"/>
              <w:spacing w:after="0" w:line="193" w:lineRule="exact"/>
              <w:rPr>
                <w:sz w:val="20"/>
                <w:szCs w:val="20"/>
                <w:color w:val="auto"/>
              </w:rPr>
            </w:pPr>
            <w:r>
              <w:rPr>
                <w:rFonts w:ascii="Calibri" w:cs="Calibri" w:eastAsia="Calibri" w:hAnsi="Calibri"/>
                <w:sz w:val="16"/>
                <w:szCs w:val="16"/>
                <w:b w:val="1"/>
                <w:bCs w:val="1"/>
                <w:color w:val="auto"/>
              </w:rPr>
              <w:t>832</w:t>
            </w:r>
          </w:p>
        </w:tc>
        <w:tc>
          <w:tcPr>
            <w:tcW w:w="420" w:type="dxa"/>
            <w:vAlign w:val="bottom"/>
          </w:tcPr>
          <w:p>
            <w:pPr>
              <w:spacing w:after="0"/>
              <w:rPr>
                <w:sz w:val="17"/>
                <w:szCs w:val="17"/>
                <w:color w:val="auto"/>
              </w:rPr>
            </w:pPr>
          </w:p>
        </w:tc>
        <w:tc>
          <w:tcPr>
            <w:tcW w:w="680" w:type="dxa"/>
            <w:vAlign w:val="bottom"/>
            <w:tcBorders>
              <w:right w:val="single" w:sz="8" w:color="007CBA"/>
            </w:tcBorders>
          </w:tcPr>
          <w:p>
            <w:pPr>
              <w:jc w:val="right"/>
              <w:ind w:right="79"/>
              <w:spacing w:after="0" w:line="193" w:lineRule="exact"/>
              <w:rPr>
                <w:sz w:val="20"/>
                <w:szCs w:val="20"/>
                <w:color w:val="auto"/>
              </w:rPr>
            </w:pPr>
            <w:r>
              <w:rPr>
                <w:rFonts w:ascii="Calibri" w:cs="Calibri" w:eastAsia="Calibri" w:hAnsi="Calibri"/>
                <w:sz w:val="16"/>
                <w:szCs w:val="16"/>
                <w:b w:val="1"/>
                <w:bCs w:val="1"/>
                <w:color w:val="auto"/>
              </w:rPr>
              <w:t>1</w:t>
            </w:r>
          </w:p>
        </w:tc>
        <w:tc>
          <w:tcPr>
            <w:tcW w:w="280" w:type="dxa"/>
            <w:vAlign w:val="bottom"/>
          </w:tcPr>
          <w:p>
            <w:pPr>
              <w:spacing w:after="0"/>
              <w:rPr>
                <w:sz w:val="17"/>
                <w:szCs w:val="17"/>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833</w:t>
            </w:r>
          </w:p>
        </w:tc>
      </w:tr>
      <w:tr>
        <w:trPr>
          <w:trHeight w:val="207"/>
        </w:trPr>
        <w:tc>
          <w:tcPr>
            <w:tcW w:w="4260" w:type="dxa"/>
            <w:vAlign w:val="bottom"/>
            <w:tcBorders>
              <w:right w:val="single" w:sz="8" w:color="007CBA"/>
            </w:tcBorders>
            <w:shd w:val="clear" w:color="auto" w:fill="E5F1F8"/>
          </w:tcPr>
          <w:p>
            <w:pPr>
              <w:ind w:left="200"/>
              <w:spacing w:after="0"/>
              <w:rPr>
                <w:sz w:val="20"/>
                <w:szCs w:val="20"/>
                <w:color w:val="auto"/>
              </w:rPr>
            </w:pPr>
            <w:r>
              <w:rPr>
                <w:rFonts w:ascii="Calibri" w:cs="Calibri" w:eastAsia="Calibri" w:hAnsi="Calibri"/>
                <w:sz w:val="16"/>
                <w:szCs w:val="16"/>
                <w:color w:val="auto"/>
              </w:rPr>
              <w:t>Raw materials expense</w:t>
            </w:r>
          </w:p>
        </w:tc>
        <w:tc>
          <w:tcPr>
            <w:tcW w:w="240" w:type="dxa"/>
            <w:vAlign w:val="bottom"/>
            <w:tcBorders>
              <w:right w:val="single" w:sz="8" w:color="E5F1F8"/>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96</w:t>
            </w:r>
          </w:p>
        </w:tc>
        <w:tc>
          <w:tcPr>
            <w:tcW w:w="80" w:type="dxa"/>
            <w:vAlign w:val="bottom"/>
            <w:shd w:val="clear" w:color="auto" w:fill="E5F1F8"/>
          </w:tcPr>
          <w:p>
            <w:pPr>
              <w:spacing w:after="0"/>
              <w:rPr>
                <w:sz w:val="18"/>
                <w:szCs w:val="18"/>
                <w:color w:val="auto"/>
              </w:rPr>
            </w:pPr>
          </w:p>
        </w:tc>
        <w:tc>
          <w:tcPr>
            <w:tcW w:w="120" w:type="dxa"/>
            <w:vAlign w:val="bottom"/>
            <w:tcBorders>
              <w:right w:val="single" w:sz="8" w:color="E5F1F8"/>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66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466</w:t>
            </w:r>
          </w:p>
        </w:tc>
        <w:tc>
          <w:tcPr>
            <w:tcW w:w="160" w:type="dxa"/>
            <w:vAlign w:val="bottom"/>
            <w:tcBorders>
              <w:right w:val="single" w:sz="8" w:color="E5F1F8"/>
            </w:tcBorders>
            <w:shd w:val="clear" w:color="auto" w:fill="E5F1F8"/>
          </w:tcPr>
          <w:p>
            <w:pPr>
              <w:spacing w:after="0"/>
              <w:rPr>
                <w:sz w:val="18"/>
                <w:szCs w:val="18"/>
                <w:color w:val="auto"/>
              </w:rPr>
            </w:pPr>
          </w:p>
        </w:tc>
        <w:tc>
          <w:tcPr>
            <w:tcW w:w="4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58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18</w:t>
            </w:r>
          </w:p>
        </w:tc>
        <w:tc>
          <w:tcPr>
            <w:tcW w:w="120" w:type="dxa"/>
            <w:vAlign w:val="bottom"/>
            <w:tcBorders>
              <w:right w:val="single" w:sz="8" w:color="E5F1F8"/>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139"/>
              <w:spacing w:after="0"/>
              <w:rPr>
                <w:sz w:val="20"/>
                <w:szCs w:val="20"/>
                <w:color w:val="auto"/>
              </w:rPr>
            </w:pPr>
            <w:r>
              <w:rPr>
                <w:rFonts w:ascii="Calibri" w:cs="Calibri" w:eastAsia="Calibri" w:hAnsi="Calibri"/>
                <w:sz w:val="16"/>
                <w:szCs w:val="16"/>
                <w:b w:val="1"/>
                <w:bCs w:val="1"/>
                <w:color w:val="auto"/>
              </w:rPr>
              <w:t>580</w:t>
            </w:r>
          </w:p>
        </w:tc>
        <w:tc>
          <w:tcPr>
            <w:tcW w:w="420" w:type="dxa"/>
            <w:vAlign w:val="bottom"/>
            <w:shd w:val="clear" w:color="auto" w:fill="E5F1F8"/>
          </w:tcPr>
          <w:p>
            <w:pPr>
              <w:spacing w:after="0"/>
              <w:rPr>
                <w:sz w:val="18"/>
                <w:szCs w:val="18"/>
                <w:color w:val="auto"/>
              </w:rPr>
            </w:pPr>
          </w:p>
        </w:tc>
        <w:tc>
          <w:tcPr>
            <w:tcW w:w="680" w:type="dxa"/>
            <w:vAlign w:val="bottom"/>
            <w:tcBorders>
              <w:right w:val="single" w:sz="8" w:color="007CBA"/>
            </w:tcBorders>
            <w:shd w:val="clear" w:color="auto" w:fill="E5F1F8"/>
          </w:tcPr>
          <w:p>
            <w:pPr>
              <w:jc w:val="right"/>
              <w:ind w:right="79"/>
              <w:spacing w:after="0"/>
              <w:rPr>
                <w:sz w:val="20"/>
                <w:szCs w:val="20"/>
                <w:color w:val="auto"/>
              </w:rPr>
            </w:pPr>
            <w:r>
              <w:rPr>
                <w:rFonts w:ascii="Calibri" w:cs="Calibri" w:eastAsia="Calibri" w:hAnsi="Calibri"/>
                <w:sz w:val="16"/>
                <w:szCs w:val="16"/>
                <w:b w:val="1"/>
                <w:bCs w:val="1"/>
                <w:color w:val="auto"/>
              </w:rPr>
              <w:t>—</w:t>
            </w: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580</w:t>
            </w:r>
          </w:p>
        </w:tc>
      </w:tr>
      <w:tr>
        <w:trPr>
          <w:trHeight w:val="198"/>
        </w:trPr>
        <w:tc>
          <w:tcPr>
            <w:tcW w:w="4260" w:type="dxa"/>
            <w:vAlign w:val="bottom"/>
            <w:tcBorders>
              <w:right w:val="single" w:sz="8" w:color="007CBA"/>
            </w:tcBorders>
          </w:tcPr>
          <w:p>
            <w:pPr>
              <w:ind w:left="200"/>
              <w:spacing w:after="0" w:line="193" w:lineRule="exact"/>
              <w:rPr>
                <w:sz w:val="20"/>
                <w:szCs w:val="20"/>
                <w:color w:val="auto"/>
              </w:rPr>
            </w:pPr>
            <w:r>
              <w:rPr>
                <w:rFonts w:ascii="Calibri" w:cs="Calibri" w:eastAsia="Calibri" w:hAnsi="Calibri"/>
                <w:sz w:val="16"/>
                <w:szCs w:val="16"/>
                <w:color w:val="auto"/>
              </w:rPr>
              <w:t>Depreciaton, depleton and amortzaton expense</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259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254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139"/>
              <w:spacing w:after="0" w:line="193" w:lineRule="exact"/>
              <w:rPr>
                <w:sz w:val="20"/>
                <w:szCs w:val="20"/>
                <w:color w:val="auto"/>
              </w:rPr>
            </w:pPr>
            <w:r>
              <w:rPr>
                <w:rFonts w:ascii="Calibri" w:cs="Calibri" w:eastAsia="Calibri" w:hAnsi="Calibri"/>
                <w:sz w:val="16"/>
                <w:szCs w:val="16"/>
                <w:b w:val="1"/>
                <w:bCs w:val="1"/>
                <w:color w:val="auto"/>
              </w:rPr>
              <w:t>528</w:t>
            </w:r>
          </w:p>
        </w:tc>
        <w:tc>
          <w:tcPr>
            <w:tcW w:w="420" w:type="dxa"/>
            <w:vAlign w:val="bottom"/>
          </w:tcPr>
          <w:p>
            <w:pPr>
              <w:spacing w:after="0"/>
              <w:rPr>
                <w:sz w:val="17"/>
                <w:szCs w:val="17"/>
                <w:color w:val="auto"/>
              </w:rPr>
            </w:pPr>
          </w:p>
        </w:tc>
        <w:tc>
          <w:tcPr>
            <w:tcW w:w="680" w:type="dxa"/>
            <w:vAlign w:val="bottom"/>
            <w:tcBorders>
              <w:right w:val="single" w:sz="8" w:color="007CBA"/>
            </w:tcBorders>
          </w:tcPr>
          <w:p>
            <w:pPr>
              <w:jc w:val="right"/>
              <w:ind w:right="79"/>
              <w:spacing w:after="0" w:line="193" w:lineRule="exact"/>
              <w:rPr>
                <w:sz w:val="20"/>
                <w:szCs w:val="20"/>
                <w:color w:val="auto"/>
              </w:rPr>
            </w:pPr>
            <w:r>
              <w:rPr>
                <w:rFonts w:ascii="Calibri" w:cs="Calibri" w:eastAsia="Calibri" w:hAnsi="Calibri"/>
                <w:sz w:val="16"/>
                <w:szCs w:val="16"/>
                <w:b w:val="1"/>
                <w:bCs w:val="1"/>
                <w:color w:val="auto"/>
              </w:rPr>
              <w:t>3</w:t>
            </w:r>
          </w:p>
        </w:tc>
        <w:tc>
          <w:tcPr>
            <w:tcW w:w="280" w:type="dxa"/>
            <w:vAlign w:val="bottom"/>
          </w:tcPr>
          <w:p>
            <w:pPr>
              <w:spacing w:after="0"/>
              <w:rPr>
                <w:sz w:val="17"/>
                <w:szCs w:val="17"/>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531</w:t>
            </w:r>
          </w:p>
        </w:tc>
      </w:tr>
      <w:tr>
        <w:trPr>
          <w:trHeight w:val="207"/>
        </w:trPr>
        <w:tc>
          <w:tcPr>
            <w:tcW w:w="4260" w:type="dxa"/>
            <w:vAlign w:val="bottom"/>
            <w:tcBorders>
              <w:right w:val="single" w:sz="8" w:color="007CBA"/>
            </w:tcBorders>
            <w:shd w:val="clear" w:color="auto" w:fill="E5F1F8"/>
          </w:tcPr>
          <w:p>
            <w:pPr>
              <w:ind w:left="200"/>
              <w:spacing w:after="0"/>
              <w:rPr>
                <w:sz w:val="20"/>
                <w:szCs w:val="20"/>
                <w:color w:val="auto"/>
              </w:rPr>
            </w:pPr>
            <w:r>
              <w:rPr>
                <w:rFonts w:ascii="Calibri" w:cs="Calibri" w:eastAsia="Calibri" w:hAnsi="Calibri"/>
                <w:sz w:val="16"/>
                <w:szCs w:val="16"/>
                <w:color w:val="auto"/>
              </w:rPr>
              <w:t>Energy expense</w:t>
            </w:r>
          </w:p>
        </w:tc>
        <w:tc>
          <w:tcPr>
            <w:tcW w:w="240" w:type="dxa"/>
            <w:vAlign w:val="bottom"/>
            <w:tcBorders>
              <w:right w:val="single" w:sz="8" w:color="E5F1F8"/>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145</w:t>
            </w:r>
          </w:p>
        </w:tc>
        <w:tc>
          <w:tcPr>
            <w:tcW w:w="80" w:type="dxa"/>
            <w:vAlign w:val="bottom"/>
            <w:shd w:val="clear" w:color="auto" w:fill="E5F1F8"/>
          </w:tcPr>
          <w:p>
            <w:pPr>
              <w:spacing w:after="0"/>
              <w:rPr>
                <w:sz w:val="18"/>
                <w:szCs w:val="18"/>
                <w:color w:val="auto"/>
              </w:rPr>
            </w:pPr>
          </w:p>
        </w:tc>
        <w:tc>
          <w:tcPr>
            <w:tcW w:w="120" w:type="dxa"/>
            <w:vAlign w:val="bottom"/>
            <w:tcBorders>
              <w:right w:val="single" w:sz="8" w:color="E5F1F8"/>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66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147</w:t>
            </w:r>
          </w:p>
        </w:tc>
        <w:tc>
          <w:tcPr>
            <w:tcW w:w="160" w:type="dxa"/>
            <w:vAlign w:val="bottom"/>
            <w:tcBorders>
              <w:right w:val="single" w:sz="8" w:color="E5F1F8"/>
            </w:tcBorders>
            <w:shd w:val="clear" w:color="auto" w:fill="E5F1F8"/>
          </w:tcPr>
          <w:p>
            <w:pPr>
              <w:spacing w:after="0"/>
              <w:rPr>
                <w:sz w:val="18"/>
                <w:szCs w:val="18"/>
                <w:color w:val="auto"/>
              </w:rPr>
            </w:pPr>
          </w:p>
        </w:tc>
        <w:tc>
          <w:tcPr>
            <w:tcW w:w="4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58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31</w:t>
            </w:r>
          </w:p>
        </w:tc>
        <w:tc>
          <w:tcPr>
            <w:tcW w:w="120" w:type="dxa"/>
            <w:vAlign w:val="bottom"/>
            <w:tcBorders>
              <w:right w:val="single" w:sz="8" w:color="E5F1F8"/>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139"/>
              <w:spacing w:after="0"/>
              <w:rPr>
                <w:sz w:val="20"/>
                <w:szCs w:val="20"/>
                <w:color w:val="auto"/>
              </w:rPr>
            </w:pPr>
            <w:r>
              <w:rPr>
                <w:rFonts w:ascii="Calibri" w:cs="Calibri" w:eastAsia="Calibri" w:hAnsi="Calibri"/>
                <w:sz w:val="16"/>
                <w:szCs w:val="16"/>
                <w:b w:val="1"/>
                <w:bCs w:val="1"/>
                <w:color w:val="auto"/>
              </w:rPr>
              <w:t>323</w:t>
            </w:r>
          </w:p>
        </w:tc>
        <w:tc>
          <w:tcPr>
            <w:tcW w:w="420" w:type="dxa"/>
            <w:vAlign w:val="bottom"/>
            <w:shd w:val="clear" w:color="auto" w:fill="E5F1F8"/>
          </w:tcPr>
          <w:p>
            <w:pPr>
              <w:spacing w:after="0"/>
              <w:rPr>
                <w:sz w:val="18"/>
                <w:szCs w:val="18"/>
                <w:color w:val="auto"/>
              </w:rPr>
            </w:pPr>
          </w:p>
        </w:tc>
        <w:tc>
          <w:tcPr>
            <w:tcW w:w="680" w:type="dxa"/>
            <w:vAlign w:val="bottom"/>
            <w:tcBorders>
              <w:right w:val="single" w:sz="8" w:color="007CBA"/>
            </w:tcBorders>
            <w:shd w:val="clear" w:color="auto" w:fill="E5F1F8"/>
          </w:tcPr>
          <w:p>
            <w:pPr>
              <w:jc w:val="right"/>
              <w:ind w:right="79"/>
              <w:spacing w:after="0"/>
              <w:rPr>
                <w:sz w:val="20"/>
                <w:szCs w:val="20"/>
                <w:color w:val="auto"/>
              </w:rPr>
            </w:pPr>
            <w:r>
              <w:rPr>
                <w:rFonts w:ascii="Calibri" w:cs="Calibri" w:eastAsia="Calibri" w:hAnsi="Calibri"/>
                <w:sz w:val="16"/>
                <w:szCs w:val="16"/>
                <w:b w:val="1"/>
                <w:bCs w:val="1"/>
                <w:color w:val="auto"/>
              </w:rPr>
              <w:t>—</w:t>
            </w: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323</w:t>
            </w:r>
          </w:p>
        </w:tc>
      </w:tr>
      <w:tr>
        <w:trPr>
          <w:trHeight w:val="198"/>
        </w:trPr>
        <w:tc>
          <w:tcPr>
            <w:tcW w:w="4260" w:type="dxa"/>
            <w:vAlign w:val="bottom"/>
            <w:tcBorders>
              <w:right w:val="single" w:sz="8" w:color="007CBA"/>
            </w:tcBorders>
          </w:tcPr>
          <w:p>
            <w:pPr>
              <w:ind w:left="200"/>
              <w:spacing w:after="0" w:line="193" w:lineRule="exact"/>
              <w:rPr>
                <w:sz w:val="20"/>
                <w:szCs w:val="20"/>
                <w:color w:val="auto"/>
              </w:rPr>
            </w:pPr>
            <w:r>
              <w:rPr>
                <w:rFonts w:ascii="Calibri" w:cs="Calibri" w:eastAsia="Calibri" w:hAnsi="Calibri"/>
                <w:sz w:val="16"/>
                <w:szCs w:val="16"/>
                <w:color w:val="auto"/>
              </w:rPr>
              <w:t>External freight expense</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108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220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139"/>
              <w:spacing w:after="0" w:line="193" w:lineRule="exact"/>
              <w:rPr>
                <w:sz w:val="20"/>
                <w:szCs w:val="20"/>
                <w:color w:val="auto"/>
              </w:rPr>
            </w:pPr>
            <w:r>
              <w:rPr>
                <w:rFonts w:ascii="Calibri" w:cs="Calibri" w:eastAsia="Calibri" w:hAnsi="Calibri"/>
                <w:sz w:val="16"/>
                <w:szCs w:val="16"/>
                <w:b w:val="1"/>
                <w:bCs w:val="1"/>
                <w:color w:val="auto"/>
              </w:rPr>
              <w:t>359</w:t>
            </w:r>
          </w:p>
        </w:tc>
        <w:tc>
          <w:tcPr>
            <w:tcW w:w="420" w:type="dxa"/>
            <w:vAlign w:val="bottom"/>
          </w:tcPr>
          <w:p>
            <w:pPr>
              <w:spacing w:after="0"/>
              <w:rPr>
                <w:sz w:val="17"/>
                <w:szCs w:val="17"/>
                <w:color w:val="auto"/>
              </w:rPr>
            </w:pPr>
          </w:p>
        </w:tc>
        <w:tc>
          <w:tcPr>
            <w:tcW w:w="680" w:type="dxa"/>
            <w:vAlign w:val="bottom"/>
            <w:tcBorders>
              <w:right w:val="single" w:sz="8" w:color="007CBA"/>
            </w:tcBorders>
          </w:tcPr>
          <w:p>
            <w:pPr>
              <w:jc w:val="right"/>
              <w:ind w:right="79"/>
              <w:spacing w:after="0" w:line="193" w:lineRule="exact"/>
              <w:rPr>
                <w:sz w:val="20"/>
                <w:szCs w:val="20"/>
                <w:color w:val="auto"/>
              </w:rPr>
            </w:pPr>
            <w:r>
              <w:rPr>
                <w:rFonts w:ascii="Calibri" w:cs="Calibri" w:eastAsia="Calibri" w:hAnsi="Calibri"/>
                <w:sz w:val="16"/>
                <w:szCs w:val="16"/>
                <w:b w:val="1"/>
                <w:bCs w:val="1"/>
                <w:color w:val="auto"/>
              </w:rPr>
              <w:t>—</w:t>
            </w:r>
          </w:p>
        </w:tc>
        <w:tc>
          <w:tcPr>
            <w:tcW w:w="280" w:type="dxa"/>
            <w:vAlign w:val="bottom"/>
          </w:tcPr>
          <w:p>
            <w:pPr>
              <w:spacing w:after="0"/>
              <w:rPr>
                <w:sz w:val="17"/>
                <w:szCs w:val="17"/>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359</w:t>
            </w:r>
          </w:p>
        </w:tc>
      </w:tr>
      <w:tr>
        <w:trPr>
          <w:trHeight w:val="207"/>
        </w:trPr>
        <w:tc>
          <w:tcPr>
            <w:tcW w:w="4260" w:type="dxa"/>
            <w:vAlign w:val="bottom"/>
            <w:tcBorders>
              <w:right w:val="single" w:sz="8" w:color="007CBA"/>
            </w:tcBorders>
            <w:shd w:val="clear" w:color="auto" w:fill="E5F1F8"/>
          </w:tcPr>
          <w:p>
            <w:pPr>
              <w:ind w:left="200"/>
              <w:spacing w:after="0"/>
              <w:rPr>
                <w:sz w:val="20"/>
                <w:szCs w:val="20"/>
                <w:color w:val="auto"/>
              </w:rPr>
            </w:pPr>
            <w:r>
              <w:rPr>
                <w:rFonts w:ascii="Calibri" w:cs="Calibri" w:eastAsia="Calibri" w:hAnsi="Calibri"/>
                <w:sz w:val="16"/>
                <w:szCs w:val="16"/>
                <w:color w:val="auto"/>
              </w:rPr>
              <w:t>Other costs of revenues</w:t>
            </w:r>
          </w:p>
        </w:tc>
        <w:tc>
          <w:tcPr>
            <w:tcW w:w="240" w:type="dxa"/>
            <w:vAlign w:val="bottom"/>
            <w:tcBorders>
              <w:right w:val="single" w:sz="8" w:color="E5F1F8"/>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905</w:t>
            </w:r>
          </w:p>
        </w:tc>
        <w:tc>
          <w:tcPr>
            <w:tcW w:w="80" w:type="dxa"/>
            <w:vAlign w:val="bottom"/>
            <w:shd w:val="clear" w:color="auto" w:fill="E5F1F8"/>
          </w:tcPr>
          <w:p>
            <w:pPr>
              <w:spacing w:after="0"/>
              <w:rPr>
                <w:sz w:val="18"/>
                <w:szCs w:val="18"/>
                <w:color w:val="auto"/>
              </w:rPr>
            </w:pPr>
          </w:p>
        </w:tc>
        <w:tc>
          <w:tcPr>
            <w:tcW w:w="120" w:type="dxa"/>
            <w:vAlign w:val="bottom"/>
            <w:tcBorders>
              <w:right w:val="single" w:sz="8" w:color="E5F1F8"/>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66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1,013</w:t>
            </w:r>
          </w:p>
        </w:tc>
        <w:tc>
          <w:tcPr>
            <w:tcW w:w="160" w:type="dxa"/>
            <w:vAlign w:val="bottom"/>
            <w:tcBorders>
              <w:right w:val="single" w:sz="8" w:color="E5F1F8"/>
            </w:tcBorders>
            <w:shd w:val="clear" w:color="auto" w:fill="E5F1F8"/>
          </w:tcPr>
          <w:p>
            <w:pPr>
              <w:spacing w:after="0"/>
              <w:rPr>
                <w:sz w:val="18"/>
                <w:szCs w:val="18"/>
                <w:color w:val="auto"/>
              </w:rPr>
            </w:pPr>
          </w:p>
        </w:tc>
        <w:tc>
          <w:tcPr>
            <w:tcW w:w="4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58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79</w:t>
            </w:r>
          </w:p>
        </w:tc>
        <w:tc>
          <w:tcPr>
            <w:tcW w:w="120" w:type="dxa"/>
            <w:vAlign w:val="bottom"/>
            <w:tcBorders>
              <w:right w:val="single" w:sz="8" w:color="E5F1F8"/>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139"/>
              <w:spacing w:after="0"/>
              <w:rPr>
                <w:sz w:val="20"/>
                <w:szCs w:val="20"/>
                <w:color w:val="auto"/>
              </w:rPr>
            </w:pPr>
            <w:r>
              <w:rPr>
                <w:rFonts w:ascii="Calibri" w:cs="Calibri" w:eastAsia="Calibri" w:hAnsi="Calibri"/>
                <w:sz w:val="16"/>
                <w:szCs w:val="16"/>
                <w:b w:val="1"/>
                <w:bCs w:val="1"/>
                <w:color w:val="auto"/>
              </w:rPr>
              <w:t>1,997</w:t>
            </w:r>
          </w:p>
        </w:tc>
        <w:tc>
          <w:tcPr>
            <w:tcW w:w="420" w:type="dxa"/>
            <w:vAlign w:val="bottom"/>
            <w:shd w:val="clear" w:color="auto" w:fill="E5F1F8"/>
          </w:tcPr>
          <w:p>
            <w:pPr>
              <w:spacing w:after="0"/>
              <w:rPr>
                <w:sz w:val="18"/>
                <w:szCs w:val="18"/>
                <w:color w:val="auto"/>
              </w:rPr>
            </w:pPr>
          </w:p>
        </w:tc>
        <w:tc>
          <w:tcPr>
            <w:tcW w:w="680" w:type="dxa"/>
            <w:vAlign w:val="bottom"/>
            <w:tcBorders>
              <w:right w:val="single" w:sz="8" w:color="007CBA"/>
            </w:tcBorders>
            <w:shd w:val="clear" w:color="auto" w:fill="E5F1F8"/>
          </w:tcPr>
          <w:p>
            <w:pPr>
              <w:jc w:val="right"/>
              <w:ind w:right="79"/>
              <w:spacing w:after="0"/>
              <w:rPr>
                <w:sz w:val="20"/>
                <w:szCs w:val="20"/>
                <w:color w:val="auto"/>
              </w:rPr>
            </w:pPr>
            <w:r>
              <w:rPr>
                <w:rFonts w:ascii="Calibri" w:cs="Calibri" w:eastAsia="Calibri" w:hAnsi="Calibri"/>
                <w:sz w:val="16"/>
                <w:szCs w:val="16"/>
                <w:b w:val="1"/>
                <w:bCs w:val="1"/>
                <w:color w:val="auto"/>
              </w:rPr>
              <w:t>35</w:t>
            </w: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2,032</w:t>
            </w:r>
          </w:p>
        </w:tc>
      </w:tr>
      <w:tr>
        <w:trPr>
          <w:trHeight w:val="198"/>
        </w:trPr>
        <w:tc>
          <w:tcPr>
            <w:tcW w:w="4260" w:type="dxa"/>
            <w:vAlign w:val="bottom"/>
            <w:tcBorders>
              <w:right w:val="single" w:sz="8" w:color="007CBA"/>
            </w:tcBorders>
          </w:tcPr>
          <w:p>
            <w:pPr>
              <w:ind w:left="200"/>
              <w:spacing w:after="0" w:line="193" w:lineRule="exact"/>
              <w:rPr>
                <w:sz w:val="20"/>
                <w:szCs w:val="20"/>
                <w:color w:val="auto"/>
              </w:rPr>
            </w:pPr>
            <w:r>
              <w:rPr>
                <w:rFonts w:ascii="Calibri" w:cs="Calibri" w:eastAsia="Calibri" w:hAnsi="Calibri"/>
                <w:sz w:val="16"/>
                <w:szCs w:val="16"/>
                <w:color w:val="auto"/>
              </w:rPr>
              <w:t>Selling, general and administratve expenses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139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187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139"/>
              <w:spacing w:after="0" w:line="193" w:lineRule="exact"/>
              <w:rPr>
                <w:sz w:val="20"/>
                <w:szCs w:val="20"/>
                <w:color w:val="auto"/>
              </w:rPr>
            </w:pPr>
            <w:r>
              <w:rPr>
                <w:rFonts w:ascii="Calibri" w:cs="Calibri" w:eastAsia="Calibri" w:hAnsi="Calibri"/>
                <w:sz w:val="16"/>
                <w:szCs w:val="16"/>
                <w:b w:val="1"/>
                <w:bCs w:val="1"/>
                <w:color w:val="auto"/>
              </w:rPr>
              <w:t>346</w:t>
            </w:r>
          </w:p>
        </w:tc>
        <w:tc>
          <w:tcPr>
            <w:tcW w:w="420" w:type="dxa"/>
            <w:vAlign w:val="bottom"/>
          </w:tcPr>
          <w:p>
            <w:pPr>
              <w:spacing w:after="0"/>
              <w:rPr>
                <w:sz w:val="17"/>
                <w:szCs w:val="17"/>
                <w:color w:val="auto"/>
              </w:rPr>
            </w:pPr>
          </w:p>
        </w:tc>
        <w:tc>
          <w:tcPr>
            <w:tcW w:w="680" w:type="dxa"/>
            <w:vAlign w:val="bottom"/>
            <w:tcBorders>
              <w:right w:val="single" w:sz="8" w:color="007CBA"/>
            </w:tcBorders>
          </w:tcPr>
          <w:p>
            <w:pPr>
              <w:jc w:val="right"/>
              <w:ind w:right="79"/>
              <w:spacing w:after="0" w:line="193" w:lineRule="exact"/>
              <w:rPr>
                <w:sz w:val="20"/>
                <w:szCs w:val="20"/>
                <w:color w:val="auto"/>
              </w:rPr>
            </w:pPr>
            <w:r>
              <w:rPr>
                <w:rFonts w:ascii="Calibri" w:cs="Calibri" w:eastAsia="Calibri" w:hAnsi="Calibri"/>
                <w:sz w:val="16"/>
                <w:szCs w:val="16"/>
                <w:b w:val="1"/>
                <w:bCs w:val="1"/>
                <w:color w:val="auto"/>
              </w:rPr>
              <w:t>101</w:t>
            </w:r>
          </w:p>
        </w:tc>
        <w:tc>
          <w:tcPr>
            <w:tcW w:w="280" w:type="dxa"/>
            <w:vAlign w:val="bottom"/>
          </w:tcPr>
          <w:p>
            <w:pPr>
              <w:spacing w:after="0"/>
              <w:rPr>
                <w:sz w:val="17"/>
                <w:szCs w:val="17"/>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447</w:t>
            </w:r>
          </w:p>
        </w:tc>
      </w:tr>
      <w:tr>
        <w:trPr>
          <w:trHeight w:val="207"/>
        </w:trPr>
        <w:tc>
          <w:tcPr>
            <w:tcW w:w="4260" w:type="dxa"/>
            <w:vAlign w:val="bottom"/>
            <w:tcBorders>
              <w:right w:val="single" w:sz="8" w:color="007CBA"/>
            </w:tcBorders>
            <w:shd w:val="clear" w:color="auto" w:fill="E5F1F8"/>
          </w:tcPr>
          <w:p>
            <w:pPr>
              <w:ind w:left="200"/>
              <w:spacing w:after="0"/>
              <w:rPr>
                <w:sz w:val="20"/>
                <w:szCs w:val="20"/>
                <w:color w:val="auto"/>
              </w:rPr>
            </w:pPr>
            <w:r>
              <w:rPr>
                <w:rFonts w:ascii="Calibri" w:cs="Calibri" w:eastAsia="Calibri" w:hAnsi="Calibri"/>
                <w:sz w:val="16"/>
                <w:szCs w:val="16"/>
                <w:color w:val="auto"/>
              </w:rPr>
              <w:t>Acquisiton, divestture and integraton expenses</w:t>
            </w:r>
          </w:p>
        </w:tc>
        <w:tc>
          <w:tcPr>
            <w:tcW w:w="240" w:type="dxa"/>
            <w:vAlign w:val="bottom"/>
            <w:tcBorders>
              <w:right w:val="single" w:sz="8" w:color="E5F1F8"/>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80" w:type="dxa"/>
            <w:vAlign w:val="bottom"/>
            <w:shd w:val="clear" w:color="auto" w:fill="E5F1F8"/>
          </w:tcPr>
          <w:p>
            <w:pPr>
              <w:spacing w:after="0"/>
              <w:rPr>
                <w:sz w:val="18"/>
                <w:szCs w:val="18"/>
                <w:color w:val="auto"/>
              </w:rPr>
            </w:pPr>
          </w:p>
        </w:tc>
        <w:tc>
          <w:tcPr>
            <w:tcW w:w="120" w:type="dxa"/>
            <w:vAlign w:val="bottom"/>
            <w:tcBorders>
              <w:right w:val="single" w:sz="8" w:color="E5F1F8"/>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66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16</w:t>
            </w:r>
          </w:p>
        </w:tc>
        <w:tc>
          <w:tcPr>
            <w:tcW w:w="160" w:type="dxa"/>
            <w:vAlign w:val="bottom"/>
            <w:tcBorders>
              <w:right w:val="single" w:sz="8" w:color="E5F1F8"/>
            </w:tcBorders>
            <w:shd w:val="clear" w:color="auto" w:fill="E5F1F8"/>
          </w:tcPr>
          <w:p>
            <w:pPr>
              <w:spacing w:after="0"/>
              <w:rPr>
                <w:sz w:val="18"/>
                <w:szCs w:val="18"/>
                <w:color w:val="auto"/>
              </w:rPr>
            </w:pPr>
          </w:p>
        </w:tc>
        <w:tc>
          <w:tcPr>
            <w:tcW w:w="4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58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120" w:type="dxa"/>
            <w:vAlign w:val="bottom"/>
            <w:tcBorders>
              <w:right w:val="single" w:sz="8" w:color="E5F1F8"/>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139"/>
              <w:spacing w:after="0"/>
              <w:rPr>
                <w:sz w:val="20"/>
                <w:szCs w:val="20"/>
                <w:color w:val="auto"/>
              </w:rPr>
            </w:pPr>
            <w:r>
              <w:rPr>
                <w:rFonts w:ascii="Calibri" w:cs="Calibri" w:eastAsia="Calibri" w:hAnsi="Calibri"/>
                <w:sz w:val="16"/>
                <w:szCs w:val="16"/>
                <w:b w:val="1"/>
                <w:bCs w:val="1"/>
                <w:color w:val="auto"/>
              </w:rPr>
              <w:t>16</w:t>
            </w:r>
          </w:p>
        </w:tc>
        <w:tc>
          <w:tcPr>
            <w:tcW w:w="420" w:type="dxa"/>
            <w:vAlign w:val="bottom"/>
            <w:shd w:val="clear" w:color="auto" w:fill="E5F1F8"/>
          </w:tcPr>
          <w:p>
            <w:pPr>
              <w:spacing w:after="0"/>
              <w:rPr>
                <w:sz w:val="18"/>
                <w:szCs w:val="18"/>
                <w:color w:val="auto"/>
              </w:rPr>
            </w:pPr>
          </w:p>
        </w:tc>
        <w:tc>
          <w:tcPr>
            <w:tcW w:w="680" w:type="dxa"/>
            <w:vAlign w:val="bottom"/>
            <w:tcBorders>
              <w:right w:val="single" w:sz="8" w:color="007CBA"/>
            </w:tcBorders>
            <w:shd w:val="clear" w:color="auto" w:fill="E5F1F8"/>
          </w:tcPr>
          <w:p>
            <w:pPr>
              <w:jc w:val="right"/>
              <w:ind w:right="79"/>
              <w:spacing w:after="0"/>
              <w:rPr>
                <w:sz w:val="20"/>
                <w:szCs w:val="20"/>
                <w:color w:val="auto"/>
              </w:rPr>
            </w:pPr>
            <w:r>
              <w:rPr>
                <w:rFonts w:ascii="Calibri" w:cs="Calibri" w:eastAsia="Calibri" w:hAnsi="Calibri"/>
                <w:sz w:val="16"/>
                <w:szCs w:val="16"/>
                <w:b w:val="1"/>
                <w:bCs w:val="1"/>
                <w:color w:val="auto"/>
              </w:rPr>
              <w:t>34</w:t>
            </w: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jc w:val="right"/>
              <w:ind w:right="59"/>
              <w:spacing w:after="0"/>
              <w:rPr>
                <w:sz w:val="20"/>
                <w:szCs w:val="20"/>
                <w:color w:val="auto"/>
              </w:rPr>
            </w:pPr>
            <w:r>
              <w:rPr>
                <w:rFonts w:ascii="Calibri" w:cs="Calibri" w:eastAsia="Calibri" w:hAnsi="Calibri"/>
                <w:sz w:val="16"/>
                <w:szCs w:val="16"/>
                <w:b w:val="1"/>
                <w:bCs w:val="1"/>
                <w:color w:val="auto"/>
              </w:rPr>
              <w:t>50</w:t>
            </w:r>
          </w:p>
        </w:tc>
      </w:tr>
      <w:tr>
        <w:trPr>
          <w:trHeight w:val="198"/>
        </w:trPr>
        <w:tc>
          <w:tcPr>
            <w:tcW w:w="4260" w:type="dxa"/>
            <w:vAlign w:val="bottom"/>
            <w:tcBorders>
              <w:bottom w:val="single" w:sz="8" w:color="auto"/>
            </w:tcBorders>
          </w:tcPr>
          <w:p>
            <w:pPr>
              <w:ind w:left="200"/>
              <w:spacing w:after="0" w:line="193" w:lineRule="exact"/>
              <w:rPr>
                <w:sz w:val="20"/>
                <w:szCs w:val="20"/>
                <w:color w:val="auto"/>
              </w:rPr>
            </w:pPr>
            <w:r>
              <w:rPr>
                <w:rFonts w:ascii="Calibri" w:cs="Calibri" w:eastAsia="Calibri" w:hAnsi="Calibri"/>
                <w:sz w:val="16"/>
                <w:szCs w:val="16"/>
                <w:color w:val="auto"/>
              </w:rPr>
              <w:t>Other operatng expense (income), net</w:t>
            </w: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7</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(1,307 )</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(3 )</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(1,303 )</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(23 )</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(1,326 )</w:t>
            </w:r>
          </w:p>
        </w:tc>
      </w:tr>
      <w:tr>
        <w:trPr>
          <w:trHeight w:val="201"/>
        </w:trPr>
        <w:tc>
          <w:tcPr>
            <w:tcW w:w="4260" w:type="dxa"/>
            <w:vAlign w:val="bottom"/>
            <w:tcBorders>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b w:val="1"/>
                <w:bCs w:val="1"/>
                <w:color w:val="auto"/>
              </w:rPr>
              <w:t>Segment Earnings (Loss) from Operatons</w:t>
            </w:r>
          </w:p>
        </w:tc>
        <w:tc>
          <w:tcPr>
            <w:tcW w:w="240" w:type="dxa"/>
            <w:vAlign w:val="bottom"/>
            <w:tcBorders>
              <w:right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340" w:type="dxa"/>
            <w:vAlign w:val="bottom"/>
            <w:shd w:val="clear" w:color="auto" w:fill="E5F1F8"/>
          </w:tcPr>
          <w:p>
            <w:pPr>
              <w:spacing w:after="0"/>
              <w:rPr>
                <w:sz w:val="17"/>
                <w:szCs w:val="17"/>
                <w:color w:val="auto"/>
              </w:rPr>
            </w:pPr>
          </w:p>
        </w:tc>
        <w:tc>
          <w:tcPr>
            <w:tcW w:w="620" w:type="dxa"/>
            <w:vAlign w:val="bottom"/>
            <w:tcBorders>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891</w:t>
            </w:r>
          </w:p>
        </w:tc>
        <w:tc>
          <w:tcPr>
            <w:tcW w:w="80" w:type="dxa"/>
            <w:vAlign w:val="bottom"/>
            <w:shd w:val="clear" w:color="auto" w:fill="E5F1F8"/>
          </w:tcPr>
          <w:p>
            <w:pPr>
              <w:spacing w:after="0"/>
              <w:rPr>
                <w:sz w:val="17"/>
                <w:szCs w:val="17"/>
                <w:color w:val="auto"/>
              </w:rPr>
            </w:pPr>
          </w:p>
        </w:tc>
        <w:tc>
          <w:tcPr>
            <w:tcW w:w="200" w:type="dxa"/>
            <w:vAlign w:val="bottom"/>
            <w:gridSpan w:val="2"/>
            <w:shd w:val="clear" w:color="auto" w:fill="E5F1F8"/>
          </w:tcPr>
          <w:p>
            <w:pPr>
              <w:jc w:val="right"/>
              <w:ind w:right="80"/>
              <w:spacing w:after="0" w:line="193" w:lineRule="exact"/>
              <w:rPr>
                <w:sz w:val="20"/>
                <w:szCs w:val="20"/>
                <w:color w:val="auto"/>
              </w:rPr>
            </w:pPr>
            <w:r>
              <w:rPr>
                <w:rFonts w:ascii="Calibri" w:cs="Calibri" w:eastAsia="Calibri" w:hAnsi="Calibri"/>
                <w:sz w:val="16"/>
                <w:szCs w:val="16"/>
                <w:b w:val="1"/>
                <w:bCs w:val="1"/>
                <w:color w:val="auto"/>
              </w:rPr>
              <w:t>$</w:t>
            </w:r>
          </w:p>
        </w:tc>
        <w:tc>
          <w:tcPr>
            <w:tcW w:w="220" w:type="dxa"/>
            <w:vAlign w:val="bottom"/>
            <w:shd w:val="clear" w:color="auto" w:fill="E5F1F8"/>
          </w:tcPr>
          <w:p>
            <w:pPr>
              <w:spacing w:after="0"/>
              <w:rPr>
                <w:sz w:val="17"/>
                <w:szCs w:val="17"/>
                <w:color w:val="auto"/>
              </w:rPr>
            </w:pPr>
          </w:p>
        </w:tc>
        <w:tc>
          <w:tcPr>
            <w:tcW w:w="660" w:type="dxa"/>
            <w:vAlign w:val="bottom"/>
            <w:tcBorders>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1,877</w:t>
            </w:r>
          </w:p>
        </w:tc>
        <w:tc>
          <w:tcPr>
            <w:tcW w:w="160" w:type="dxa"/>
            <w:vAlign w:val="bottom"/>
            <w:tcBorders>
              <w:right w:val="single" w:sz="8" w:color="E5F1F8"/>
            </w:tcBorders>
            <w:shd w:val="clear" w:color="auto" w:fill="E5F1F8"/>
          </w:tcPr>
          <w:p>
            <w:pPr>
              <w:spacing w:after="0"/>
              <w:rPr>
                <w:sz w:val="17"/>
                <w:szCs w:val="17"/>
                <w:color w:val="auto"/>
              </w:rPr>
            </w:pPr>
          </w:p>
        </w:tc>
        <w:tc>
          <w:tcPr>
            <w:tcW w:w="40" w:type="dxa"/>
            <w:vAlign w:val="bottom"/>
            <w:shd w:val="clear" w:color="auto" w:fill="E5F1F8"/>
          </w:tcPr>
          <w:p>
            <w:pPr>
              <w:jc w:val="right"/>
              <w:spacing w:after="0"/>
              <w:rPr>
                <w:sz w:val="20"/>
                <w:szCs w:val="20"/>
                <w:color w:val="auto"/>
              </w:rPr>
            </w:pPr>
            <w:r>
              <w:rPr>
                <w:rFonts w:ascii="Calibri" w:cs="Calibri" w:eastAsia="Calibri" w:hAnsi="Calibri"/>
                <w:sz w:val="5"/>
                <w:szCs w:val="5"/>
                <w:b w:val="1"/>
                <w:bCs w:val="1"/>
                <w:color w:val="auto"/>
                <w:w w:val="76"/>
              </w:rPr>
              <w:t>$</w:t>
            </w:r>
          </w:p>
        </w:tc>
        <w:tc>
          <w:tcPr>
            <w:tcW w:w="360" w:type="dxa"/>
            <w:vAlign w:val="bottom"/>
            <w:shd w:val="clear" w:color="auto" w:fill="E5F1F8"/>
          </w:tcPr>
          <w:p>
            <w:pPr>
              <w:spacing w:after="0"/>
              <w:rPr>
                <w:sz w:val="17"/>
                <w:szCs w:val="17"/>
                <w:color w:val="auto"/>
              </w:rPr>
            </w:pPr>
          </w:p>
        </w:tc>
        <w:tc>
          <w:tcPr>
            <w:tcW w:w="580" w:type="dxa"/>
            <w:vAlign w:val="bottom"/>
            <w:tcBorders>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90</w:t>
            </w:r>
          </w:p>
        </w:tc>
        <w:tc>
          <w:tcPr>
            <w:tcW w:w="360" w:type="dxa"/>
            <w:vAlign w:val="bottom"/>
            <w:gridSpan w:val="2"/>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920" w:type="dxa"/>
            <w:vAlign w:val="bottom"/>
            <w:tcBorders>
              <w:right w:val="single" w:sz="8" w:color="007CBA"/>
            </w:tcBorders>
            <w:shd w:val="clear" w:color="auto" w:fill="E5F1F8"/>
          </w:tcPr>
          <w:p>
            <w:pPr>
              <w:jc w:val="right"/>
              <w:ind w:right="139"/>
              <w:spacing w:after="0" w:line="193" w:lineRule="exact"/>
              <w:rPr>
                <w:sz w:val="20"/>
                <w:szCs w:val="20"/>
                <w:color w:val="auto"/>
              </w:rPr>
            </w:pPr>
            <w:r>
              <w:rPr>
                <w:rFonts w:ascii="Calibri" w:cs="Calibri" w:eastAsia="Calibri" w:hAnsi="Calibri"/>
                <w:sz w:val="16"/>
                <w:szCs w:val="16"/>
                <w:b w:val="1"/>
                <w:bCs w:val="1"/>
                <w:color w:val="auto"/>
              </w:rPr>
              <w:t>2,858</w:t>
            </w:r>
          </w:p>
        </w:tc>
        <w:tc>
          <w:tcPr>
            <w:tcW w:w="420" w:type="dxa"/>
            <w:vAlign w:val="bottom"/>
            <w:shd w:val="clear" w:color="auto" w:fill="E5F1F8"/>
          </w:tcPr>
          <w:p>
            <w:pPr>
              <w:jc w:val="right"/>
              <w:ind w:right="219"/>
              <w:spacing w:after="0" w:line="193" w:lineRule="exact"/>
              <w:rPr>
                <w:sz w:val="20"/>
                <w:szCs w:val="20"/>
                <w:color w:val="auto"/>
              </w:rPr>
            </w:pPr>
            <w:r>
              <w:rPr>
                <w:rFonts w:ascii="Calibri" w:cs="Calibri" w:eastAsia="Calibri" w:hAnsi="Calibri"/>
                <w:sz w:val="16"/>
                <w:szCs w:val="16"/>
                <w:b w:val="1"/>
                <w:bCs w:val="1"/>
                <w:color w:val="auto"/>
              </w:rPr>
              <w:t>$</w:t>
            </w:r>
          </w:p>
        </w:tc>
        <w:tc>
          <w:tcPr>
            <w:tcW w:w="680" w:type="dxa"/>
            <w:vAlign w:val="bottom"/>
            <w:tcBorders>
              <w:right w:val="single" w:sz="8" w:color="007CBA"/>
            </w:tcBorders>
            <w:shd w:val="clear" w:color="auto" w:fill="E5F1F8"/>
          </w:tcPr>
          <w:p>
            <w:pPr>
              <w:jc w:val="right"/>
              <w:spacing w:after="0" w:line="193" w:lineRule="exact"/>
              <w:rPr>
                <w:sz w:val="20"/>
                <w:szCs w:val="20"/>
                <w:color w:val="auto"/>
              </w:rPr>
            </w:pPr>
            <w:r>
              <w:rPr>
                <w:rFonts w:ascii="Calibri" w:cs="Calibri" w:eastAsia="Calibri" w:hAnsi="Calibri"/>
                <w:sz w:val="16"/>
                <w:szCs w:val="16"/>
                <w:b w:val="1"/>
                <w:bCs w:val="1"/>
                <w:color w:val="auto"/>
              </w:rPr>
              <w:t>(151 )</w:t>
            </w:r>
          </w:p>
        </w:tc>
        <w:tc>
          <w:tcPr>
            <w:tcW w:w="280" w:type="dxa"/>
            <w:vAlign w:val="bottom"/>
            <w:shd w:val="clear" w:color="auto" w:fill="E5F1F8"/>
          </w:tcPr>
          <w:p>
            <w:pPr>
              <w:jc w:val="right"/>
              <w:ind w:right="19"/>
              <w:spacing w:after="0" w:line="193" w:lineRule="exact"/>
              <w:rPr>
                <w:sz w:val="20"/>
                <w:szCs w:val="20"/>
                <w:color w:val="auto"/>
              </w:rPr>
            </w:pPr>
            <w:r>
              <w:rPr>
                <w:rFonts w:ascii="Calibri" w:cs="Calibri" w:eastAsia="Calibri" w:hAnsi="Calibri"/>
                <w:sz w:val="16"/>
                <w:szCs w:val="16"/>
                <w:b w:val="1"/>
                <w:bCs w:val="1"/>
                <w:color w:val="auto"/>
              </w:rPr>
              <w:t>$</w:t>
            </w:r>
          </w:p>
        </w:tc>
        <w:tc>
          <w:tcPr>
            <w:tcW w:w="820" w:type="dxa"/>
            <w:vAlign w:val="bottom"/>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2,707</w:t>
            </w:r>
          </w:p>
        </w:tc>
      </w:tr>
      <w:tr>
        <w:trPr>
          <w:trHeight w:val="203"/>
        </w:trPr>
        <w:tc>
          <w:tcPr>
            <w:tcW w:w="42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Interest expense</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right w:val="single" w:sz="8" w:color="007CBA"/>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right w:val="single" w:sz="8" w:color="007CBA"/>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169</w:t>
            </w:r>
          </w:p>
        </w:tc>
      </w:tr>
      <w:tr>
        <w:trPr>
          <w:trHeight w:val="198"/>
        </w:trPr>
        <w:tc>
          <w:tcPr>
            <w:tcW w:w="4260" w:type="dxa"/>
            <w:vAlign w:val="bottom"/>
            <w:tcBorders>
              <w:bottom w:val="single" w:sz="8" w:color="auto"/>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Other nonoperatng income, net</w:t>
            </w:r>
          </w:p>
        </w:tc>
        <w:tc>
          <w:tcPr>
            <w:tcW w:w="240" w:type="dxa"/>
            <w:vAlign w:val="bottom"/>
            <w:tcBorders>
              <w:bottom w:val="single" w:sz="8" w:color="auto"/>
              <w:right w:val="single" w:sz="8" w:color="E5F1F8"/>
            </w:tcBorders>
            <w:shd w:val="clear" w:color="auto" w:fill="E5F1F8"/>
          </w:tcPr>
          <w:p>
            <w:pPr>
              <w:spacing w:after="0"/>
              <w:rPr>
                <w:sz w:val="17"/>
                <w:szCs w:val="17"/>
                <w:color w:val="auto"/>
              </w:rPr>
            </w:pPr>
          </w:p>
        </w:tc>
        <w:tc>
          <w:tcPr>
            <w:tcW w:w="340" w:type="dxa"/>
            <w:vAlign w:val="bottom"/>
            <w:tcBorders>
              <w:bottom w:val="single" w:sz="8" w:color="auto"/>
            </w:tcBorders>
            <w:shd w:val="clear" w:color="auto" w:fill="E5F1F8"/>
          </w:tcPr>
          <w:p>
            <w:pPr>
              <w:spacing w:after="0"/>
              <w:rPr>
                <w:sz w:val="17"/>
                <w:szCs w:val="17"/>
                <w:color w:val="auto"/>
              </w:rPr>
            </w:pPr>
          </w:p>
        </w:tc>
        <w:tc>
          <w:tcPr>
            <w:tcW w:w="620" w:type="dxa"/>
            <w:vAlign w:val="bottom"/>
            <w:tcBorders>
              <w:bottom w:val="single" w:sz="8" w:color="auto"/>
              <w:right w:val="single" w:sz="8" w:color="E5F1F8"/>
            </w:tcBorders>
            <w:shd w:val="clear" w:color="auto" w:fill="E5F1F8"/>
          </w:tcPr>
          <w:p>
            <w:pPr>
              <w:spacing w:after="0"/>
              <w:rPr>
                <w:sz w:val="17"/>
                <w:szCs w:val="17"/>
                <w:color w:val="auto"/>
              </w:rPr>
            </w:pPr>
          </w:p>
        </w:tc>
        <w:tc>
          <w:tcPr>
            <w:tcW w:w="80" w:type="dxa"/>
            <w:vAlign w:val="bottom"/>
            <w:tcBorders>
              <w:bottom w:val="single" w:sz="8" w:color="auto"/>
            </w:tcBorders>
            <w:shd w:val="clear" w:color="auto" w:fill="E5F1F8"/>
          </w:tcPr>
          <w:p>
            <w:pPr>
              <w:spacing w:after="0"/>
              <w:rPr>
                <w:sz w:val="17"/>
                <w:szCs w:val="17"/>
                <w:color w:val="auto"/>
              </w:rPr>
            </w:pPr>
          </w:p>
        </w:tc>
        <w:tc>
          <w:tcPr>
            <w:tcW w:w="120" w:type="dxa"/>
            <w:vAlign w:val="bottom"/>
            <w:tcBorders>
              <w:bottom w:val="single" w:sz="8" w:color="auto"/>
              <w:right w:val="single" w:sz="8" w:color="E5F1F8"/>
            </w:tcBorders>
            <w:shd w:val="clear" w:color="auto" w:fill="E5F1F8"/>
          </w:tcPr>
          <w:p>
            <w:pPr>
              <w:spacing w:after="0"/>
              <w:rPr>
                <w:sz w:val="17"/>
                <w:szCs w:val="17"/>
                <w:color w:val="auto"/>
              </w:rPr>
            </w:pPr>
          </w:p>
        </w:tc>
        <w:tc>
          <w:tcPr>
            <w:tcW w:w="80" w:type="dxa"/>
            <w:vAlign w:val="bottom"/>
            <w:tcBorders>
              <w:bottom w:val="single" w:sz="8" w:color="auto"/>
            </w:tcBorders>
            <w:shd w:val="clear" w:color="auto" w:fill="E5F1F8"/>
          </w:tcPr>
          <w:p>
            <w:pPr>
              <w:spacing w:after="0"/>
              <w:rPr>
                <w:sz w:val="17"/>
                <w:szCs w:val="17"/>
                <w:color w:val="auto"/>
              </w:rPr>
            </w:pPr>
          </w:p>
        </w:tc>
        <w:tc>
          <w:tcPr>
            <w:tcW w:w="220" w:type="dxa"/>
            <w:vAlign w:val="bottom"/>
            <w:tcBorders>
              <w:bottom w:val="single" w:sz="8" w:color="auto"/>
            </w:tcBorders>
            <w:shd w:val="clear" w:color="auto" w:fill="E5F1F8"/>
          </w:tcPr>
          <w:p>
            <w:pPr>
              <w:spacing w:after="0"/>
              <w:rPr>
                <w:sz w:val="17"/>
                <w:szCs w:val="17"/>
                <w:color w:val="auto"/>
              </w:rPr>
            </w:pPr>
          </w:p>
        </w:tc>
        <w:tc>
          <w:tcPr>
            <w:tcW w:w="660" w:type="dxa"/>
            <w:vAlign w:val="bottom"/>
            <w:tcBorders>
              <w:bottom w:val="single" w:sz="8" w:color="auto"/>
              <w:right w:val="single" w:sz="8" w:color="E5F1F8"/>
            </w:tcBorders>
            <w:shd w:val="clear" w:color="auto" w:fill="E5F1F8"/>
          </w:tcPr>
          <w:p>
            <w:pPr>
              <w:spacing w:after="0"/>
              <w:rPr>
                <w:sz w:val="17"/>
                <w:szCs w:val="17"/>
                <w:color w:val="auto"/>
              </w:rPr>
            </w:pPr>
          </w:p>
        </w:tc>
        <w:tc>
          <w:tcPr>
            <w:tcW w:w="160" w:type="dxa"/>
            <w:vAlign w:val="bottom"/>
            <w:tcBorders>
              <w:bottom w:val="single" w:sz="8" w:color="auto"/>
              <w:right w:val="single" w:sz="8" w:color="E5F1F8"/>
            </w:tcBorders>
            <w:shd w:val="clear" w:color="auto" w:fill="E5F1F8"/>
          </w:tcPr>
          <w:p>
            <w:pPr>
              <w:spacing w:after="0"/>
              <w:rPr>
                <w:sz w:val="17"/>
                <w:szCs w:val="17"/>
                <w:color w:val="auto"/>
              </w:rPr>
            </w:pPr>
          </w:p>
        </w:tc>
        <w:tc>
          <w:tcPr>
            <w:tcW w:w="40" w:type="dxa"/>
            <w:vAlign w:val="bottom"/>
            <w:tcBorders>
              <w:bottom w:val="single" w:sz="8" w:color="auto"/>
            </w:tcBorders>
            <w:shd w:val="clear" w:color="auto" w:fill="E5F1F8"/>
          </w:tcPr>
          <w:p>
            <w:pPr>
              <w:spacing w:after="0"/>
              <w:rPr>
                <w:sz w:val="17"/>
                <w:szCs w:val="17"/>
                <w:color w:val="auto"/>
              </w:rPr>
            </w:pPr>
          </w:p>
        </w:tc>
        <w:tc>
          <w:tcPr>
            <w:tcW w:w="360" w:type="dxa"/>
            <w:vAlign w:val="bottom"/>
            <w:tcBorders>
              <w:bottom w:val="single" w:sz="8" w:color="auto"/>
            </w:tcBorders>
            <w:shd w:val="clear" w:color="auto" w:fill="E5F1F8"/>
          </w:tcPr>
          <w:p>
            <w:pPr>
              <w:spacing w:after="0"/>
              <w:rPr>
                <w:sz w:val="17"/>
                <w:szCs w:val="17"/>
                <w:color w:val="auto"/>
              </w:rPr>
            </w:pPr>
          </w:p>
        </w:tc>
        <w:tc>
          <w:tcPr>
            <w:tcW w:w="580" w:type="dxa"/>
            <w:vAlign w:val="bottom"/>
            <w:tcBorders>
              <w:bottom w:val="single" w:sz="8" w:color="auto"/>
              <w:right w:val="single" w:sz="8" w:color="E5F1F8"/>
            </w:tcBorders>
            <w:shd w:val="clear" w:color="auto" w:fill="E5F1F8"/>
          </w:tcPr>
          <w:p>
            <w:pPr>
              <w:spacing w:after="0"/>
              <w:rPr>
                <w:sz w:val="17"/>
                <w:szCs w:val="17"/>
                <w:color w:val="auto"/>
              </w:rPr>
            </w:pPr>
          </w:p>
        </w:tc>
        <w:tc>
          <w:tcPr>
            <w:tcW w:w="120" w:type="dxa"/>
            <w:vAlign w:val="bottom"/>
            <w:tcBorders>
              <w:bottom w:val="single" w:sz="8" w:color="auto"/>
              <w:right w:val="single" w:sz="8" w:color="E5F1F8"/>
            </w:tcBorders>
            <w:shd w:val="clear" w:color="auto" w:fill="E5F1F8"/>
          </w:tcPr>
          <w:p>
            <w:pPr>
              <w:spacing w:after="0"/>
              <w:rPr>
                <w:sz w:val="17"/>
                <w:szCs w:val="17"/>
                <w:color w:val="auto"/>
              </w:rPr>
            </w:pPr>
          </w:p>
        </w:tc>
        <w:tc>
          <w:tcPr>
            <w:tcW w:w="240" w:type="dxa"/>
            <w:vAlign w:val="bottom"/>
            <w:tcBorders>
              <w:bottom w:val="single" w:sz="8" w:color="auto"/>
            </w:tcBorders>
            <w:shd w:val="clear" w:color="auto" w:fill="E5F1F8"/>
          </w:tcPr>
          <w:p>
            <w:pPr>
              <w:spacing w:after="0"/>
              <w:rPr>
                <w:sz w:val="17"/>
                <w:szCs w:val="17"/>
                <w:color w:val="auto"/>
              </w:rPr>
            </w:pPr>
          </w:p>
        </w:tc>
        <w:tc>
          <w:tcPr>
            <w:tcW w:w="920" w:type="dxa"/>
            <w:vAlign w:val="bottom"/>
            <w:tcBorders>
              <w:bottom w:val="single" w:sz="8" w:color="auto"/>
              <w:right w:val="single" w:sz="8" w:color="E5F1F8"/>
            </w:tcBorders>
            <w:shd w:val="clear" w:color="auto" w:fill="E5F1F8"/>
          </w:tcPr>
          <w:p>
            <w:pPr>
              <w:spacing w:after="0"/>
              <w:rPr>
                <w:sz w:val="17"/>
                <w:szCs w:val="17"/>
                <w:color w:val="auto"/>
              </w:rPr>
            </w:pPr>
          </w:p>
        </w:tc>
        <w:tc>
          <w:tcPr>
            <w:tcW w:w="420" w:type="dxa"/>
            <w:vAlign w:val="bottom"/>
            <w:tcBorders>
              <w:bottom w:val="single" w:sz="8" w:color="auto"/>
            </w:tcBorders>
            <w:shd w:val="clear" w:color="auto" w:fill="E5F1F8"/>
          </w:tcPr>
          <w:p>
            <w:pPr>
              <w:spacing w:after="0"/>
              <w:rPr>
                <w:sz w:val="17"/>
                <w:szCs w:val="17"/>
                <w:color w:val="auto"/>
              </w:rPr>
            </w:pPr>
          </w:p>
        </w:tc>
        <w:tc>
          <w:tcPr>
            <w:tcW w:w="680" w:type="dxa"/>
            <w:vAlign w:val="bottom"/>
            <w:tcBorders>
              <w:bottom w:val="single" w:sz="8" w:color="auto"/>
              <w:right w:val="single" w:sz="8" w:color="E5F1F8"/>
            </w:tcBorders>
            <w:shd w:val="clear" w:color="auto" w:fill="E5F1F8"/>
          </w:tcPr>
          <w:p>
            <w:pPr>
              <w:spacing w:after="0"/>
              <w:rPr>
                <w:sz w:val="17"/>
                <w:szCs w:val="17"/>
                <w:color w:val="auto"/>
              </w:rPr>
            </w:pPr>
          </w:p>
        </w:tc>
        <w:tc>
          <w:tcPr>
            <w:tcW w:w="280" w:type="dxa"/>
            <w:vAlign w:val="bottom"/>
            <w:tcBorders>
              <w:bottom w:val="single" w:sz="8" w:color="auto"/>
            </w:tcBorders>
            <w:shd w:val="clear" w:color="auto" w:fill="E5F1F8"/>
          </w:tcPr>
          <w:p>
            <w:pPr>
              <w:spacing w:after="0"/>
              <w:rPr>
                <w:sz w:val="17"/>
                <w:szCs w:val="17"/>
                <w:color w:val="auto"/>
              </w:rPr>
            </w:pPr>
          </w:p>
        </w:tc>
        <w:tc>
          <w:tcPr>
            <w:tcW w:w="820" w:type="dxa"/>
            <w:vAlign w:val="bottom"/>
            <w:tcBorders>
              <w:bottom w:val="single" w:sz="8" w:color="auto"/>
            </w:tcBorders>
            <w:shd w:val="clear" w:color="auto" w:fill="E5F1F8"/>
          </w:tcPr>
          <w:p>
            <w:pPr>
              <w:jc w:val="right"/>
              <w:spacing w:after="0" w:line="193" w:lineRule="exact"/>
              <w:rPr>
                <w:sz w:val="20"/>
                <w:szCs w:val="20"/>
                <w:color w:val="auto"/>
              </w:rPr>
            </w:pPr>
            <w:r>
              <w:rPr>
                <w:rFonts w:ascii="Calibri" w:cs="Calibri" w:eastAsia="Calibri" w:hAnsi="Calibri"/>
                <w:sz w:val="16"/>
                <w:szCs w:val="16"/>
                <w:b w:val="1"/>
                <w:bCs w:val="1"/>
                <w:color w:val="auto"/>
              </w:rPr>
              <w:t>(58 )</w:t>
            </w:r>
          </w:p>
        </w:tc>
      </w:tr>
      <w:tr>
        <w:trPr>
          <w:trHeight w:val="182"/>
        </w:trPr>
        <w:tc>
          <w:tcPr>
            <w:tcW w:w="4260" w:type="dxa"/>
            <w:vAlign w:val="bottom"/>
          </w:tcPr>
          <w:p>
            <w:pPr>
              <w:ind w:left="120"/>
              <w:spacing w:after="0" w:line="182" w:lineRule="exact"/>
              <w:rPr>
                <w:sz w:val="20"/>
                <w:szCs w:val="20"/>
                <w:color w:val="auto"/>
              </w:rPr>
            </w:pPr>
            <w:r>
              <w:rPr>
                <w:rFonts w:ascii="Calibri" w:cs="Calibri" w:eastAsia="Calibri" w:hAnsi="Calibri"/>
                <w:sz w:val="16"/>
                <w:szCs w:val="16"/>
                <w:b w:val="1"/>
                <w:bCs w:val="1"/>
                <w:color w:val="auto"/>
              </w:rPr>
              <w:t>Consolidated earnings from contnuing operatons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3"/>
        </w:trPr>
        <w:tc>
          <w:tcPr>
            <w:tcW w:w="4260" w:type="dxa"/>
            <w:vAlign w:val="bottom"/>
          </w:tcPr>
          <w:p>
            <w:pPr>
              <w:ind w:left="260"/>
              <w:spacing w:after="0" w:line="193" w:lineRule="exact"/>
              <w:rPr>
                <w:sz w:val="20"/>
                <w:szCs w:val="20"/>
                <w:color w:val="auto"/>
              </w:rPr>
            </w:pPr>
            <w:r>
              <w:rPr>
                <w:rFonts w:ascii="Calibri" w:cs="Calibri" w:eastAsia="Calibri" w:hAnsi="Calibri"/>
                <w:sz w:val="16"/>
                <w:szCs w:val="16"/>
                <w:b w:val="1"/>
                <w:bCs w:val="1"/>
                <w:color w:val="auto"/>
              </w:rPr>
              <w:t>before income tax expense</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jc w:val="right"/>
              <w:ind w:right="19"/>
              <w:spacing w:after="0" w:line="193" w:lineRule="exact"/>
              <w:rPr>
                <w:sz w:val="20"/>
                <w:szCs w:val="20"/>
                <w:color w:val="auto"/>
              </w:rPr>
            </w:pPr>
            <w:r>
              <w:rPr>
                <w:rFonts w:ascii="Calibri" w:cs="Calibri" w:eastAsia="Calibri" w:hAnsi="Calibri"/>
                <w:sz w:val="16"/>
                <w:szCs w:val="16"/>
                <w:b w:val="1"/>
                <w:bCs w:val="1"/>
                <w:color w:val="auto"/>
              </w:rPr>
              <w:t>$</w:t>
            </w: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2,596</w:t>
            </w:r>
          </w:p>
        </w:tc>
      </w:tr>
      <w:tr>
        <w:trPr>
          <w:trHeight w:val="27"/>
        </w:trPr>
        <w:tc>
          <w:tcPr>
            <w:tcW w:w="4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05"/>
        </w:trPr>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4"/>
        </w:trPr>
        <w:tc>
          <w:tcPr>
            <w:tcW w:w="4260" w:type="dxa"/>
            <w:vAlign w:val="bottom"/>
            <w:tcBorders>
              <w:right w:val="single" w:sz="8" w:color="007CBA"/>
            </w:tcBorders>
            <w:shd w:val="clear" w:color="auto" w:fill="007CBA"/>
          </w:tcPr>
          <w:p>
            <w:pPr>
              <w:spacing w:after="0"/>
              <w:rPr>
                <w:sz w:val="16"/>
                <w:szCs w:val="16"/>
                <w:color w:val="auto"/>
              </w:rPr>
            </w:pPr>
          </w:p>
        </w:tc>
        <w:tc>
          <w:tcPr>
            <w:tcW w:w="240" w:type="dxa"/>
            <w:vAlign w:val="bottom"/>
            <w:tcBorders>
              <w:right w:val="single" w:sz="8" w:color="007CBA"/>
            </w:tcBorders>
            <w:shd w:val="clear" w:color="auto" w:fill="007CBA"/>
          </w:tcPr>
          <w:p>
            <w:pPr>
              <w:spacing w:after="0"/>
              <w:rPr>
                <w:sz w:val="16"/>
                <w:szCs w:val="16"/>
                <w:color w:val="auto"/>
              </w:rPr>
            </w:pPr>
          </w:p>
        </w:tc>
        <w:tc>
          <w:tcPr>
            <w:tcW w:w="340" w:type="dxa"/>
            <w:vAlign w:val="bottom"/>
            <w:shd w:val="clear" w:color="auto" w:fill="007CBA"/>
          </w:tcPr>
          <w:p>
            <w:pPr>
              <w:spacing w:after="0"/>
              <w:rPr>
                <w:sz w:val="16"/>
                <w:szCs w:val="16"/>
                <w:color w:val="auto"/>
              </w:rPr>
            </w:pPr>
          </w:p>
        </w:tc>
        <w:tc>
          <w:tcPr>
            <w:tcW w:w="620" w:type="dxa"/>
            <w:vAlign w:val="bottom"/>
            <w:tcBorders>
              <w:right w:val="single" w:sz="8" w:color="007CBA"/>
            </w:tcBorders>
            <w:shd w:val="clear" w:color="auto" w:fill="007CBA"/>
          </w:tcPr>
          <w:p>
            <w:pPr>
              <w:spacing w:after="0"/>
              <w:rPr>
                <w:sz w:val="16"/>
                <w:szCs w:val="16"/>
                <w:color w:val="auto"/>
              </w:rPr>
            </w:pPr>
          </w:p>
        </w:tc>
        <w:tc>
          <w:tcPr>
            <w:tcW w:w="80" w:type="dxa"/>
            <w:vAlign w:val="bottom"/>
            <w:shd w:val="clear" w:color="auto" w:fill="007CBA"/>
          </w:tcPr>
          <w:p>
            <w:pPr>
              <w:spacing w:after="0"/>
              <w:rPr>
                <w:sz w:val="16"/>
                <w:szCs w:val="16"/>
                <w:color w:val="auto"/>
              </w:rPr>
            </w:pPr>
          </w:p>
        </w:tc>
        <w:tc>
          <w:tcPr>
            <w:tcW w:w="120" w:type="dxa"/>
            <w:vAlign w:val="bottom"/>
            <w:tcBorders>
              <w:right w:val="single" w:sz="8" w:color="007CBA"/>
            </w:tcBorders>
            <w:shd w:val="clear" w:color="auto" w:fill="007CBA"/>
          </w:tcPr>
          <w:p>
            <w:pPr>
              <w:spacing w:after="0"/>
              <w:rPr>
                <w:sz w:val="16"/>
                <w:szCs w:val="16"/>
                <w:color w:val="auto"/>
              </w:rPr>
            </w:pPr>
          </w:p>
        </w:tc>
        <w:tc>
          <w:tcPr>
            <w:tcW w:w="80" w:type="dxa"/>
            <w:vAlign w:val="bottom"/>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160" w:type="dxa"/>
            <w:vAlign w:val="bottom"/>
            <w:tcBorders>
              <w:right w:val="single" w:sz="8" w:color="007CBA"/>
            </w:tcBorders>
            <w:shd w:val="clear" w:color="auto" w:fill="007CBA"/>
          </w:tcPr>
          <w:p>
            <w:pPr>
              <w:spacing w:after="0"/>
              <w:rPr>
                <w:sz w:val="16"/>
                <w:szCs w:val="16"/>
                <w:color w:val="auto"/>
              </w:rPr>
            </w:pPr>
          </w:p>
        </w:tc>
        <w:tc>
          <w:tcPr>
            <w:tcW w:w="40" w:type="dxa"/>
            <w:vAlign w:val="bottom"/>
            <w:shd w:val="clear" w:color="auto" w:fill="007CBA"/>
          </w:tcPr>
          <w:p>
            <w:pPr>
              <w:spacing w:after="0"/>
              <w:rPr>
                <w:sz w:val="16"/>
                <w:szCs w:val="16"/>
                <w:color w:val="auto"/>
              </w:rPr>
            </w:pPr>
          </w:p>
        </w:tc>
        <w:tc>
          <w:tcPr>
            <w:tcW w:w="360" w:type="dxa"/>
            <w:vAlign w:val="bottom"/>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20" w:type="dxa"/>
            <w:vAlign w:val="bottom"/>
            <w:tcBorders>
              <w:right w:val="single" w:sz="8" w:color="007CBA"/>
            </w:tcBorders>
            <w:shd w:val="clear" w:color="auto" w:fill="007CBA"/>
          </w:tcPr>
          <w:p>
            <w:pPr>
              <w:spacing w:after="0"/>
              <w:rPr>
                <w:sz w:val="16"/>
                <w:szCs w:val="16"/>
                <w:color w:val="auto"/>
              </w:rPr>
            </w:pPr>
          </w:p>
        </w:tc>
        <w:tc>
          <w:tcPr>
            <w:tcW w:w="240" w:type="dxa"/>
            <w:vAlign w:val="bottom"/>
            <w:shd w:val="clear" w:color="auto" w:fill="007CBA"/>
          </w:tcPr>
          <w:p>
            <w:pPr>
              <w:spacing w:after="0"/>
              <w:rPr>
                <w:sz w:val="16"/>
                <w:szCs w:val="16"/>
                <w:color w:val="auto"/>
              </w:rPr>
            </w:pPr>
          </w:p>
        </w:tc>
        <w:tc>
          <w:tcPr>
            <w:tcW w:w="920" w:type="dxa"/>
            <w:vAlign w:val="bottom"/>
            <w:tcBorders>
              <w:right w:val="single" w:sz="8" w:color="007CBA"/>
            </w:tcBorders>
            <w:shd w:val="clear" w:color="auto" w:fill="007CBA"/>
          </w:tcPr>
          <w:p>
            <w:pPr>
              <w:jc w:val="center"/>
              <w:ind w:right="219"/>
              <w:spacing w:after="0" w:line="184" w:lineRule="exact"/>
              <w:rPr>
                <w:sz w:val="20"/>
                <w:szCs w:val="20"/>
                <w:color w:val="auto"/>
              </w:rPr>
            </w:pPr>
            <w:r>
              <w:rPr>
                <w:rFonts w:ascii="Calibri" w:cs="Calibri" w:eastAsia="Calibri" w:hAnsi="Calibri"/>
                <w:sz w:val="16"/>
                <w:szCs w:val="16"/>
                <w:b w:val="1"/>
                <w:bCs w:val="1"/>
                <w:color w:val="FFFFFF"/>
              </w:rPr>
              <w:t>Total</w:t>
            </w:r>
          </w:p>
        </w:tc>
        <w:tc>
          <w:tcPr>
            <w:tcW w:w="420" w:type="dxa"/>
            <w:vAlign w:val="bottom"/>
            <w:shd w:val="clear" w:color="auto" w:fill="007CBA"/>
          </w:tcPr>
          <w:p>
            <w:pPr>
              <w:spacing w:after="0"/>
              <w:rPr>
                <w:sz w:val="16"/>
                <w:szCs w:val="16"/>
                <w:color w:val="auto"/>
              </w:rPr>
            </w:pPr>
          </w:p>
        </w:tc>
        <w:tc>
          <w:tcPr>
            <w:tcW w:w="68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20" w:type="dxa"/>
            <w:vAlign w:val="bottom"/>
            <w:shd w:val="clear" w:color="auto" w:fill="007CBA"/>
          </w:tcPr>
          <w:p>
            <w:pPr>
              <w:spacing w:after="0"/>
              <w:rPr>
                <w:sz w:val="16"/>
                <w:szCs w:val="16"/>
                <w:color w:val="auto"/>
              </w:rPr>
            </w:pPr>
          </w:p>
        </w:tc>
      </w:tr>
      <w:tr>
        <w:trPr>
          <w:trHeight w:val="193"/>
        </w:trPr>
        <w:tc>
          <w:tcPr>
            <w:tcW w:w="4260" w:type="dxa"/>
            <w:vAlign w:val="bottom"/>
            <w:tcBorders>
              <w:right w:val="single" w:sz="8" w:color="007CBA"/>
            </w:tcBorders>
            <w:shd w:val="clear" w:color="auto" w:fill="007CBA"/>
          </w:tcPr>
          <w:p>
            <w:pPr>
              <w:ind w:left="120"/>
              <w:spacing w:after="0" w:line="193" w:lineRule="exact"/>
              <w:rPr>
                <w:sz w:val="20"/>
                <w:szCs w:val="20"/>
                <w:color w:val="auto"/>
              </w:rPr>
            </w:pPr>
            <w:r>
              <w:rPr>
                <w:rFonts w:ascii="Calibri" w:cs="Calibri" w:eastAsia="Calibri" w:hAnsi="Calibri"/>
                <w:sz w:val="16"/>
                <w:szCs w:val="16"/>
                <w:i w:val="1"/>
                <w:iCs w:val="1"/>
                <w:color w:val="FFFFFF"/>
              </w:rPr>
              <w:t>year ended December 31, 2023</w:t>
            </w:r>
          </w:p>
        </w:tc>
        <w:tc>
          <w:tcPr>
            <w:tcW w:w="240" w:type="dxa"/>
            <w:vAlign w:val="bottom"/>
            <w:tcBorders>
              <w:right w:val="single" w:sz="8" w:color="007CBA"/>
            </w:tcBorders>
            <w:shd w:val="clear" w:color="auto" w:fill="007CBA"/>
          </w:tcPr>
          <w:p>
            <w:pPr>
              <w:spacing w:after="0"/>
              <w:rPr>
                <w:sz w:val="16"/>
                <w:szCs w:val="16"/>
                <w:color w:val="auto"/>
              </w:rPr>
            </w:pPr>
          </w:p>
        </w:tc>
        <w:tc>
          <w:tcPr>
            <w:tcW w:w="340" w:type="dxa"/>
            <w:vAlign w:val="bottom"/>
            <w:shd w:val="clear" w:color="auto" w:fill="007CBA"/>
          </w:tcPr>
          <w:p>
            <w:pPr>
              <w:spacing w:after="0"/>
              <w:rPr>
                <w:sz w:val="16"/>
                <w:szCs w:val="16"/>
                <w:color w:val="auto"/>
              </w:rPr>
            </w:pPr>
          </w:p>
        </w:tc>
        <w:tc>
          <w:tcPr>
            <w:tcW w:w="620" w:type="dxa"/>
            <w:vAlign w:val="bottom"/>
            <w:tcBorders>
              <w:right w:val="single" w:sz="8" w:color="007CBA"/>
            </w:tcBorders>
            <w:shd w:val="clear" w:color="auto" w:fill="007CBA"/>
          </w:tcPr>
          <w:p>
            <w:pPr>
              <w:spacing w:after="0"/>
              <w:rPr>
                <w:sz w:val="16"/>
                <w:szCs w:val="16"/>
                <w:color w:val="auto"/>
              </w:rPr>
            </w:pPr>
          </w:p>
        </w:tc>
        <w:tc>
          <w:tcPr>
            <w:tcW w:w="80" w:type="dxa"/>
            <w:vAlign w:val="bottom"/>
            <w:shd w:val="clear" w:color="auto" w:fill="007CBA"/>
          </w:tcPr>
          <w:p>
            <w:pPr>
              <w:spacing w:after="0"/>
              <w:rPr>
                <w:sz w:val="16"/>
                <w:szCs w:val="16"/>
                <w:color w:val="auto"/>
              </w:rPr>
            </w:pPr>
          </w:p>
        </w:tc>
        <w:tc>
          <w:tcPr>
            <w:tcW w:w="120" w:type="dxa"/>
            <w:vAlign w:val="bottom"/>
            <w:tcBorders>
              <w:right w:val="single" w:sz="8" w:color="007CBA"/>
            </w:tcBorders>
            <w:shd w:val="clear" w:color="auto" w:fill="007CBA"/>
          </w:tcPr>
          <w:p>
            <w:pPr>
              <w:spacing w:after="0"/>
              <w:rPr>
                <w:sz w:val="16"/>
                <w:szCs w:val="16"/>
                <w:color w:val="auto"/>
              </w:rPr>
            </w:pPr>
          </w:p>
        </w:tc>
        <w:tc>
          <w:tcPr>
            <w:tcW w:w="80" w:type="dxa"/>
            <w:vAlign w:val="bottom"/>
            <w:shd w:val="clear" w:color="auto" w:fill="007CBA"/>
          </w:tcPr>
          <w:p>
            <w:pPr>
              <w:spacing w:after="0"/>
              <w:rPr>
                <w:sz w:val="16"/>
                <w:szCs w:val="16"/>
                <w:color w:val="auto"/>
              </w:rPr>
            </w:pPr>
          </w:p>
        </w:tc>
        <w:tc>
          <w:tcPr>
            <w:tcW w:w="220" w:type="dxa"/>
            <w:vAlign w:val="bottom"/>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160" w:type="dxa"/>
            <w:vAlign w:val="bottom"/>
            <w:tcBorders>
              <w:right w:val="single" w:sz="8" w:color="007CBA"/>
            </w:tcBorders>
            <w:shd w:val="clear" w:color="auto" w:fill="007CBA"/>
          </w:tcPr>
          <w:p>
            <w:pPr>
              <w:spacing w:after="0"/>
              <w:rPr>
                <w:sz w:val="16"/>
                <w:szCs w:val="16"/>
                <w:color w:val="auto"/>
              </w:rPr>
            </w:pPr>
          </w:p>
        </w:tc>
        <w:tc>
          <w:tcPr>
            <w:tcW w:w="40" w:type="dxa"/>
            <w:vAlign w:val="bottom"/>
            <w:shd w:val="clear" w:color="auto" w:fill="007CBA"/>
          </w:tcPr>
          <w:p>
            <w:pPr>
              <w:spacing w:after="0"/>
              <w:rPr>
                <w:sz w:val="16"/>
                <w:szCs w:val="16"/>
                <w:color w:val="auto"/>
              </w:rPr>
            </w:pPr>
          </w:p>
        </w:tc>
        <w:tc>
          <w:tcPr>
            <w:tcW w:w="940" w:type="dxa"/>
            <w:vAlign w:val="bottom"/>
            <w:tcBorders>
              <w:right w:val="single" w:sz="8" w:color="007CBA"/>
            </w:tcBorders>
            <w:gridSpan w:val="2"/>
            <w:shd w:val="clear" w:color="auto" w:fill="007CBA"/>
          </w:tcPr>
          <w:p>
            <w:pPr>
              <w:jc w:val="right"/>
              <w:ind w:right="39"/>
              <w:spacing w:after="0" w:line="193" w:lineRule="exact"/>
              <w:rPr>
                <w:sz w:val="20"/>
                <w:szCs w:val="20"/>
                <w:color w:val="auto"/>
              </w:rPr>
            </w:pPr>
            <w:r>
              <w:rPr>
                <w:rFonts w:ascii="Calibri" w:cs="Calibri" w:eastAsia="Calibri" w:hAnsi="Calibri"/>
                <w:sz w:val="16"/>
                <w:szCs w:val="16"/>
                <w:b w:val="1"/>
                <w:bCs w:val="1"/>
                <w:color w:val="FFFFFF"/>
              </w:rPr>
              <w:t>Magnesia</w:t>
            </w:r>
          </w:p>
        </w:tc>
        <w:tc>
          <w:tcPr>
            <w:tcW w:w="120" w:type="dxa"/>
            <w:vAlign w:val="bottom"/>
            <w:tcBorders>
              <w:right w:val="single" w:sz="8" w:color="007CBA"/>
            </w:tcBorders>
            <w:shd w:val="clear" w:color="auto" w:fill="007CBA"/>
          </w:tcPr>
          <w:p>
            <w:pPr>
              <w:spacing w:after="0"/>
              <w:rPr>
                <w:sz w:val="16"/>
                <w:szCs w:val="16"/>
                <w:color w:val="auto"/>
              </w:rPr>
            </w:pPr>
          </w:p>
        </w:tc>
        <w:tc>
          <w:tcPr>
            <w:tcW w:w="1160" w:type="dxa"/>
            <w:vAlign w:val="bottom"/>
            <w:tcBorders>
              <w:right w:val="single" w:sz="8" w:color="007CBA"/>
            </w:tcBorders>
            <w:gridSpan w:val="2"/>
            <w:shd w:val="clear" w:color="auto" w:fill="007CBA"/>
          </w:tcPr>
          <w:p>
            <w:pPr>
              <w:jc w:val="center"/>
              <w:spacing w:after="0" w:line="193" w:lineRule="exact"/>
              <w:rPr>
                <w:sz w:val="20"/>
                <w:szCs w:val="20"/>
                <w:color w:val="auto"/>
              </w:rPr>
            </w:pPr>
            <w:r>
              <w:rPr>
                <w:rFonts w:ascii="Calibri" w:cs="Calibri" w:eastAsia="Calibri" w:hAnsi="Calibri"/>
                <w:sz w:val="16"/>
                <w:szCs w:val="16"/>
                <w:b w:val="1"/>
                <w:bCs w:val="1"/>
                <w:color w:val="FFFFFF"/>
                <w:w w:val="99"/>
              </w:rPr>
              <w:t>Reportable</w:t>
            </w:r>
          </w:p>
        </w:tc>
        <w:tc>
          <w:tcPr>
            <w:tcW w:w="420" w:type="dxa"/>
            <w:vAlign w:val="bottom"/>
            <w:shd w:val="clear" w:color="auto" w:fill="007CBA"/>
          </w:tcPr>
          <w:p>
            <w:pPr>
              <w:spacing w:after="0"/>
              <w:rPr>
                <w:sz w:val="16"/>
                <w:szCs w:val="16"/>
                <w:color w:val="auto"/>
              </w:rPr>
            </w:pPr>
          </w:p>
        </w:tc>
        <w:tc>
          <w:tcPr>
            <w:tcW w:w="68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820" w:type="dxa"/>
            <w:vAlign w:val="bottom"/>
            <w:shd w:val="clear" w:color="auto" w:fill="007CBA"/>
          </w:tcPr>
          <w:p>
            <w:pPr>
              <w:spacing w:after="0"/>
              <w:rPr>
                <w:sz w:val="16"/>
                <w:szCs w:val="16"/>
                <w:color w:val="auto"/>
              </w:rPr>
            </w:pPr>
          </w:p>
        </w:tc>
      </w:tr>
      <w:tr>
        <w:trPr>
          <w:trHeight w:val="210"/>
        </w:trPr>
        <w:tc>
          <w:tcPr>
            <w:tcW w:w="42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6"/>
                <w:szCs w:val="16"/>
                <w:color w:val="FFFFFF"/>
              </w:rPr>
              <w:t>(in millions)</w:t>
            </w:r>
          </w:p>
        </w:tc>
        <w:tc>
          <w:tcPr>
            <w:tcW w:w="240" w:type="dxa"/>
            <w:vAlign w:val="bottom"/>
            <w:tcBorders>
              <w:bottom w:val="single" w:sz="8" w:color="007CBA"/>
              <w:right w:val="single" w:sz="8" w:color="007CBA"/>
            </w:tcBorders>
            <w:shd w:val="clear" w:color="auto" w:fill="007CBA"/>
          </w:tcPr>
          <w:p>
            <w:pPr>
              <w:spacing w:after="0"/>
              <w:rPr>
                <w:sz w:val="18"/>
                <w:szCs w:val="18"/>
                <w:color w:val="auto"/>
              </w:rPr>
            </w:pPr>
          </w:p>
        </w:tc>
        <w:tc>
          <w:tcPr>
            <w:tcW w:w="1040" w:type="dxa"/>
            <w:vAlign w:val="bottom"/>
            <w:tcBorders>
              <w:bottom w:val="single" w:sz="8" w:color="007CBA"/>
            </w:tcBorders>
            <w:gridSpan w:val="3"/>
            <w:shd w:val="clear" w:color="auto" w:fill="007CBA"/>
          </w:tcPr>
          <w:p>
            <w:pPr>
              <w:jc w:val="right"/>
              <w:ind w:right="100"/>
              <w:spacing w:after="0"/>
              <w:rPr>
                <w:sz w:val="20"/>
                <w:szCs w:val="20"/>
                <w:color w:val="auto"/>
              </w:rPr>
            </w:pPr>
            <w:r>
              <w:rPr>
                <w:rFonts w:ascii="Calibri" w:cs="Calibri" w:eastAsia="Calibri" w:hAnsi="Calibri"/>
                <w:sz w:val="16"/>
                <w:szCs w:val="16"/>
                <w:b w:val="1"/>
                <w:bCs w:val="1"/>
                <w:color w:val="FFFFFF"/>
              </w:rPr>
              <w:t>East Group</w:t>
            </w:r>
          </w:p>
        </w:tc>
        <w:tc>
          <w:tcPr>
            <w:tcW w:w="120" w:type="dxa"/>
            <w:vAlign w:val="bottom"/>
            <w:tcBorders>
              <w:bottom w:val="single" w:sz="8" w:color="007CBA"/>
              <w:right w:val="single" w:sz="8" w:color="007CBA"/>
            </w:tcBorders>
            <w:shd w:val="clear" w:color="auto" w:fill="007CBA"/>
          </w:tcPr>
          <w:p>
            <w:pPr>
              <w:spacing w:after="0"/>
              <w:rPr>
                <w:sz w:val="18"/>
                <w:szCs w:val="18"/>
                <w:color w:val="auto"/>
              </w:rPr>
            </w:pPr>
          </w:p>
        </w:tc>
        <w:tc>
          <w:tcPr>
            <w:tcW w:w="80" w:type="dxa"/>
            <w:vAlign w:val="bottom"/>
            <w:tcBorders>
              <w:bottom w:val="single" w:sz="8" w:color="007CBA"/>
            </w:tcBorders>
            <w:shd w:val="clear" w:color="auto" w:fill="007CBA"/>
          </w:tcPr>
          <w:p>
            <w:pPr>
              <w:spacing w:after="0"/>
              <w:rPr>
                <w:sz w:val="18"/>
                <w:szCs w:val="18"/>
                <w:color w:val="auto"/>
              </w:rPr>
            </w:pPr>
          </w:p>
        </w:tc>
        <w:tc>
          <w:tcPr>
            <w:tcW w:w="1040" w:type="dxa"/>
            <w:vAlign w:val="bottom"/>
            <w:tcBorders>
              <w:bottom w:val="single" w:sz="8" w:color="007CBA"/>
              <w:right w:val="single" w:sz="8" w:color="007CBA"/>
            </w:tcBorders>
            <w:gridSpan w:val="3"/>
            <w:shd w:val="clear" w:color="auto" w:fill="007CBA"/>
          </w:tcPr>
          <w:p>
            <w:pPr>
              <w:ind w:left="80"/>
              <w:spacing w:after="0"/>
              <w:rPr>
                <w:sz w:val="20"/>
                <w:szCs w:val="20"/>
                <w:color w:val="auto"/>
              </w:rPr>
            </w:pPr>
            <w:r>
              <w:rPr>
                <w:rFonts w:ascii="Calibri" w:cs="Calibri" w:eastAsia="Calibri" w:hAnsi="Calibri"/>
                <w:sz w:val="16"/>
                <w:szCs w:val="16"/>
                <w:b w:val="1"/>
                <w:bCs w:val="1"/>
                <w:color w:val="FFFFFF"/>
              </w:rPr>
              <w:t>West Group</w:t>
            </w:r>
          </w:p>
        </w:tc>
        <w:tc>
          <w:tcPr>
            <w:tcW w:w="40" w:type="dxa"/>
            <w:vAlign w:val="bottom"/>
            <w:tcBorders>
              <w:bottom w:val="single" w:sz="8" w:color="007CBA"/>
            </w:tcBorders>
            <w:shd w:val="clear" w:color="auto" w:fill="007CBA"/>
          </w:tcPr>
          <w:p>
            <w:pPr>
              <w:spacing w:after="0"/>
              <w:rPr>
                <w:sz w:val="18"/>
                <w:szCs w:val="18"/>
                <w:color w:val="auto"/>
              </w:rPr>
            </w:pPr>
          </w:p>
        </w:tc>
        <w:tc>
          <w:tcPr>
            <w:tcW w:w="940" w:type="dxa"/>
            <w:vAlign w:val="bottom"/>
            <w:tcBorders>
              <w:bottom w:val="single" w:sz="8" w:color="007CBA"/>
              <w:right w:val="single" w:sz="8" w:color="007CBA"/>
            </w:tcBorders>
            <w:gridSpan w:val="2"/>
            <w:shd w:val="clear" w:color="auto" w:fill="007CBA"/>
          </w:tcPr>
          <w:p>
            <w:pPr>
              <w:jc w:val="right"/>
              <w:spacing w:after="0"/>
              <w:rPr>
                <w:sz w:val="20"/>
                <w:szCs w:val="20"/>
                <w:color w:val="auto"/>
              </w:rPr>
            </w:pPr>
            <w:r>
              <w:rPr>
                <w:rFonts w:ascii="Calibri" w:cs="Calibri" w:eastAsia="Calibri" w:hAnsi="Calibri"/>
                <w:sz w:val="16"/>
                <w:szCs w:val="16"/>
                <w:b w:val="1"/>
                <w:bCs w:val="1"/>
                <w:color w:val="FFFFFF"/>
              </w:rPr>
              <w:t>Specialtes</w:t>
            </w:r>
          </w:p>
        </w:tc>
        <w:tc>
          <w:tcPr>
            <w:tcW w:w="120" w:type="dxa"/>
            <w:vAlign w:val="bottom"/>
            <w:tcBorders>
              <w:bottom w:val="single" w:sz="8" w:color="007CBA"/>
              <w:right w:val="single" w:sz="8" w:color="007CBA"/>
            </w:tcBorders>
            <w:shd w:val="clear" w:color="auto" w:fill="007CBA"/>
          </w:tcPr>
          <w:p>
            <w:pPr>
              <w:spacing w:after="0"/>
              <w:rPr>
                <w:sz w:val="18"/>
                <w:szCs w:val="18"/>
                <w:color w:val="auto"/>
              </w:rPr>
            </w:pPr>
          </w:p>
        </w:tc>
        <w:tc>
          <w:tcPr>
            <w:tcW w:w="240" w:type="dxa"/>
            <w:vAlign w:val="bottom"/>
            <w:tcBorders>
              <w:bottom w:val="single" w:sz="8" w:color="007CBA"/>
            </w:tcBorders>
            <w:shd w:val="clear" w:color="auto" w:fill="007CBA"/>
          </w:tcPr>
          <w:p>
            <w:pPr>
              <w:spacing w:after="0"/>
              <w:rPr>
                <w:sz w:val="18"/>
                <w:szCs w:val="18"/>
                <w:color w:val="auto"/>
              </w:rPr>
            </w:pPr>
          </w:p>
        </w:tc>
        <w:tc>
          <w:tcPr>
            <w:tcW w:w="920" w:type="dxa"/>
            <w:vAlign w:val="bottom"/>
            <w:tcBorders>
              <w:bottom w:val="single" w:sz="8" w:color="007CBA"/>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Segments</w:t>
            </w:r>
          </w:p>
        </w:tc>
        <w:tc>
          <w:tcPr>
            <w:tcW w:w="1100" w:type="dxa"/>
            <w:vAlign w:val="bottom"/>
            <w:tcBorders>
              <w:bottom w:val="single" w:sz="8" w:color="007CBA"/>
              <w:right w:val="single" w:sz="8" w:color="007CBA"/>
            </w:tcBorders>
            <w:gridSpan w:val="2"/>
            <w:shd w:val="clear" w:color="auto" w:fill="007CBA"/>
          </w:tcPr>
          <w:p>
            <w:pPr>
              <w:jc w:val="right"/>
              <w:ind w:right="139"/>
              <w:spacing w:after="0"/>
              <w:rPr>
                <w:sz w:val="20"/>
                <w:szCs w:val="20"/>
                <w:color w:val="auto"/>
              </w:rPr>
            </w:pPr>
            <w:r>
              <w:rPr>
                <w:rFonts w:ascii="Calibri" w:cs="Calibri" w:eastAsia="Calibri" w:hAnsi="Calibri"/>
                <w:sz w:val="16"/>
                <w:szCs w:val="16"/>
                <w:b w:val="1"/>
                <w:bCs w:val="1"/>
                <w:color w:val="FFFFFF"/>
              </w:rPr>
              <w:t>Corporate</w:t>
            </w:r>
          </w:p>
        </w:tc>
        <w:tc>
          <w:tcPr>
            <w:tcW w:w="280" w:type="dxa"/>
            <w:vAlign w:val="bottom"/>
            <w:tcBorders>
              <w:bottom w:val="single" w:sz="8" w:color="007CBA"/>
            </w:tcBorders>
            <w:shd w:val="clear" w:color="auto" w:fill="007CBA"/>
          </w:tcPr>
          <w:p>
            <w:pPr>
              <w:spacing w:after="0"/>
              <w:rPr>
                <w:sz w:val="18"/>
                <w:szCs w:val="18"/>
                <w:color w:val="auto"/>
              </w:rPr>
            </w:pPr>
          </w:p>
        </w:tc>
        <w:tc>
          <w:tcPr>
            <w:tcW w:w="820" w:type="dxa"/>
            <w:vAlign w:val="bottom"/>
            <w:tcBorders>
              <w:bottom w:val="single" w:sz="8" w:color="007CBA"/>
            </w:tcBorders>
            <w:shd w:val="clear" w:color="auto" w:fill="007CBA"/>
          </w:tcPr>
          <w:p>
            <w:pPr>
              <w:jc w:val="right"/>
              <w:ind w:right="299"/>
              <w:spacing w:after="0"/>
              <w:rPr>
                <w:sz w:val="20"/>
                <w:szCs w:val="20"/>
                <w:color w:val="auto"/>
              </w:rPr>
            </w:pPr>
            <w:r>
              <w:rPr>
                <w:rFonts w:ascii="Calibri" w:cs="Calibri" w:eastAsia="Calibri" w:hAnsi="Calibri"/>
                <w:sz w:val="16"/>
                <w:szCs w:val="16"/>
                <w:b w:val="1"/>
                <w:bCs w:val="1"/>
                <w:color w:val="FFFFFF"/>
              </w:rPr>
              <w:t>Total</w:t>
            </w:r>
          </w:p>
        </w:tc>
      </w:tr>
      <w:tr>
        <w:trPr>
          <w:trHeight w:val="198"/>
        </w:trPr>
        <w:tc>
          <w:tcPr>
            <w:tcW w:w="4260" w:type="dxa"/>
            <w:vAlign w:val="bottom"/>
          </w:tcPr>
          <w:p>
            <w:pPr>
              <w:ind w:left="120"/>
              <w:spacing w:after="0" w:line="193" w:lineRule="exact"/>
              <w:rPr>
                <w:sz w:val="20"/>
                <w:szCs w:val="20"/>
                <w:color w:val="auto"/>
              </w:rPr>
            </w:pPr>
            <w:r>
              <w:rPr>
                <w:rFonts w:ascii="Calibri" w:cs="Calibri" w:eastAsia="Calibri" w:hAnsi="Calibri"/>
                <w:sz w:val="16"/>
                <w:szCs w:val="16"/>
                <w:color w:val="auto"/>
              </w:rPr>
              <w:t>Segment Revenues</w:t>
            </w:r>
          </w:p>
        </w:tc>
        <w:tc>
          <w:tcPr>
            <w:tcW w:w="240" w:type="dxa"/>
            <w:vAlign w:val="bottom"/>
            <w:tcBorders>
              <w:right w:val="single" w:sz="8" w:color="007CBA"/>
            </w:tcBorders>
          </w:tcPr>
          <w:p>
            <w:pPr>
              <w:spacing w:after="0"/>
              <w:rPr>
                <w:sz w:val="17"/>
                <w:szCs w:val="17"/>
                <w:color w:val="auto"/>
              </w:rPr>
            </w:pPr>
          </w:p>
        </w:tc>
        <w:tc>
          <w:tcPr>
            <w:tcW w:w="3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70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2,763</w:t>
            </w:r>
          </w:p>
        </w:tc>
        <w:tc>
          <w:tcPr>
            <w:tcW w:w="120" w:type="dxa"/>
            <w:vAlign w:val="bottom"/>
            <w:tcBorders>
              <w:right w:val="single" w:sz="8" w:color="007CBA"/>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ind w:left="60"/>
              <w:spacing w:after="0" w:line="193" w:lineRule="exact"/>
              <w:rPr>
                <w:sz w:val="20"/>
                <w:szCs w:val="20"/>
                <w:color w:val="auto"/>
              </w:rPr>
            </w:pPr>
            <w:r>
              <w:rPr>
                <w:rFonts w:ascii="Calibri" w:cs="Calibri" w:eastAsia="Calibri" w:hAnsi="Calibri"/>
                <w:sz w:val="16"/>
                <w:szCs w:val="16"/>
                <w:color w:val="auto"/>
              </w:rPr>
              <w:t>$</w:t>
            </w:r>
          </w:p>
        </w:tc>
        <w:tc>
          <w:tcPr>
            <w:tcW w:w="820" w:type="dxa"/>
            <w:vAlign w:val="bottom"/>
            <w:tcBorders>
              <w:right w:val="single" w:sz="8" w:color="007CBA"/>
            </w:tcBorders>
            <w:gridSpan w:val="2"/>
          </w:tcPr>
          <w:p>
            <w:pPr>
              <w:jc w:val="right"/>
              <w:ind w:right="140"/>
              <w:spacing w:after="0" w:line="193" w:lineRule="exact"/>
              <w:rPr>
                <w:sz w:val="20"/>
                <w:szCs w:val="20"/>
                <w:color w:val="auto"/>
              </w:rPr>
            </w:pPr>
            <w:r>
              <w:rPr>
                <w:rFonts w:ascii="Calibri" w:cs="Calibri" w:eastAsia="Calibri" w:hAnsi="Calibri"/>
                <w:sz w:val="16"/>
                <w:szCs w:val="16"/>
                <w:color w:val="auto"/>
              </w:rPr>
              <w:t>3,699</w:t>
            </w:r>
          </w:p>
        </w:tc>
        <w:tc>
          <w:tcPr>
            <w:tcW w:w="40" w:type="dxa"/>
            <w:vAlign w:val="bottom"/>
          </w:tcPr>
          <w:p>
            <w:pPr>
              <w:spacing w:after="0"/>
              <w:rPr>
                <w:sz w:val="17"/>
                <w:szCs w:val="17"/>
                <w:color w:val="auto"/>
              </w:rPr>
            </w:pPr>
          </w:p>
        </w:tc>
        <w:tc>
          <w:tcPr>
            <w:tcW w:w="36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315</w:t>
            </w:r>
          </w:p>
        </w:tc>
        <w:tc>
          <w:tcPr>
            <w:tcW w:w="120" w:type="dxa"/>
            <w:vAlign w:val="bottom"/>
            <w:tcBorders>
              <w:right w:val="single" w:sz="8" w:color="007CBA"/>
            </w:tcBorders>
          </w:tcPr>
          <w:p>
            <w:pPr>
              <w:spacing w:after="0"/>
              <w:rPr>
                <w:sz w:val="17"/>
                <w:szCs w:val="17"/>
                <w:color w:val="auto"/>
              </w:rPr>
            </w:pPr>
          </w:p>
        </w:tc>
        <w:tc>
          <w:tcPr>
            <w:tcW w:w="240" w:type="dxa"/>
            <w:vAlign w:val="bottom"/>
          </w:tcPr>
          <w:p>
            <w:pPr>
              <w:ind w:left="140"/>
              <w:spacing w:after="0" w:line="193" w:lineRule="exact"/>
              <w:rPr>
                <w:sz w:val="20"/>
                <w:szCs w:val="20"/>
                <w:color w:val="auto"/>
              </w:rPr>
            </w:pPr>
            <w:r>
              <w:rPr>
                <w:rFonts w:ascii="Calibri" w:cs="Calibri" w:eastAsia="Calibri" w:hAnsi="Calibri"/>
                <w:sz w:val="16"/>
                <w:szCs w:val="16"/>
                <w:color w:val="auto"/>
                <w:w w:val="97"/>
              </w:rPr>
              <w:t>$</w:t>
            </w:r>
          </w:p>
        </w:tc>
        <w:tc>
          <w:tcPr>
            <w:tcW w:w="9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6,777</w:t>
            </w:r>
          </w:p>
        </w:tc>
        <w:tc>
          <w:tcPr>
            <w:tcW w:w="42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6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6,777</w:t>
            </w:r>
          </w:p>
        </w:tc>
      </w:tr>
      <w:tr>
        <w:trPr>
          <w:trHeight w:val="207"/>
        </w:trPr>
        <w:tc>
          <w:tcPr>
            <w:tcW w:w="4260" w:type="dxa"/>
            <w:vAlign w:val="bottom"/>
            <w:tcBorders>
              <w:right w:val="single" w:sz="8" w:color="E5F1F8"/>
            </w:tcBorders>
            <w:shd w:val="clear" w:color="auto" w:fill="E5F1F8"/>
          </w:tcPr>
          <w:p>
            <w:pPr>
              <w:ind w:left="120"/>
              <w:spacing w:after="0"/>
              <w:rPr>
                <w:sz w:val="20"/>
                <w:szCs w:val="20"/>
                <w:color w:val="auto"/>
              </w:rPr>
            </w:pPr>
            <w:r>
              <w:rPr>
                <w:rFonts w:ascii="Calibri" w:cs="Calibri" w:eastAsia="Calibri" w:hAnsi="Calibri"/>
                <w:sz w:val="16"/>
                <w:szCs w:val="16"/>
                <w:color w:val="auto"/>
              </w:rPr>
              <w:t>Less:</w:t>
            </w:r>
          </w:p>
        </w:tc>
        <w:tc>
          <w:tcPr>
            <w:tcW w:w="240" w:type="dxa"/>
            <w:vAlign w:val="bottom"/>
            <w:tcBorders>
              <w:right w:val="single" w:sz="8" w:color="007CBA"/>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620" w:type="dxa"/>
            <w:vAlign w:val="bottom"/>
            <w:tcBorders>
              <w:right w:val="single" w:sz="8" w:color="E5F1F8"/>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120" w:type="dxa"/>
            <w:vAlign w:val="bottom"/>
            <w:tcBorders>
              <w:right w:val="single" w:sz="8" w:color="007CBA"/>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660" w:type="dxa"/>
            <w:vAlign w:val="bottom"/>
            <w:tcBorders>
              <w:right w:val="single" w:sz="8" w:color="E5F1F8"/>
            </w:tcBorders>
            <w:shd w:val="clear" w:color="auto" w:fill="E5F1F8"/>
          </w:tcPr>
          <w:p>
            <w:pPr>
              <w:spacing w:after="0"/>
              <w:rPr>
                <w:sz w:val="18"/>
                <w:szCs w:val="18"/>
                <w:color w:val="auto"/>
              </w:rPr>
            </w:pPr>
          </w:p>
        </w:tc>
        <w:tc>
          <w:tcPr>
            <w:tcW w:w="160" w:type="dxa"/>
            <w:vAlign w:val="bottom"/>
            <w:tcBorders>
              <w:right w:val="single" w:sz="8" w:color="007CBA"/>
            </w:tcBorders>
            <w:shd w:val="clear" w:color="auto" w:fill="E5F1F8"/>
          </w:tcPr>
          <w:p>
            <w:pPr>
              <w:spacing w:after="0"/>
              <w:rPr>
                <w:sz w:val="18"/>
                <w:szCs w:val="18"/>
                <w:color w:val="auto"/>
              </w:rPr>
            </w:pPr>
          </w:p>
        </w:tc>
        <w:tc>
          <w:tcPr>
            <w:tcW w:w="4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580" w:type="dxa"/>
            <w:vAlign w:val="bottom"/>
            <w:tcBorders>
              <w:right w:val="single" w:sz="8" w:color="E5F1F8"/>
            </w:tcBorders>
            <w:shd w:val="clear" w:color="auto" w:fill="E5F1F8"/>
          </w:tcPr>
          <w:p>
            <w:pPr>
              <w:spacing w:after="0"/>
              <w:rPr>
                <w:sz w:val="18"/>
                <w:szCs w:val="18"/>
                <w:color w:val="auto"/>
              </w:rPr>
            </w:pPr>
          </w:p>
        </w:tc>
        <w:tc>
          <w:tcPr>
            <w:tcW w:w="120" w:type="dxa"/>
            <w:vAlign w:val="bottom"/>
            <w:tcBorders>
              <w:right w:val="single" w:sz="8" w:color="007CBA"/>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spacing w:after="0"/>
              <w:rPr>
                <w:sz w:val="18"/>
                <w:szCs w:val="18"/>
                <w:color w:val="auto"/>
              </w:rPr>
            </w:pPr>
          </w:p>
        </w:tc>
        <w:tc>
          <w:tcPr>
            <w:tcW w:w="420" w:type="dxa"/>
            <w:vAlign w:val="bottom"/>
            <w:shd w:val="clear" w:color="auto" w:fill="E5F1F8"/>
          </w:tcPr>
          <w:p>
            <w:pPr>
              <w:spacing w:after="0"/>
              <w:rPr>
                <w:sz w:val="18"/>
                <w:szCs w:val="18"/>
                <w:color w:val="auto"/>
              </w:rPr>
            </w:pPr>
          </w:p>
        </w:tc>
        <w:tc>
          <w:tcPr>
            <w:tcW w:w="680" w:type="dxa"/>
            <w:vAlign w:val="bottom"/>
            <w:tcBorders>
              <w:right w:val="single" w:sz="8" w:color="007CBA"/>
            </w:tcBorders>
            <w:shd w:val="clear" w:color="auto" w:fill="E5F1F8"/>
          </w:tcPr>
          <w:p>
            <w:pPr>
              <w:spacing w:after="0"/>
              <w:rPr>
                <w:sz w:val="18"/>
                <w:szCs w:val="18"/>
                <w:color w:val="auto"/>
              </w:rPr>
            </w:pP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spacing w:after="0"/>
              <w:rPr>
                <w:sz w:val="18"/>
                <w:szCs w:val="18"/>
                <w:color w:val="auto"/>
              </w:rPr>
            </w:pPr>
          </w:p>
        </w:tc>
      </w:tr>
      <w:tr>
        <w:trPr>
          <w:trHeight w:val="198"/>
        </w:trPr>
        <w:tc>
          <w:tcPr>
            <w:tcW w:w="4260" w:type="dxa"/>
            <w:vAlign w:val="bottom"/>
          </w:tcPr>
          <w:p>
            <w:pPr>
              <w:ind w:left="200"/>
              <w:spacing w:after="0" w:line="193" w:lineRule="exact"/>
              <w:rPr>
                <w:sz w:val="20"/>
                <w:szCs w:val="20"/>
                <w:color w:val="auto"/>
              </w:rPr>
            </w:pPr>
            <w:r>
              <w:rPr>
                <w:rFonts w:ascii="Calibri" w:cs="Calibri" w:eastAsia="Calibri" w:hAnsi="Calibri"/>
                <w:sz w:val="16"/>
                <w:szCs w:val="16"/>
                <w:color w:val="auto"/>
              </w:rPr>
              <w:t>Labor and benefts expense</w:t>
            </w:r>
          </w:p>
        </w:tc>
        <w:tc>
          <w:tcPr>
            <w:tcW w:w="240" w:type="dxa"/>
            <w:vAlign w:val="bottom"/>
            <w:tcBorders>
              <w:right w:val="single" w:sz="8" w:color="007CBA"/>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362</w:t>
            </w:r>
          </w:p>
        </w:tc>
        <w:tc>
          <w:tcPr>
            <w:tcW w:w="120" w:type="dxa"/>
            <w:vAlign w:val="bottom"/>
            <w:tcBorders>
              <w:right w:val="single" w:sz="8" w:color="007CBA"/>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right w:val="single" w:sz="8" w:color="007CBA"/>
            </w:tcBorders>
            <w:gridSpan w:val="2"/>
          </w:tcPr>
          <w:p>
            <w:pPr>
              <w:jc w:val="right"/>
              <w:ind w:right="140"/>
              <w:spacing w:after="0" w:line="193" w:lineRule="exact"/>
              <w:rPr>
                <w:sz w:val="20"/>
                <w:szCs w:val="20"/>
                <w:color w:val="auto"/>
              </w:rPr>
            </w:pPr>
            <w:r>
              <w:rPr>
                <w:rFonts w:ascii="Calibri" w:cs="Calibri" w:eastAsia="Calibri" w:hAnsi="Calibri"/>
                <w:sz w:val="16"/>
                <w:szCs w:val="16"/>
                <w:color w:val="auto"/>
              </w:rPr>
              <w:t>433</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36</w:t>
            </w:r>
          </w:p>
        </w:tc>
        <w:tc>
          <w:tcPr>
            <w:tcW w:w="120" w:type="dxa"/>
            <w:vAlign w:val="bottom"/>
            <w:tcBorders>
              <w:right w:val="single" w:sz="8" w:color="007CBA"/>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831</w:t>
            </w:r>
          </w:p>
        </w:tc>
        <w:tc>
          <w:tcPr>
            <w:tcW w:w="420" w:type="dxa"/>
            <w:vAlign w:val="bottom"/>
          </w:tcPr>
          <w:p>
            <w:pPr>
              <w:spacing w:after="0"/>
              <w:rPr>
                <w:sz w:val="17"/>
                <w:szCs w:val="17"/>
                <w:color w:val="auto"/>
              </w:rPr>
            </w:pPr>
          </w:p>
        </w:tc>
        <w:tc>
          <w:tcPr>
            <w:tcW w:w="680" w:type="dxa"/>
            <w:vAlign w:val="bottom"/>
            <w:tcBorders>
              <w:right w:val="single" w:sz="8" w:color="007CBA"/>
            </w:tcBorders>
          </w:tcPr>
          <w:p>
            <w:pPr>
              <w:jc w:val="right"/>
              <w:spacing w:after="0" w:line="193" w:lineRule="exact"/>
              <w:rPr>
                <w:sz w:val="20"/>
                <w:szCs w:val="20"/>
                <w:color w:val="auto"/>
              </w:rPr>
            </w:pPr>
            <w:r>
              <w:rPr>
                <w:rFonts w:ascii="Calibri" w:cs="Calibri" w:eastAsia="Calibri" w:hAnsi="Calibri"/>
                <w:sz w:val="16"/>
                <w:szCs w:val="16"/>
                <w:color w:val="auto"/>
              </w:rPr>
              <w:t>(7 )</w:t>
            </w:r>
          </w:p>
        </w:tc>
        <w:tc>
          <w:tcPr>
            <w:tcW w:w="280" w:type="dxa"/>
            <w:vAlign w:val="bottom"/>
          </w:tcPr>
          <w:p>
            <w:pPr>
              <w:spacing w:after="0"/>
              <w:rPr>
                <w:sz w:val="17"/>
                <w:szCs w:val="17"/>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824</w:t>
            </w:r>
          </w:p>
        </w:tc>
      </w:tr>
      <w:tr>
        <w:trPr>
          <w:trHeight w:val="207"/>
        </w:trPr>
        <w:tc>
          <w:tcPr>
            <w:tcW w:w="4260" w:type="dxa"/>
            <w:vAlign w:val="bottom"/>
            <w:tcBorders>
              <w:right w:val="single" w:sz="8" w:color="E5F1F8"/>
            </w:tcBorders>
            <w:shd w:val="clear" w:color="auto" w:fill="E5F1F8"/>
          </w:tcPr>
          <w:p>
            <w:pPr>
              <w:ind w:left="200"/>
              <w:spacing w:after="0"/>
              <w:rPr>
                <w:sz w:val="20"/>
                <w:szCs w:val="20"/>
                <w:color w:val="auto"/>
              </w:rPr>
            </w:pPr>
            <w:r>
              <w:rPr>
                <w:rFonts w:ascii="Calibri" w:cs="Calibri" w:eastAsia="Calibri" w:hAnsi="Calibri"/>
                <w:sz w:val="16"/>
                <w:szCs w:val="16"/>
                <w:color w:val="auto"/>
              </w:rPr>
              <w:t>Raw materials expense</w:t>
            </w:r>
          </w:p>
        </w:tc>
        <w:tc>
          <w:tcPr>
            <w:tcW w:w="240" w:type="dxa"/>
            <w:vAlign w:val="bottom"/>
            <w:tcBorders>
              <w:right w:val="single" w:sz="8" w:color="007CBA"/>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700" w:type="dxa"/>
            <w:vAlign w:val="bottom"/>
            <w:gridSpan w:val="2"/>
            <w:shd w:val="clear" w:color="auto" w:fill="E5F1F8"/>
          </w:tcPr>
          <w:p>
            <w:pPr>
              <w:jc w:val="right"/>
              <w:ind w:right="40"/>
              <w:spacing w:after="0"/>
              <w:rPr>
                <w:sz w:val="20"/>
                <w:szCs w:val="20"/>
                <w:color w:val="auto"/>
              </w:rPr>
            </w:pPr>
            <w:r>
              <w:rPr>
                <w:rFonts w:ascii="Calibri" w:cs="Calibri" w:eastAsia="Calibri" w:hAnsi="Calibri"/>
                <w:sz w:val="16"/>
                <w:szCs w:val="16"/>
                <w:color w:val="auto"/>
              </w:rPr>
              <w:t>104</w:t>
            </w:r>
          </w:p>
        </w:tc>
        <w:tc>
          <w:tcPr>
            <w:tcW w:w="120" w:type="dxa"/>
            <w:vAlign w:val="bottom"/>
            <w:tcBorders>
              <w:right w:val="single" w:sz="8" w:color="007CBA"/>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820" w:type="dxa"/>
            <w:vAlign w:val="bottom"/>
            <w:tcBorders>
              <w:right w:val="single" w:sz="8" w:color="007CBA"/>
            </w:tcBorders>
            <w:gridSpan w:val="2"/>
            <w:shd w:val="clear" w:color="auto" w:fill="E5F1F8"/>
          </w:tcPr>
          <w:p>
            <w:pPr>
              <w:jc w:val="right"/>
              <w:ind w:right="140"/>
              <w:spacing w:after="0"/>
              <w:rPr>
                <w:sz w:val="20"/>
                <w:szCs w:val="20"/>
                <w:color w:val="auto"/>
              </w:rPr>
            </w:pPr>
            <w:r>
              <w:rPr>
                <w:rFonts w:ascii="Calibri" w:cs="Calibri" w:eastAsia="Calibri" w:hAnsi="Calibri"/>
                <w:sz w:val="16"/>
                <w:szCs w:val="16"/>
                <w:color w:val="auto"/>
              </w:rPr>
              <w:t>556</w:t>
            </w:r>
          </w:p>
        </w:tc>
        <w:tc>
          <w:tcPr>
            <w:tcW w:w="4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580" w:type="dxa"/>
            <w:vAlign w:val="bottom"/>
            <w:tcBorders>
              <w:right w:val="single" w:sz="8" w:color="E5F1F8"/>
            </w:tcBorders>
            <w:shd w:val="clear" w:color="auto" w:fill="E5F1F8"/>
          </w:tcPr>
          <w:p>
            <w:pPr>
              <w:jc w:val="right"/>
              <w:spacing w:after="0"/>
              <w:rPr>
                <w:sz w:val="20"/>
                <w:szCs w:val="20"/>
                <w:color w:val="auto"/>
              </w:rPr>
            </w:pPr>
            <w:r>
              <w:rPr>
                <w:rFonts w:ascii="Calibri" w:cs="Calibri" w:eastAsia="Calibri" w:hAnsi="Calibri"/>
                <w:sz w:val="16"/>
                <w:szCs w:val="16"/>
                <w:color w:val="auto"/>
              </w:rPr>
              <w:t>22</w:t>
            </w:r>
          </w:p>
        </w:tc>
        <w:tc>
          <w:tcPr>
            <w:tcW w:w="120" w:type="dxa"/>
            <w:vAlign w:val="bottom"/>
            <w:tcBorders>
              <w:right w:val="single" w:sz="8" w:color="007CBA"/>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682</w:t>
            </w:r>
          </w:p>
        </w:tc>
        <w:tc>
          <w:tcPr>
            <w:tcW w:w="420" w:type="dxa"/>
            <w:vAlign w:val="bottom"/>
            <w:shd w:val="clear" w:color="auto" w:fill="E5F1F8"/>
          </w:tcPr>
          <w:p>
            <w:pPr>
              <w:spacing w:after="0"/>
              <w:rPr>
                <w:sz w:val="18"/>
                <w:szCs w:val="18"/>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w:t>
            </w: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682</w:t>
            </w:r>
          </w:p>
        </w:tc>
      </w:tr>
      <w:tr>
        <w:trPr>
          <w:trHeight w:val="198"/>
        </w:trPr>
        <w:tc>
          <w:tcPr>
            <w:tcW w:w="4260" w:type="dxa"/>
            <w:vAlign w:val="bottom"/>
          </w:tcPr>
          <w:p>
            <w:pPr>
              <w:ind w:left="200"/>
              <w:spacing w:after="0" w:line="193" w:lineRule="exact"/>
              <w:rPr>
                <w:sz w:val="20"/>
                <w:szCs w:val="20"/>
                <w:color w:val="auto"/>
              </w:rPr>
            </w:pPr>
            <w:r>
              <w:rPr>
                <w:rFonts w:ascii="Calibri" w:cs="Calibri" w:eastAsia="Calibri" w:hAnsi="Calibri"/>
                <w:sz w:val="16"/>
                <w:szCs w:val="16"/>
                <w:color w:val="auto"/>
              </w:rPr>
              <w:t>Depreciaton, depleton and amortzaton expense</w:t>
            </w:r>
          </w:p>
        </w:tc>
        <w:tc>
          <w:tcPr>
            <w:tcW w:w="240" w:type="dxa"/>
            <w:vAlign w:val="bottom"/>
            <w:tcBorders>
              <w:right w:val="single" w:sz="8" w:color="007CBA"/>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205</w:t>
            </w:r>
          </w:p>
        </w:tc>
        <w:tc>
          <w:tcPr>
            <w:tcW w:w="120" w:type="dxa"/>
            <w:vAlign w:val="bottom"/>
            <w:tcBorders>
              <w:right w:val="single" w:sz="8" w:color="007CBA"/>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right w:val="single" w:sz="8" w:color="007CBA"/>
            </w:tcBorders>
            <w:gridSpan w:val="2"/>
          </w:tcPr>
          <w:p>
            <w:pPr>
              <w:jc w:val="right"/>
              <w:ind w:right="140"/>
              <w:spacing w:after="0" w:line="193" w:lineRule="exact"/>
              <w:rPr>
                <w:sz w:val="20"/>
                <w:szCs w:val="20"/>
                <w:color w:val="auto"/>
              </w:rPr>
            </w:pPr>
            <w:r>
              <w:rPr>
                <w:rFonts w:ascii="Calibri" w:cs="Calibri" w:eastAsia="Calibri" w:hAnsi="Calibri"/>
                <w:sz w:val="16"/>
                <w:szCs w:val="16"/>
                <w:color w:val="auto"/>
              </w:rPr>
              <w:t>261</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13</w:t>
            </w:r>
          </w:p>
        </w:tc>
        <w:tc>
          <w:tcPr>
            <w:tcW w:w="120" w:type="dxa"/>
            <w:vAlign w:val="bottom"/>
            <w:tcBorders>
              <w:right w:val="single" w:sz="8" w:color="007CBA"/>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479</w:t>
            </w:r>
          </w:p>
        </w:tc>
        <w:tc>
          <w:tcPr>
            <w:tcW w:w="420" w:type="dxa"/>
            <w:vAlign w:val="bottom"/>
          </w:tcPr>
          <w:p>
            <w:pPr>
              <w:spacing w:after="0"/>
              <w:rPr>
                <w:sz w:val="17"/>
                <w:szCs w:val="17"/>
                <w:color w:val="auto"/>
              </w:rPr>
            </w:pPr>
          </w:p>
        </w:tc>
        <w:tc>
          <w:tcPr>
            <w:tcW w:w="6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w:t>
            </w:r>
          </w:p>
        </w:tc>
        <w:tc>
          <w:tcPr>
            <w:tcW w:w="280" w:type="dxa"/>
            <w:vAlign w:val="bottom"/>
          </w:tcPr>
          <w:p>
            <w:pPr>
              <w:spacing w:after="0"/>
              <w:rPr>
                <w:sz w:val="17"/>
                <w:szCs w:val="17"/>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482</w:t>
            </w:r>
          </w:p>
        </w:tc>
      </w:tr>
      <w:tr>
        <w:trPr>
          <w:trHeight w:val="207"/>
        </w:trPr>
        <w:tc>
          <w:tcPr>
            <w:tcW w:w="4260" w:type="dxa"/>
            <w:vAlign w:val="bottom"/>
            <w:tcBorders>
              <w:right w:val="single" w:sz="8" w:color="E5F1F8"/>
            </w:tcBorders>
            <w:shd w:val="clear" w:color="auto" w:fill="E5F1F8"/>
          </w:tcPr>
          <w:p>
            <w:pPr>
              <w:ind w:left="200"/>
              <w:spacing w:after="0"/>
              <w:rPr>
                <w:sz w:val="20"/>
                <w:szCs w:val="20"/>
                <w:color w:val="auto"/>
              </w:rPr>
            </w:pPr>
            <w:r>
              <w:rPr>
                <w:rFonts w:ascii="Calibri" w:cs="Calibri" w:eastAsia="Calibri" w:hAnsi="Calibri"/>
                <w:sz w:val="16"/>
                <w:szCs w:val="16"/>
                <w:color w:val="auto"/>
              </w:rPr>
              <w:t>Energy expense</w:t>
            </w:r>
          </w:p>
        </w:tc>
        <w:tc>
          <w:tcPr>
            <w:tcW w:w="240" w:type="dxa"/>
            <w:vAlign w:val="bottom"/>
            <w:tcBorders>
              <w:right w:val="single" w:sz="8" w:color="007CBA"/>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700" w:type="dxa"/>
            <w:vAlign w:val="bottom"/>
            <w:gridSpan w:val="2"/>
            <w:shd w:val="clear" w:color="auto" w:fill="E5F1F8"/>
          </w:tcPr>
          <w:p>
            <w:pPr>
              <w:jc w:val="right"/>
              <w:ind w:right="40"/>
              <w:spacing w:after="0"/>
              <w:rPr>
                <w:sz w:val="20"/>
                <w:szCs w:val="20"/>
                <w:color w:val="auto"/>
              </w:rPr>
            </w:pPr>
            <w:r>
              <w:rPr>
                <w:rFonts w:ascii="Calibri" w:cs="Calibri" w:eastAsia="Calibri" w:hAnsi="Calibri"/>
                <w:sz w:val="16"/>
                <w:szCs w:val="16"/>
                <w:color w:val="auto"/>
              </w:rPr>
              <w:t>152</w:t>
            </w:r>
          </w:p>
        </w:tc>
        <w:tc>
          <w:tcPr>
            <w:tcW w:w="120" w:type="dxa"/>
            <w:vAlign w:val="bottom"/>
            <w:tcBorders>
              <w:right w:val="single" w:sz="8" w:color="007CBA"/>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820" w:type="dxa"/>
            <w:vAlign w:val="bottom"/>
            <w:tcBorders>
              <w:right w:val="single" w:sz="8" w:color="007CBA"/>
            </w:tcBorders>
            <w:gridSpan w:val="2"/>
            <w:shd w:val="clear" w:color="auto" w:fill="E5F1F8"/>
          </w:tcPr>
          <w:p>
            <w:pPr>
              <w:jc w:val="right"/>
              <w:ind w:right="140"/>
              <w:spacing w:after="0"/>
              <w:rPr>
                <w:sz w:val="20"/>
                <w:szCs w:val="20"/>
                <w:color w:val="auto"/>
              </w:rPr>
            </w:pPr>
            <w:r>
              <w:rPr>
                <w:rFonts w:ascii="Calibri" w:cs="Calibri" w:eastAsia="Calibri" w:hAnsi="Calibri"/>
                <w:sz w:val="16"/>
                <w:szCs w:val="16"/>
                <w:color w:val="auto"/>
              </w:rPr>
              <w:t>216</w:t>
            </w:r>
          </w:p>
        </w:tc>
        <w:tc>
          <w:tcPr>
            <w:tcW w:w="4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580" w:type="dxa"/>
            <w:vAlign w:val="bottom"/>
            <w:tcBorders>
              <w:right w:val="single" w:sz="8" w:color="E5F1F8"/>
            </w:tcBorders>
            <w:shd w:val="clear" w:color="auto" w:fill="E5F1F8"/>
          </w:tcPr>
          <w:p>
            <w:pPr>
              <w:jc w:val="right"/>
              <w:spacing w:after="0"/>
              <w:rPr>
                <w:sz w:val="20"/>
                <w:szCs w:val="20"/>
                <w:color w:val="auto"/>
              </w:rPr>
            </w:pPr>
            <w:r>
              <w:rPr>
                <w:rFonts w:ascii="Calibri" w:cs="Calibri" w:eastAsia="Calibri" w:hAnsi="Calibri"/>
                <w:sz w:val="16"/>
                <w:szCs w:val="16"/>
                <w:color w:val="auto"/>
              </w:rPr>
              <w:t>37</w:t>
            </w:r>
          </w:p>
        </w:tc>
        <w:tc>
          <w:tcPr>
            <w:tcW w:w="120" w:type="dxa"/>
            <w:vAlign w:val="bottom"/>
            <w:tcBorders>
              <w:right w:val="single" w:sz="8" w:color="007CBA"/>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405</w:t>
            </w:r>
          </w:p>
        </w:tc>
        <w:tc>
          <w:tcPr>
            <w:tcW w:w="420" w:type="dxa"/>
            <w:vAlign w:val="bottom"/>
            <w:shd w:val="clear" w:color="auto" w:fill="E5F1F8"/>
          </w:tcPr>
          <w:p>
            <w:pPr>
              <w:spacing w:after="0"/>
              <w:rPr>
                <w:sz w:val="18"/>
                <w:szCs w:val="18"/>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w:t>
            </w: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405</w:t>
            </w:r>
          </w:p>
        </w:tc>
      </w:tr>
      <w:tr>
        <w:trPr>
          <w:trHeight w:val="198"/>
        </w:trPr>
        <w:tc>
          <w:tcPr>
            <w:tcW w:w="4260" w:type="dxa"/>
            <w:vAlign w:val="bottom"/>
          </w:tcPr>
          <w:p>
            <w:pPr>
              <w:ind w:left="200"/>
              <w:spacing w:after="0" w:line="193" w:lineRule="exact"/>
              <w:rPr>
                <w:sz w:val="20"/>
                <w:szCs w:val="20"/>
                <w:color w:val="auto"/>
              </w:rPr>
            </w:pPr>
            <w:r>
              <w:rPr>
                <w:rFonts w:ascii="Calibri" w:cs="Calibri" w:eastAsia="Calibri" w:hAnsi="Calibri"/>
                <w:sz w:val="16"/>
                <w:szCs w:val="16"/>
                <w:color w:val="auto"/>
              </w:rPr>
              <w:t>External freight expense</w:t>
            </w:r>
          </w:p>
        </w:tc>
        <w:tc>
          <w:tcPr>
            <w:tcW w:w="240" w:type="dxa"/>
            <w:vAlign w:val="bottom"/>
            <w:tcBorders>
              <w:right w:val="single" w:sz="8" w:color="007CBA"/>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113</w:t>
            </w:r>
          </w:p>
        </w:tc>
        <w:tc>
          <w:tcPr>
            <w:tcW w:w="120" w:type="dxa"/>
            <w:vAlign w:val="bottom"/>
            <w:tcBorders>
              <w:right w:val="single" w:sz="8" w:color="007CBA"/>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right w:val="single" w:sz="8" w:color="007CBA"/>
            </w:tcBorders>
            <w:gridSpan w:val="2"/>
          </w:tcPr>
          <w:p>
            <w:pPr>
              <w:jc w:val="right"/>
              <w:ind w:right="140"/>
              <w:spacing w:after="0" w:line="193" w:lineRule="exact"/>
              <w:rPr>
                <w:sz w:val="20"/>
                <w:szCs w:val="20"/>
                <w:color w:val="auto"/>
              </w:rPr>
            </w:pPr>
            <w:r>
              <w:rPr>
                <w:rFonts w:ascii="Calibri" w:cs="Calibri" w:eastAsia="Calibri" w:hAnsi="Calibri"/>
                <w:sz w:val="16"/>
                <w:szCs w:val="16"/>
                <w:color w:val="auto"/>
              </w:rPr>
              <w:t>233</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30</w:t>
            </w:r>
          </w:p>
        </w:tc>
        <w:tc>
          <w:tcPr>
            <w:tcW w:w="120" w:type="dxa"/>
            <w:vAlign w:val="bottom"/>
            <w:tcBorders>
              <w:right w:val="single" w:sz="8" w:color="007CBA"/>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376</w:t>
            </w:r>
          </w:p>
        </w:tc>
        <w:tc>
          <w:tcPr>
            <w:tcW w:w="420" w:type="dxa"/>
            <w:vAlign w:val="bottom"/>
          </w:tcPr>
          <w:p>
            <w:pPr>
              <w:spacing w:after="0"/>
              <w:rPr>
                <w:sz w:val="17"/>
                <w:szCs w:val="17"/>
                <w:color w:val="auto"/>
              </w:rPr>
            </w:pPr>
          </w:p>
        </w:tc>
        <w:tc>
          <w:tcPr>
            <w:tcW w:w="6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17"/>
                <w:szCs w:val="17"/>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376</w:t>
            </w:r>
          </w:p>
        </w:tc>
      </w:tr>
      <w:tr>
        <w:trPr>
          <w:trHeight w:val="207"/>
        </w:trPr>
        <w:tc>
          <w:tcPr>
            <w:tcW w:w="4260" w:type="dxa"/>
            <w:vAlign w:val="bottom"/>
            <w:tcBorders>
              <w:right w:val="single" w:sz="8" w:color="E5F1F8"/>
            </w:tcBorders>
            <w:shd w:val="clear" w:color="auto" w:fill="E5F1F8"/>
          </w:tcPr>
          <w:p>
            <w:pPr>
              <w:ind w:left="200"/>
              <w:spacing w:after="0"/>
              <w:rPr>
                <w:sz w:val="20"/>
                <w:szCs w:val="20"/>
                <w:color w:val="auto"/>
              </w:rPr>
            </w:pPr>
            <w:r>
              <w:rPr>
                <w:rFonts w:ascii="Calibri" w:cs="Calibri" w:eastAsia="Calibri" w:hAnsi="Calibri"/>
                <w:sz w:val="16"/>
                <w:szCs w:val="16"/>
                <w:color w:val="auto"/>
              </w:rPr>
              <w:t>Other costs of revenues</w:t>
            </w:r>
          </w:p>
        </w:tc>
        <w:tc>
          <w:tcPr>
            <w:tcW w:w="240" w:type="dxa"/>
            <w:vAlign w:val="bottom"/>
            <w:tcBorders>
              <w:right w:val="single" w:sz="8" w:color="007CBA"/>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700" w:type="dxa"/>
            <w:vAlign w:val="bottom"/>
            <w:gridSpan w:val="2"/>
            <w:shd w:val="clear" w:color="auto" w:fill="E5F1F8"/>
          </w:tcPr>
          <w:p>
            <w:pPr>
              <w:jc w:val="right"/>
              <w:ind w:right="40"/>
              <w:spacing w:after="0"/>
              <w:rPr>
                <w:sz w:val="20"/>
                <w:szCs w:val="20"/>
                <w:color w:val="auto"/>
              </w:rPr>
            </w:pPr>
            <w:r>
              <w:rPr>
                <w:rFonts w:ascii="Calibri" w:cs="Calibri" w:eastAsia="Calibri" w:hAnsi="Calibri"/>
                <w:sz w:val="16"/>
                <w:szCs w:val="16"/>
                <w:color w:val="auto"/>
              </w:rPr>
              <w:t>854</w:t>
            </w:r>
          </w:p>
        </w:tc>
        <w:tc>
          <w:tcPr>
            <w:tcW w:w="120" w:type="dxa"/>
            <w:vAlign w:val="bottom"/>
            <w:tcBorders>
              <w:right w:val="single" w:sz="8" w:color="007CBA"/>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820" w:type="dxa"/>
            <w:vAlign w:val="bottom"/>
            <w:tcBorders>
              <w:right w:val="single" w:sz="8" w:color="007CBA"/>
            </w:tcBorders>
            <w:gridSpan w:val="2"/>
            <w:shd w:val="clear" w:color="auto" w:fill="E5F1F8"/>
          </w:tcPr>
          <w:p>
            <w:pPr>
              <w:jc w:val="right"/>
              <w:ind w:right="140"/>
              <w:spacing w:after="0"/>
              <w:rPr>
                <w:sz w:val="20"/>
                <w:szCs w:val="20"/>
                <w:color w:val="auto"/>
              </w:rPr>
            </w:pPr>
            <w:r>
              <w:rPr>
                <w:rFonts w:ascii="Calibri" w:cs="Calibri" w:eastAsia="Calibri" w:hAnsi="Calibri"/>
                <w:sz w:val="16"/>
                <w:szCs w:val="16"/>
                <w:color w:val="auto"/>
              </w:rPr>
              <w:t>1,050</w:t>
            </w:r>
          </w:p>
        </w:tc>
        <w:tc>
          <w:tcPr>
            <w:tcW w:w="4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580" w:type="dxa"/>
            <w:vAlign w:val="bottom"/>
            <w:tcBorders>
              <w:right w:val="single" w:sz="8" w:color="E5F1F8"/>
            </w:tcBorders>
            <w:shd w:val="clear" w:color="auto" w:fill="E5F1F8"/>
          </w:tcPr>
          <w:p>
            <w:pPr>
              <w:jc w:val="right"/>
              <w:spacing w:after="0"/>
              <w:rPr>
                <w:sz w:val="20"/>
                <w:szCs w:val="20"/>
                <w:color w:val="auto"/>
              </w:rPr>
            </w:pPr>
            <w:r>
              <w:rPr>
                <w:rFonts w:ascii="Calibri" w:cs="Calibri" w:eastAsia="Calibri" w:hAnsi="Calibri"/>
                <w:sz w:val="16"/>
                <w:szCs w:val="16"/>
                <w:color w:val="auto"/>
              </w:rPr>
              <w:t>80</w:t>
            </w:r>
          </w:p>
        </w:tc>
        <w:tc>
          <w:tcPr>
            <w:tcW w:w="120" w:type="dxa"/>
            <w:vAlign w:val="bottom"/>
            <w:tcBorders>
              <w:right w:val="single" w:sz="8" w:color="007CBA"/>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1,984</w:t>
            </w:r>
          </w:p>
        </w:tc>
        <w:tc>
          <w:tcPr>
            <w:tcW w:w="420" w:type="dxa"/>
            <w:vAlign w:val="bottom"/>
            <w:shd w:val="clear" w:color="auto" w:fill="E5F1F8"/>
          </w:tcPr>
          <w:p>
            <w:pPr>
              <w:spacing w:after="0"/>
              <w:rPr>
                <w:sz w:val="18"/>
                <w:szCs w:val="18"/>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1</w:t>
            </w: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1,985</w:t>
            </w:r>
          </w:p>
        </w:tc>
      </w:tr>
      <w:tr>
        <w:trPr>
          <w:trHeight w:val="198"/>
        </w:trPr>
        <w:tc>
          <w:tcPr>
            <w:tcW w:w="4260" w:type="dxa"/>
            <w:vAlign w:val="bottom"/>
          </w:tcPr>
          <w:p>
            <w:pPr>
              <w:ind w:left="200"/>
              <w:spacing w:after="0" w:line="193" w:lineRule="exact"/>
              <w:rPr>
                <w:sz w:val="20"/>
                <w:szCs w:val="20"/>
                <w:color w:val="auto"/>
              </w:rPr>
            </w:pPr>
            <w:r>
              <w:rPr>
                <w:rFonts w:ascii="Calibri" w:cs="Calibri" w:eastAsia="Calibri" w:hAnsi="Calibri"/>
                <w:sz w:val="16"/>
                <w:szCs w:val="16"/>
                <w:color w:val="auto"/>
              </w:rPr>
              <w:t>Selling, general and administratve expenses</w:t>
            </w:r>
          </w:p>
        </w:tc>
        <w:tc>
          <w:tcPr>
            <w:tcW w:w="240" w:type="dxa"/>
            <w:vAlign w:val="bottom"/>
            <w:tcBorders>
              <w:right w:val="single" w:sz="8" w:color="007CBA"/>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124</w:t>
            </w:r>
          </w:p>
        </w:tc>
        <w:tc>
          <w:tcPr>
            <w:tcW w:w="120" w:type="dxa"/>
            <w:vAlign w:val="bottom"/>
            <w:tcBorders>
              <w:right w:val="single" w:sz="8" w:color="007CBA"/>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right w:val="single" w:sz="8" w:color="007CBA"/>
            </w:tcBorders>
            <w:gridSpan w:val="2"/>
          </w:tcPr>
          <w:p>
            <w:pPr>
              <w:jc w:val="right"/>
              <w:ind w:right="140"/>
              <w:spacing w:after="0" w:line="193" w:lineRule="exact"/>
              <w:rPr>
                <w:sz w:val="20"/>
                <w:szCs w:val="20"/>
                <w:color w:val="auto"/>
              </w:rPr>
            </w:pPr>
            <w:r>
              <w:rPr>
                <w:rFonts w:ascii="Calibri" w:cs="Calibri" w:eastAsia="Calibri" w:hAnsi="Calibri"/>
                <w:sz w:val="16"/>
                <w:szCs w:val="16"/>
                <w:color w:val="auto"/>
              </w:rPr>
              <w:t>177</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18</w:t>
            </w:r>
          </w:p>
        </w:tc>
        <w:tc>
          <w:tcPr>
            <w:tcW w:w="120" w:type="dxa"/>
            <w:vAlign w:val="bottom"/>
            <w:tcBorders>
              <w:right w:val="single" w:sz="8" w:color="007CBA"/>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319</w:t>
            </w:r>
          </w:p>
        </w:tc>
        <w:tc>
          <w:tcPr>
            <w:tcW w:w="420" w:type="dxa"/>
            <w:vAlign w:val="bottom"/>
          </w:tcPr>
          <w:p>
            <w:pPr>
              <w:spacing w:after="0"/>
              <w:rPr>
                <w:sz w:val="17"/>
                <w:szCs w:val="17"/>
                <w:color w:val="auto"/>
              </w:rPr>
            </w:pPr>
          </w:p>
        </w:tc>
        <w:tc>
          <w:tcPr>
            <w:tcW w:w="6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124</w:t>
            </w:r>
          </w:p>
        </w:tc>
        <w:tc>
          <w:tcPr>
            <w:tcW w:w="280" w:type="dxa"/>
            <w:vAlign w:val="bottom"/>
          </w:tcPr>
          <w:p>
            <w:pPr>
              <w:spacing w:after="0"/>
              <w:rPr>
                <w:sz w:val="17"/>
                <w:szCs w:val="17"/>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443</w:t>
            </w:r>
          </w:p>
        </w:tc>
      </w:tr>
      <w:tr>
        <w:trPr>
          <w:trHeight w:val="207"/>
        </w:trPr>
        <w:tc>
          <w:tcPr>
            <w:tcW w:w="4260" w:type="dxa"/>
            <w:vAlign w:val="bottom"/>
            <w:tcBorders>
              <w:right w:val="single" w:sz="8" w:color="E5F1F8"/>
            </w:tcBorders>
            <w:shd w:val="clear" w:color="auto" w:fill="E5F1F8"/>
          </w:tcPr>
          <w:p>
            <w:pPr>
              <w:ind w:left="200"/>
              <w:spacing w:after="0"/>
              <w:rPr>
                <w:sz w:val="20"/>
                <w:szCs w:val="20"/>
                <w:color w:val="auto"/>
              </w:rPr>
            </w:pPr>
            <w:r>
              <w:rPr>
                <w:rFonts w:ascii="Calibri" w:cs="Calibri" w:eastAsia="Calibri" w:hAnsi="Calibri"/>
                <w:sz w:val="16"/>
                <w:szCs w:val="16"/>
                <w:color w:val="auto"/>
              </w:rPr>
              <w:t>Acquisiton, divestture and integraton expenses</w:t>
            </w:r>
          </w:p>
        </w:tc>
        <w:tc>
          <w:tcPr>
            <w:tcW w:w="240" w:type="dxa"/>
            <w:vAlign w:val="bottom"/>
            <w:tcBorders>
              <w:right w:val="single" w:sz="8" w:color="007CBA"/>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700" w:type="dxa"/>
            <w:vAlign w:val="bottom"/>
            <w:gridSpan w:val="2"/>
            <w:shd w:val="clear" w:color="auto" w:fill="E5F1F8"/>
          </w:tcPr>
          <w:p>
            <w:pPr>
              <w:jc w:val="right"/>
              <w:ind w:right="40"/>
              <w:spacing w:after="0"/>
              <w:rPr>
                <w:sz w:val="20"/>
                <w:szCs w:val="20"/>
                <w:color w:val="auto"/>
              </w:rPr>
            </w:pPr>
            <w:r>
              <w:rPr>
                <w:rFonts w:ascii="Calibri" w:cs="Calibri" w:eastAsia="Calibri" w:hAnsi="Calibri"/>
                <w:sz w:val="16"/>
                <w:szCs w:val="16"/>
                <w:color w:val="auto"/>
              </w:rPr>
              <w:t>—</w:t>
            </w:r>
          </w:p>
        </w:tc>
        <w:tc>
          <w:tcPr>
            <w:tcW w:w="120" w:type="dxa"/>
            <w:vAlign w:val="bottom"/>
            <w:tcBorders>
              <w:right w:val="single" w:sz="8" w:color="007CBA"/>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820" w:type="dxa"/>
            <w:vAlign w:val="bottom"/>
            <w:tcBorders>
              <w:right w:val="single" w:sz="8" w:color="007CBA"/>
            </w:tcBorders>
            <w:gridSpan w:val="2"/>
            <w:shd w:val="clear" w:color="auto" w:fill="E5F1F8"/>
          </w:tcPr>
          <w:p>
            <w:pPr>
              <w:jc w:val="right"/>
              <w:ind w:right="140"/>
              <w:spacing w:after="0"/>
              <w:rPr>
                <w:sz w:val="20"/>
                <w:szCs w:val="20"/>
                <w:color w:val="auto"/>
              </w:rPr>
            </w:pPr>
            <w:r>
              <w:rPr>
                <w:rFonts w:ascii="Calibri" w:cs="Calibri" w:eastAsia="Calibri" w:hAnsi="Calibri"/>
                <w:sz w:val="16"/>
                <w:szCs w:val="16"/>
                <w:color w:val="auto"/>
              </w:rPr>
              <w:t>6</w:t>
            </w:r>
          </w:p>
        </w:tc>
        <w:tc>
          <w:tcPr>
            <w:tcW w:w="4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580" w:type="dxa"/>
            <w:vAlign w:val="bottom"/>
            <w:tcBorders>
              <w:right w:val="single" w:sz="8" w:color="E5F1F8"/>
            </w:tcBorders>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tcBorders>
              <w:right w:val="single" w:sz="8" w:color="007CBA"/>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6</w:t>
            </w:r>
          </w:p>
        </w:tc>
        <w:tc>
          <w:tcPr>
            <w:tcW w:w="420" w:type="dxa"/>
            <w:vAlign w:val="bottom"/>
            <w:shd w:val="clear" w:color="auto" w:fill="E5F1F8"/>
          </w:tcPr>
          <w:p>
            <w:pPr>
              <w:spacing w:after="0"/>
              <w:rPr>
                <w:sz w:val="18"/>
                <w:szCs w:val="18"/>
                <w:color w:val="auto"/>
              </w:rPr>
            </w:pPr>
          </w:p>
        </w:tc>
        <w:tc>
          <w:tcPr>
            <w:tcW w:w="68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6</w:t>
            </w: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12</w:t>
            </w:r>
          </w:p>
        </w:tc>
      </w:tr>
      <w:tr>
        <w:trPr>
          <w:trHeight w:val="198"/>
        </w:trPr>
        <w:tc>
          <w:tcPr>
            <w:tcW w:w="4260" w:type="dxa"/>
            <w:vAlign w:val="bottom"/>
            <w:tcBorders>
              <w:bottom w:val="single" w:sz="8" w:color="auto"/>
            </w:tcBorders>
          </w:tcPr>
          <w:p>
            <w:pPr>
              <w:ind w:left="200"/>
              <w:spacing w:after="0" w:line="193" w:lineRule="exact"/>
              <w:rPr>
                <w:sz w:val="20"/>
                <w:szCs w:val="20"/>
                <w:color w:val="auto"/>
              </w:rPr>
            </w:pPr>
            <w:r>
              <w:rPr>
                <w:rFonts w:ascii="Calibri" w:cs="Calibri" w:eastAsia="Calibri" w:hAnsi="Calibri"/>
                <w:sz w:val="16"/>
                <w:szCs w:val="16"/>
                <w:color w:val="auto"/>
              </w:rPr>
              <w:t>Other operatng (income) expense, net</w:t>
            </w: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line="193" w:lineRule="exact"/>
              <w:rPr>
                <w:sz w:val="20"/>
                <w:szCs w:val="20"/>
                <w:color w:val="auto"/>
              </w:rPr>
            </w:pPr>
            <w:r>
              <w:rPr>
                <w:rFonts w:ascii="Calibri" w:cs="Calibri" w:eastAsia="Calibri" w:hAnsi="Calibri"/>
                <w:sz w:val="16"/>
                <w:szCs w:val="16"/>
                <w:color w:val="auto"/>
              </w:rPr>
              <w:t>(8 )</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line="193" w:lineRule="exact"/>
              <w:rPr>
                <w:sz w:val="20"/>
                <w:szCs w:val="20"/>
                <w:color w:val="auto"/>
              </w:rPr>
            </w:pPr>
            <w:r>
              <w:rPr>
                <w:rFonts w:ascii="Calibri" w:cs="Calibri" w:eastAsia="Calibri" w:hAnsi="Calibri"/>
                <w:sz w:val="16"/>
                <w:szCs w:val="16"/>
                <w:color w:val="auto"/>
              </w:rPr>
              <w:t>(10 )</w:t>
            </w: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(15 )</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(13 )</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(28 )</w:t>
            </w:r>
          </w:p>
        </w:tc>
      </w:tr>
      <w:tr>
        <w:trPr>
          <w:trHeight w:val="200"/>
        </w:trPr>
        <w:tc>
          <w:tcPr>
            <w:tcW w:w="4260" w:type="dxa"/>
            <w:vAlign w:val="bottom"/>
            <w:tcBorders>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b w:val="1"/>
                <w:bCs w:val="1"/>
                <w:color w:val="auto"/>
              </w:rPr>
              <w:t>Segment Earnings (Loss) from Operatons</w:t>
            </w:r>
          </w:p>
        </w:tc>
        <w:tc>
          <w:tcPr>
            <w:tcW w:w="240" w:type="dxa"/>
            <w:vAlign w:val="bottom"/>
            <w:tcBorders>
              <w:right w:val="single" w:sz="8" w:color="007CBA"/>
            </w:tcBorders>
            <w:shd w:val="clear" w:color="auto" w:fill="E5F1F8"/>
          </w:tcPr>
          <w:p>
            <w:pPr>
              <w:spacing w:after="0"/>
              <w:rPr>
                <w:sz w:val="17"/>
                <w:szCs w:val="17"/>
                <w:color w:val="auto"/>
              </w:rPr>
            </w:pPr>
          </w:p>
        </w:tc>
        <w:tc>
          <w:tcPr>
            <w:tcW w:w="340" w:type="dxa"/>
            <w:vAlign w:val="bottom"/>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700" w:type="dxa"/>
            <w:vAlign w:val="bottom"/>
            <w:gridSpan w:val="2"/>
            <w:shd w:val="clear" w:color="auto" w:fill="E5F1F8"/>
          </w:tcPr>
          <w:p>
            <w:pPr>
              <w:jc w:val="right"/>
              <w:ind w:right="40"/>
              <w:spacing w:after="0" w:line="193" w:lineRule="exact"/>
              <w:rPr>
                <w:sz w:val="20"/>
                <w:szCs w:val="20"/>
                <w:color w:val="auto"/>
              </w:rPr>
            </w:pPr>
            <w:r>
              <w:rPr>
                <w:rFonts w:ascii="Calibri" w:cs="Calibri" w:eastAsia="Calibri" w:hAnsi="Calibri"/>
                <w:sz w:val="16"/>
                <w:szCs w:val="16"/>
                <w:color w:val="auto"/>
              </w:rPr>
              <w:t>857</w:t>
            </w:r>
          </w:p>
        </w:tc>
        <w:tc>
          <w:tcPr>
            <w:tcW w:w="120" w:type="dxa"/>
            <w:vAlign w:val="bottom"/>
            <w:tcBorders>
              <w:right w:val="single" w:sz="8" w:color="007CBA"/>
            </w:tcBorders>
            <w:shd w:val="clear" w:color="auto" w:fill="E5F1F8"/>
          </w:tcPr>
          <w:p>
            <w:pPr>
              <w:spacing w:after="0"/>
              <w:rPr>
                <w:sz w:val="17"/>
                <w:szCs w:val="17"/>
                <w:color w:val="auto"/>
              </w:rPr>
            </w:pPr>
          </w:p>
        </w:tc>
        <w:tc>
          <w:tcPr>
            <w:tcW w:w="80" w:type="dxa"/>
            <w:vAlign w:val="bottom"/>
            <w:shd w:val="clear" w:color="auto" w:fill="E5F1F8"/>
          </w:tcPr>
          <w:p>
            <w:pPr>
              <w:spacing w:after="0"/>
              <w:rPr>
                <w:sz w:val="17"/>
                <w:szCs w:val="17"/>
                <w:color w:val="auto"/>
              </w:rPr>
            </w:pPr>
          </w:p>
        </w:tc>
        <w:tc>
          <w:tcPr>
            <w:tcW w:w="220" w:type="dxa"/>
            <w:vAlign w:val="bottom"/>
            <w:shd w:val="clear" w:color="auto" w:fill="E5F1F8"/>
          </w:tcPr>
          <w:p>
            <w:pPr>
              <w:ind w:left="60"/>
              <w:spacing w:after="0" w:line="193" w:lineRule="exact"/>
              <w:rPr>
                <w:sz w:val="20"/>
                <w:szCs w:val="20"/>
                <w:color w:val="auto"/>
              </w:rPr>
            </w:pPr>
            <w:r>
              <w:rPr>
                <w:rFonts w:ascii="Calibri" w:cs="Calibri" w:eastAsia="Calibri" w:hAnsi="Calibri"/>
                <w:sz w:val="16"/>
                <w:szCs w:val="16"/>
                <w:color w:val="auto"/>
              </w:rPr>
              <w:t>$</w:t>
            </w:r>
          </w:p>
        </w:tc>
        <w:tc>
          <w:tcPr>
            <w:tcW w:w="820" w:type="dxa"/>
            <w:vAlign w:val="bottom"/>
            <w:tcBorders>
              <w:right w:val="single" w:sz="8" w:color="007CBA"/>
            </w:tcBorders>
            <w:gridSpan w:val="2"/>
            <w:shd w:val="clear" w:color="auto" w:fill="E5F1F8"/>
          </w:tcPr>
          <w:p>
            <w:pPr>
              <w:jc w:val="right"/>
              <w:ind w:right="140"/>
              <w:spacing w:after="0" w:line="193" w:lineRule="exact"/>
              <w:rPr>
                <w:sz w:val="20"/>
                <w:szCs w:val="20"/>
                <w:color w:val="auto"/>
              </w:rPr>
            </w:pPr>
            <w:r>
              <w:rPr>
                <w:rFonts w:ascii="Calibri" w:cs="Calibri" w:eastAsia="Calibri" w:hAnsi="Calibri"/>
                <w:sz w:val="16"/>
                <w:szCs w:val="16"/>
                <w:color w:val="auto"/>
              </w:rPr>
              <w:t>777</w:t>
            </w:r>
          </w:p>
        </w:tc>
        <w:tc>
          <w:tcPr>
            <w:tcW w:w="40" w:type="dxa"/>
            <w:vAlign w:val="bottom"/>
            <w:shd w:val="clear" w:color="auto" w:fill="E5F1F8"/>
          </w:tcPr>
          <w:p>
            <w:pPr>
              <w:spacing w:after="0"/>
              <w:rPr>
                <w:sz w:val="17"/>
                <w:szCs w:val="17"/>
                <w:color w:val="auto"/>
              </w:rPr>
            </w:pPr>
          </w:p>
        </w:tc>
        <w:tc>
          <w:tcPr>
            <w:tcW w:w="360" w:type="dxa"/>
            <w:vAlign w:val="bottom"/>
            <w:shd w:val="clear" w:color="auto" w:fill="E5F1F8"/>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580" w:type="dxa"/>
            <w:vAlign w:val="bottom"/>
            <w:tcBorders>
              <w:right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76</w:t>
            </w:r>
          </w:p>
        </w:tc>
        <w:tc>
          <w:tcPr>
            <w:tcW w:w="120" w:type="dxa"/>
            <w:vAlign w:val="bottom"/>
            <w:tcBorders>
              <w:right w:val="single" w:sz="8" w:color="007CBA"/>
            </w:tcBorders>
            <w:shd w:val="clear" w:color="auto" w:fill="E5F1F8"/>
          </w:tcPr>
          <w:p>
            <w:pPr>
              <w:spacing w:after="0"/>
              <w:rPr>
                <w:sz w:val="17"/>
                <w:szCs w:val="17"/>
                <w:color w:val="auto"/>
              </w:rPr>
            </w:pPr>
          </w:p>
        </w:tc>
        <w:tc>
          <w:tcPr>
            <w:tcW w:w="240" w:type="dxa"/>
            <w:vAlign w:val="bottom"/>
            <w:shd w:val="clear" w:color="auto" w:fill="E5F1F8"/>
          </w:tcPr>
          <w:p>
            <w:pPr>
              <w:ind w:left="140"/>
              <w:spacing w:after="0" w:line="193" w:lineRule="exact"/>
              <w:rPr>
                <w:sz w:val="20"/>
                <w:szCs w:val="20"/>
                <w:color w:val="auto"/>
              </w:rPr>
            </w:pPr>
            <w:r>
              <w:rPr>
                <w:rFonts w:ascii="Calibri" w:cs="Calibri" w:eastAsia="Calibri" w:hAnsi="Calibri"/>
                <w:sz w:val="16"/>
                <w:szCs w:val="16"/>
                <w:color w:val="auto"/>
                <w:w w:val="97"/>
              </w:rPr>
              <w:t>$</w:t>
            </w:r>
          </w:p>
        </w:tc>
        <w:tc>
          <w:tcPr>
            <w:tcW w:w="920" w:type="dxa"/>
            <w:vAlign w:val="bottom"/>
            <w:tcBorders>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1,710</w:t>
            </w:r>
          </w:p>
        </w:tc>
        <w:tc>
          <w:tcPr>
            <w:tcW w:w="420" w:type="dxa"/>
            <w:vAlign w:val="bottom"/>
            <w:shd w:val="clear" w:color="auto" w:fill="E5F1F8"/>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680" w:type="dxa"/>
            <w:vAlign w:val="bottom"/>
            <w:tcBorders>
              <w:right w:val="single" w:sz="8" w:color="007CBA"/>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(114 )</w:t>
            </w:r>
          </w:p>
        </w:tc>
        <w:tc>
          <w:tcPr>
            <w:tcW w:w="280" w:type="dxa"/>
            <w:vAlign w:val="bottom"/>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820" w:type="dxa"/>
            <w:vAlign w:val="bottom"/>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1,596</w:t>
            </w:r>
          </w:p>
        </w:tc>
      </w:tr>
      <w:tr>
        <w:trPr>
          <w:trHeight w:val="203"/>
        </w:trPr>
        <w:tc>
          <w:tcPr>
            <w:tcW w:w="4260" w:type="dxa"/>
            <w:vAlign w:val="bottom"/>
          </w:tcPr>
          <w:p>
            <w:pPr>
              <w:ind w:left="120"/>
              <w:spacing w:after="0" w:line="193" w:lineRule="exact"/>
              <w:rPr>
                <w:sz w:val="20"/>
                <w:szCs w:val="20"/>
                <w:color w:val="auto"/>
              </w:rPr>
            </w:pPr>
            <w:r>
              <w:rPr>
                <w:rFonts w:ascii="Calibri" w:cs="Calibri" w:eastAsia="Calibri" w:hAnsi="Calibri"/>
                <w:sz w:val="16"/>
                <w:szCs w:val="16"/>
                <w:color w:val="auto"/>
              </w:rPr>
              <w:t>Interest expense</w:t>
            </w:r>
          </w:p>
        </w:tc>
        <w:tc>
          <w:tcPr>
            <w:tcW w:w="240" w:type="dxa"/>
            <w:vAlign w:val="bottom"/>
            <w:tcBorders>
              <w:right w:val="single" w:sz="8" w:color="007CBA"/>
            </w:tcBorders>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right w:val="single" w:sz="8" w:color="007CBA"/>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007CBA"/>
            </w:tcBorders>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007CBA"/>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165</w:t>
            </w:r>
          </w:p>
        </w:tc>
      </w:tr>
      <w:tr>
        <w:trPr>
          <w:trHeight w:val="198"/>
        </w:trPr>
        <w:tc>
          <w:tcPr>
            <w:tcW w:w="4260" w:type="dxa"/>
            <w:vAlign w:val="bottom"/>
            <w:tcBorders>
              <w:bottom w:val="single" w:sz="8" w:color="auto"/>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Other nonoperatng income, net</w:t>
            </w:r>
          </w:p>
        </w:tc>
        <w:tc>
          <w:tcPr>
            <w:tcW w:w="240" w:type="dxa"/>
            <w:vAlign w:val="bottom"/>
            <w:tcBorders>
              <w:bottom w:val="single" w:sz="8" w:color="auto"/>
              <w:right w:val="single" w:sz="8" w:color="E5F1F8"/>
            </w:tcBorders>
            <w:shd w:val="clear" w:color="auto" w:fill="E5F1F8"/>
          </w:tcPr>
          <w:p>
            <w:pPr>
              <w:spacing w:after="0"/>
              <w:rPr>
                <w:sz w:val="17"/>
                <w:szCs w:val="17"/>
                <w:color w:val="auto"/>
              </w:rPr>
            </w:pPr>
          </w:p>
        </w:tc>
        <w:tc>
          <w:tcPr>
            <w:tcW w:w="340" w:type="dxa"/>
            <w:vAlign w:val="bottom"/>
            <w:tcBorders>
              <w:bottom w:val="single" w:sz="8" w:color="auto"/>
            </w:tcBorders>
            <w:shd w:val="clear" w:color="auto" w:fill="E5F1F8"/>
          </w:tcPr>
          <w:p>
            <w:pPr>
              <w:spacing w:after="0"/>
              <w:rPr>
                <w:sz w:val="17"/>
                <w:szCs w:val="17"/>
                <w:color w:val="auto"/>
              </w:rPr>
            </w:pPr>
          </w:p>
        </w:tc>
        <w:tc>
          <w:tcPr>
            <w:tcW w:w="620" w:type="dxa"/>
            <w:vAlign w:val="bottom"/>
            <w:tcBorders>
              <w:bottom w:val="single" w:sz="8" w:color="auto"/>
              <w:right w:val="single" w:sz="8" w:color="E5F1F8"/>
            </w:tcBorders>
            <w:shd w:val="clear" w:color="auto" w:fill="E5F1F8"/>
          </w:tcPr>
          <w:p>
            <w:pPr>
              <w:spacing w:after="0"/>
              <w:rPr>
                <w:sz w:val="17"/>
                <w:szCs w:val="17"/>
                <w:color w:val="auto"/>
              </w:rPr>
            </w:pPr>
          </w:p>
        </w:tc>
        <w:tc>
          <w:tcPr>
            <w:tcW w:w="80" w:type="dxa"/>
            <w:vAlign w:val="bottom"/>
            <w:tcBorders>
              <w:bottom w:val="single" w:sz="8" w:color="auto"/>
            </w:tcBorders>
            <w:shd w:val="clear" w:color="auto" w:fill="E5F1F8"/>
          </w:tcPr>
          <w:p>
            <w:pPr>
              <w:spacing w:after="0"/>
              <w:rPr>
                <w:sz w:val="17"/>
                <w:szCs w:val="17"/>
                <w:color w:val="auto"/>
              </w:rPr>
            </w:pPr>
          </w:p>
        </w:tc>
        <w:tc>
          <w:tcPr>
            <w:tcW w:w="120" w:type="dxa"/>
            <w:vAlign w:val="bottom"/>
            <w:tcBorders>
              <w:bottom w:val="single" w:sz="8" w:color="auto"/>
              <w:right w:val="single" w:sz="8" w:color="E5F1F8"/>
            </w:tcBorders>
            <w:shd w:val="clear" w:color="auto" w:fill="E5F1F8"/>
          </w:tcPr>
          <w:p>
            <w:pPr>
              <w:spacing w:after="0"/>
              <w:rPr>
                <w:sz w:val="17"/>
                <w:szCs w:val="17"/>
                <w:color w:val="auto"/>
              </w:rPr>
            </w:pPr>
          </w:p>
        </w:tc>
        <w:tc>
          <w:tcPr>
            <w:tcW w:w="80" w:type="dxa"/>
            <w:vAlign w:val="bottom"/>
            <w:tcBorders>
              <w:bottom w:val="single" w:sz="8" w:color="auto"/>
            </w:tcBorders>
            <w:shd w:val="clear" w:color="auto" w:fill="E5F1F8"/>
          </w:tcPr>
          <w:p>
            <w:pPr>
              <w:spacing w:after="0"/>
              <w:rPr>
                <w:sz w:val="17"/>
                <w:szCs w:val="17"/>
                <w:color w:val="auto"/>
              </w:rPr>
            </w:pPr>
          </w:p>
        </w:tc>
        <w:tc>
          <w:tcPr>
            <w:tcW w:w="220" w:type="dxa"/>
            <w:vAlign w:val="bottom"/>
            <w:tcBorders>
              <w:bottom w:val="single" w:sz="8" w:color="auto"/>
            </w:tcBorders>
            <w:shd w:val="clear" w:color="auto" w:fill="E5F1F8"/>
          </w:tcPr>
          <w:p>
            <w:pPr>
              <w:spacing w:after="0"/>
              <w:rPr>
                <w:sz w:val="17"/>
                <w:szCs w:val="17"/>
                <w:color w:val="auto"/>
              </w:rPr>
            </w:pPr>
          </w:p>
        </w:tc>
        <w:tc>
          <w:tcPr>
            <w:tcW w:w="660" w:type="dxa"/>
            <w:vAlign w:val="bottom"/>
            <w:tcBorders>
              <w:bottom w:val="single" w:sz="8" w:color="auto"/>
              <w:right w:val="single" w:sz="8" w:color="E5F1F8"/>
            </w:tcBorders>
            <w:shd w:val="clear" w:color="auto" w:fill="E5F1F8"/>
          </w:tcPr>
          <w:p>
            <w:pPr>
              <w:spacing w:after="0"/>
              <w:rPr>
                <w:sz w:val="17"/>
                <w:szCs w:val="17"/>
                <w:color w:val="auto"/>
              </w:rPr>
            </w:pPr>
          </w:p>
        </w:tc>
        <w:tc>
          <w:tcPr>
            <w:tcW w:w="160" w:type="dxa"/>
            <w:vAlign w:val="bottom"/>
            <w:tcBorders>
              <w:bottom w:val="single" w:sz="8" w:color="auto"/>
              <w:right w:val="single" w:sz="8" w:color="E5F1F8"/>
            </w:tcBorders>
            <w:shd w:val="clear" w:color="auto" w:fill="E5F1F8"/>
          </w:tcPr>
          <w:p>
            <w:pPr>
              <w:spacing w:after="0"/>
              <w:rPr>
                <w:sz w:val="17"/>
                <w:szCs w:val="17"/>
                <w:color w:val="auto"/>
              </w:rPr>
            </w:pPr>
          </w:p>
        </w:tc>
        <w:tc>
          <w:tcPr>
            <w:tcW w:w="40" w:type="dxa"/>
            <w:vAlign w:val="bottom"/>
            <w:tcBorders>
              <w:bottom w:val="single" w:sz="8" w:color="auto"/>
            </w:tcBorders>
            <w:shd w:val="clear" w:color="auto" w:fill="E5F1F8"/>
          </w:tcPr>
          <w:p>
            <w:pPr>
              <w:spacing w:after="0"/>
              <w:rPr>
                <w:sz w:val="17"/>
                <w:szCs w:val="17"/>
                <w:color w:val="auto"/>
              </w:rPr>
            </w:pPr>
          </w:p>
        </w:tc>
        <w:tc>
          <w:tcPr>
            <w:tcW w:w="360" w:type="dxa"/>
            <w:vAlign w:val="bottom"/>
            <w:tcBorders>
              <w:bottom w:val="single" w:sz="8" w:color="auto"/>
            </w:tcBorders>
            <w:shd w:val="clear" w:color="auto" w:fill="E5F1F8"/>
          </w:tcPr>
          <w:p>
            <w:pPr>
              <w:spacing w:after="0"/>
              <w:rPr>
                <w:sz w:val="17"/>
                <w:szCs w:val="17"/>
                <w:color w:val="auto"/>
              </w:rPr>
            </w:pPr>
          </w:p>
        </w:tc>
        <w:tc>
          <w:tcPr>
            <w:tcW w:w="580" w:type="dxa"/>
            <w:vAlign w:val="bottom"/>
            <w:tcBorders>
              <w:bottom w:val="single" w:sz="8" w:color="auto"/>
              <w:right w:val="single" w:sz="8" w:color="E5F1F8"/>
            </w:tcBorders>
            <w:shd w:val="clear" w:color="auto" w:fill="E5F1F8"/>
          </w:tcPr>
          <w:p>
            <w:pPr>
              <w:spacing w:after="0"/>
              <w:rPr>
                <w:sz w:val="17"/>
                <w:szCs w:val="17"/>
                <w:color w:val="auto"/>
              </w:rPr>
            </w:pPr>
          </w:p>
        </w:tc>
        <w:tc>
          <w:tcPr>
            <w:tcW w:w="120" w:type="dxa"/>
            <w:vAlign w:val="bottom"/>
            <w:tcBorders>
              <w:bottom w:val="single" w:sz="8" w:color="auto"/>
              <w:right w:val="single" w:sz="8" w:color="E5F1F8"/>
            </w:tcBorders>
            <w:shd w:val="clear" w:color="auto" w:fill="E5F1F8"/>
          </w:tcPr>
          <w:p>
            <w:pPr>
              <w:spacing w:after="0"/>
              <w:rPr>
                <w:sz w:val="17"/>
                <w:szCs w:val="17"/>
                <w:color w:val="auto"/>
              </w:rPr>
            </w:pPr>
          </w:p>
        </w:tc>
        <w:tc>
          <w:tcPr>
            <w:tcW w:w="240" w:type="dxa"/>
            <w:vAlign w:val="bottom"/>
            <w:tcBorders>
              <w:bottom w:val="single" w:sz="8" w:color="auto"/>
            </w:tcBorders>
            <w:shd w:val="clear" w:color="auto" w:fill="E5F1F8"/>
          </w:tcPr>
          <w:p>
            <w:pPr>
              <w:spacing w:after="0"/>
              <w:rPr>
                <w:sz w:val="17"/>
                <w:szCs w:val="17"/>
                <w:color w:val="auto"/>
              </w:rPr>
            </w:pPr>
          </w:p>
        </w:tc>
        <w:tc>
          <w:tcPr>
            <w:tcW w:w="920" w:type="dxa"/>
            <w:vAlign w:val="bottom"/>
            <w:tcBorders>
              <w:bottom w:val="single" w:sz="8" w:color="auto"/>
              <w:right w:val="single" w:sz="8" w:color="E5F1F8"/>
            </w:tcBorders>
            <w:shd w:val="clear" w:color="auto" w:fill="E5F1F8"/>
          </w:tcPr>
          <w:p>
            <w:pPr>
              <w:spacing w:after="0"/>
              <w:rPr>
                <w:sz w:val="17"/>
                <w:szCs w:val="17"/>
                <w:color w:val="auto"/>
              </w:rPr>
            </w:pPr>
          </w:p>
        </w:tc>
        <w:tc>
          <w:tcPr>
            <w:tcW w:w="420" w:type="dxa"/>
            <w:vAlign w:val="bottom"/>
            <w:tcBorders>
              <w:bottom w:val="single" w:sz="8" w:color="auto"/>
            </w:tcBorders>
            <w:shd w:val="clear" w:color="auto" w:fill="E5F1F8"/>
          </w:tcPr>
          <w:p>
            <w:pPr>
              <w:spacing w:after="0"/>
              <w:rPr>
                <w:sz w:val="17"/>
                <w:szCs w:val="17"/>
                <w:color w:val="auto"/>
              </w:rPr>
            </w:pPr>
          </w:p>
        </w:tc>
        <w:tc>
          <w:tcPr>
            <w:tcW w:w="680" w:type="dxa"/>
            <w:vAlign w:val="bottom"/>
            <w:tcBorders>
              <w:bottom w:val="single" w:sz="8" w:color="auto"/>
              <w:right w:val="single" w:sz="8" w:color="E5F1F8"/>
            </w:tcBorders>
            <w:shd w:val="clear" w:color="auto" w:fill="E5F1F8"/>
          </w:tcPr>
          <w:p>
            <w:pPr>
              <w:spacing w:after="0"/>
              <w:rPr>
                <w:sz w:val="17"/>
                <w:szCs w:val="17"/>
                <w:color w:val="auto"/>
              </w:rPr>
            </w:pPr>
          </w:p>
        </w:tc>
        <w:tc>
          <w:tcPr>
            <w:tcW w:w="280" w:type="dxa"/>
            <w:vAlign w:val="bottom"/>
            <w:tcBorders>
              <w:bottom w:val="single" w:sz="8" w:color="auto"/>
            </w:tcBorders>
            <w:shd w:val="clear" w:color="auto" w:fill="E5F1F8"/>
          </w:tcPr>
          <w:p>
            <w:pPr>
              <w:spacing w:after="0"/>
              <w:rPr>
                <w:sz w:val="17"/>
                <w:szCs w:val="17"/>
                <w:color w:val="auto"/>
              </w:rPr>
            </w:pPr>
          </w:p>
        </w:tc>
        <w:tc>
          <w:tcPr>
            <w:tcW w:w="820" w:type="dxa"/>
            <w:vAlign w:val="bottom"/>
            <w:tcBorders>
              <w:bottom w:val="single" w:sz="8" w:color="auto"/>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(62 )</w:t>
            </w:r>
          </w:p>
        </w:tc>
      </w:tr>
      <w:tr>
        <w:trPr>
          <w:trHeight w:val="182"/>
        </w:trPr>
        <w:tc>
          <w:tcPr>
            <w:tcW w:w="4260" w:type="dxa"/>
            <w:vAlign w:val="bottom"/>
          </w:tcPr>
          <w:p>
            <w:pPr>
              <w:ind w:left="120"/>
              <w:spacing w:after="0" w:line="182" w:lineRule="exact"/>
              <w:rPr>
                <w:sz w:val="20"/>
                <w:szCs w:val="20"/>
                <w:color w:val="auto"/>
              </w:rPr>
            </w:pPr>
            <w:r>
              <w:rPr>
                <w:rFonts w:ascii="Calibri" w:cs="Calibri" w:eastAsia="Calibri" w:hAnsi="Calibri"/>
                <w:sz w:val="16"/>
                <w:szCs w:val="16"/>
                <w:b w:val="1"/>
                <w:bCs w:val="1"/>
                <w:color w:val="auto"/>
              </w:rPr>
              <w:t>Consolidated earnings from contnuing operatons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4"/>
        </w:trPr>
        <w:tc>
          <w:tcPr>
            <w:tcW w:w="4260" w:type="dxa"/>
            <w:vAlign w:val="bottom"/>
          </w:tcPr>
          <w:p>
            <w:pPr>
              <w:ind w:left="260"/>
              <w:spacing w:after="0" w:line="193" w:lineRule="exact"/>
              <w:rPr>
                <w:sz w:val="20"/>
                <w:szCs w:val="20"/>
                <w:color w:val="auto"/>
              </w:rPr>
            </w:pPr>
            <w:r>
              <w:rPr>
                <w:rFonts w:ascii="Calibri" w:cs="Calibri" w:eastAsia="Calibri" w:hAnsi="Calibri"/>
                <w:sz w:val="16"/>
                <w:szCs w:val="16"/>
                <w:b w:val="1"/>
                <w:bCs w:val="1"/>
                <w:color w:val="auto"/>
              </w:rPr>
              <w:t>before income tax expense</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1,493</w:t>
            </w:r>
          </w:p>
        </w:tc>
      </w:tr>
      <w:tr>
        <w:trPr>
          <w:trHeight w:val="28"/>
        </w:trPr>
        <w:tc>
          <w:tcPr>
            <w:tcW w:w="4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274320</wp:posOffset>
            </wp:positionV>
            <wp:extent cx="325755" cy="1968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-3517900</wp:posOffset>
            </wp:positionV>
            <wp:extent cx="34290" cy="1625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-3517900</wp:posOffset>
            </wp:positionV>
            <wp:extent cx="33655" cy="16256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-3517900</wp:posOffset>
            </wp:positionV>
            <wp:extent cx="34290" cy="16256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-3517900</wp:posOffset>
            </wp:positionV>
            <wp:extent cx="33655" cy="16256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-3517900</wp:posOffset>
            </wp:positionV>
            <wp:extent cx="33655" cy="1625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-3517900</wp:posOffset>
            </wp:positionV>
            <wp:extent cx="33655" cy="16256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-3123565</wp:posOffset>
            </wp:positionV>
            <wp:extent cx="34290" cy="44577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34290" cy="445770"/>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-3123565</wp:posOffset>
            </wp:positionV>
            <wp:extent cx="33655" cy="44577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-3123565</wp:posOffset>
            </wp:positionV>
            <wp:extent cx="34290" cy="44577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34290" cy="445770"/>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-3123565</wp:posOffset>
            </wp:positionV>
            <wp:extent cx="33655" cy="44577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-3123565</wp:posOffset>
            </wp:positionV>
            <wp:extent cx="33655" cy="44577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-3123565</wp:posOffset>
            </wp:positionV>
            <wp:extent cx="33655" cy="44577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-826135</wp:posOffset>
            </wp:positionV>
            <wp:extent cx="34290" cy="16256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-826135</wp:posOffset>
            </wp:positionV>
            <wp:extent cx="33655" cy="16256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-826135</wp:posOffset>
            </wp:positionV>
            <wp:extent cx="33655" cy="16256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-826135</wp:posOffset>
            </wp:positionV>
            <wp:extent cx="33655" cy="1625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-826135</wp:posOffset>
            </wp:positionV>
            <wp:extent cx="34290" cy="16256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6412865</wp:posOffset>
            </wp:positionH>
            <wp:positionV relativeFrom="paragraph">
              <wp:posOffset>-826135</wp:posOffset>
            </wp:positionV>
            <wp:extent cx="34290" cy="1625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-431800</wp:posOffset>
            </wp:positionV>
            <wp:extent cx="34290" cy="4451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34290" cy="44513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-431800</wp:posOffset>
            </wp:positionV>
            <wp:extent cx="33655" cy="4451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33655" cy="44513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-431800</wp:posOffset>
            </wp:positionV>
            <wp:extent cx="33655" cy="4451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33655" cy="44513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-431800</wp:posOffset>
            </wp:positionV>
            <wp:extent cx="33655" cy="4451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33655" cy="44513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-431800</wp:posOffset>
            </wp:positionV>
            <wp:extent cx="34290" cy="4451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34290" cy="445135"/>
                    </a:xfrm>
                    <a:prstGeom prst="rect">
                      <a:avLst/>
                    </a:prstGeom>
                    <a:noFill/>
                  </pic:spPr>
                </pic:pic>
              </a:graphicData>
            </a:graphic>
          </wp:anchor>
        </w:drawing>
        <w:drawing>
          <wp:anchor simplePos="0" relativeHeight="251657728" behindDoc="1" locked="0" layoutInCell="0" allowOverlap="1">
            <wp:simplePos x="0" y="0"/>
            <wp:positionH relativeFrom="column">
              <wp:posOffset>6412865</wp:posOffset>
            </wp:positionH>
            <wp:positionV relativeFrom="paragraph">
              <wp:posOffset>-431800</wp:posOffset>
            </wp:positionV>
            <wp:extent cx="34290" cy="4451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34290" cy="4451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1" w:name="page102"/>
    <w:bookmarkEnd w:id="101"/>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Borders>
              <w:right w:val="single" w:sz="8" w:color="007CBA"/>
            </w:tcBorders>
            <w:shd w:val="clear" w:color="auto" w:fill="007CBA"/>
          </w:tcPr>
          <w:p>
            <w:pPr>
              <w:spacing w:after="0"/>
              <w:rPr>
                <w:sz w:val="16"/>
                <w:szCs w:val="16"/>
                <w:color w:val="auto"/>
              </w:rPr>
            </w:pPr>
          </w:p>
        </w:tc>
        <w:tc>
          <w:tcPr>
            <w:tcW w:w="420" w:type="dxa"/>
            <w:vAlign w:val="bottom"/>
            <w:shd w:val="clear" w:color="auto" w:fill="007CBA"/>
          </w:tcPr>
          <w:p>
            <w:pPr>
              <w:spacing w:after="0"/>
              <w:rPr>
                <w:sz w:val="16"/>
                <w:szCs w:val="16"/>
                <w:color w:val="auto"/>
              </w:rPr>
            </w:pPr>
          </w:p>
        </w:tc>
        <w:tc>
          <w:tcPr>
            <w:tcW w:w="740" w:type="dxa"/>
            <w:vAlign w:val="bottom"/>
            <w:tcBorders>
              <w:right w:val="single" w:sz="8" w:color="007CBA"/>
            </w:tcBorders>
            <w:shd w:val="clear" w:color="auto" w:fill="007CBA"/>
          </w:tcPr>
          <w:p>
            <w:pPr>
              <w:spacing w:after="0"/>
              <w:rPr>
                <w:sz w:val="16"/>
                <w:szCs w:val="16"/>
                <w:color w:val="auto"/>
              </w:rPr>
            </w:pPr>
          </w:p>
        </w:tc>
        <w:tc>
          <w:tcPr>
            <w:tcW w:w="420" w:type="dxa"/>
            <w:vAlign w:val="bottom"/>
            <w:shd w:val="clear" w:color="auto" w:fill="007CBA"/>
          </w:tcPr>
          <w:p>
            <w:pPr>
              <w:spacing w:after="0"/>
              <w:rPr>
                <w:sz w:val="16"/>
                <w:szCs w:val="16"/>
                <w:color w:val="auto"/>
              </w:rPr>
            </w:pPr>
          </w:p>
        </w:tc>
        <w:tc>
          <w:tcPr>
            <w:tcW w:w="70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640" w:type="dxa"/>
            <w:vAlign w:val="bottom"/>
            <w:tcBorders>
              <w:right w:val="single" w:sz="8" w:color="007CBA"/>
            </w:tcBorders>
            <w:shd w:val="clear" w:color="auto" w:fill="007CBA"/>
          </w:tcPr>
          <w:p>
            <w:pPr>
              <w:spacing w:after="0"/>
              <w:rPr>
                <w:sz w:val="16"/>
                <w:szCs w:val="16"/>
                <w:color w:val="auto"/>
              </w:rPr>
            </w:pPr>
          </w:p>
        </w:tc>
        <w:tc>
          <w:tcPr>
            <w:tcW w:w="240" w:type="dxa"/>
            <w:vAlign w:val="bottom"/>
            <w:shd w:val="clear" w:color="auto" w:fill="007CBA"/>
          </w:tcPr>
          <w:p>
            <w:pPr>
              <w:spacing w:after="0"/>
              <w:rPr>
                <w:sz w:val="16"/>
                <w:szCs w:val="16"/>
                <w:color w:val="auto"/>
              </w:rPr>
            </w:pPr>
          </w:p>
        </w:tc>
        <w:tc>
          <w:tcPr>
            <w:tcW w:w="920" w:type="dxa"/>
            <w:vAlign w:val="bottom"/>
            <w:tcBorders>
              <w:right w:val="single" w:sz="8" w:color="007CBA"/>
            </w:tcBorders>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rPr>
              <w:t>Total</w:t>
            </w:r>
          </w:p>
        </w:tc>
        <w:tc>
          <w:tcPr>
            <w:tcW w:w="460" w:type="dxa"/>
            <w:vAlign w:val="bottom"/>
            <w:shd w:val="clear" w:color="auto" w:fill="007CBA"/>
          </w:tcPr>
          <w:p>
            <w:pPr>
              <w:spacing w:after="0"/>
              <w:rPr>
                <w:sz w:val="16"/>
                <w:szCs w:val="16"/>
                <w:color w:val="auto"/>
              </w:rPr>
            </w:pPr>
          </w:p>
        </w:tc>
        <w:tc>
          <w:tcPr>
            <w:tcW w:w="640" w:type="dxa"/>
            <w:vAlign w:val="bottom"/>
            <w:tcBorders>
              <w:right w:val="single" w:sz="8" w:color="007CBA"/>
            </w:tcBorders>
            <w:shd w:val="clear" w:color="auto" w:fill="007CBA"/>
          </w:tcPr>
          <w:p>
            <w:pPr>
              <w:spacing w:after="0"/>
              <w:rPr>
                <w:sz w:val="16"/>
                <w:szCs w:val="16"/>
                <w:color w:val="auto"/>
              </w:rPr>
            </w:pPr>
          </w:p>
        </w:tc>
        <w:tc>
          <w:tcPr>
            <w:tcW w:w="300" w:type="dxa"/>
            <w:vAlign w:val="bottom"/>
            <w:shd w:val="clear" w:color="auto" w:fill="007CBA"/>
          </w:tcPr>
          <w:p>
            <w:pPr>
              <w:spacing w:after="0"/>
              <w:rPr>
                <w:sz w:val="16"/>
                <w:szCs w:val="16"/>
                <w:color w:val="auto"/>
              </w:rPr>
            </w:pPr>
          </w:p>
        </w:tc>
        <w:tc>
          <w:tcPr>
            <w:tcW w:w="800" w:type="dxa"/>
            <w:vAlign w:val="bottom"/>
            <w:shd w:val="clear" w:color="auto" w:fill="007CBA"/>
          </w:tcPr>
          <w:p>
            <w:pPr>
              <w:spacing w:after="0"/>
              <w:rPr>
                <w:sz w:val="16"/>
                <w:szCs w:val="16"/>
                <w:color w:val="auto"/>
              </w:rPr>
            </w:pPr>
          </w:p>
        </w:tc>
      </w:tr>
      <w:tr>
        <w:trPr>
          <w:trHeight w:val="193"/>
        </w:trPr>
        <w:tc>
          <w:tcPr>
            <w:tcW w:w="4500" w:type="dxa"/>
            <w:vAlign w:val="bottom"/>
            <w:tcBorders>
              <w:right w:val="single" w:sz="8" w:color="007CBA"/>
            </w:tcBorders>
            <w:shd w:val="clear" w:color="auto" w:fill="007CBA"/>
          </w:tcPr>
          <w:p>
            <w:pPr>
              <w:ind w:left="120"/>
              <w:spacing w:after="0" w:line="193" w:lineRule="exact"/>
              <w:rPr>
                <w:sz w:val="20"/>
                <w:szCs w:val="20"/>
                <w:color w:val="auto"/>
              </w:rPr>
            </w:pPr>
            <w:r>
              <w:rPr>
                <w:rFonts w:ascii="Calibri" w:cs="Calibri" w:eastAsia="Calibri" w:hAnsi="Calibri"/>
                <w:sz w:val="16"/>
                <w:szCs w:val="16"/>
                <w:i w:val="1"/>
                <w:iCs w:val="1"/>
                <w:color w:val="FFFFFF"/>
              </w:rPr>
              <w:t>year ended December 31, 2022</w:t>
            </w:r>
          </w:p>
        </w:tc>
        <w:tc>
          <w:tcPr>
            <w:tcW w:w="420" w:type="dxa"/>
            <w:vAlign w:val="bottom"/>
            <w:shd w:val="clear" w:color="auto" w:fill="007CBA"/>
          </w:tcPr>
          <w:p>
            <w:pPr>
              <w:spacing w:after="0"/>
              <w:rPr>
                <w:sz w:val="16"/>
                <w:szCs w:val="16"/>
                <w:color w:val="auto"/>
              </w:rPr>
            </w:pPr>
          </w:p>
        </w:tc>
        <w:tc>
          <w:tcPr>
            <w:tcW w:w="740" w:type="dxa"/>
            <w:vAlign w:val="bottom"/>
            <w:tcBorders>
              <w:right w:val="single" w:sz="8" w:color="007CBA"/>
            </w:tcBorders>
            <w:shd w:val="clear" w:color="auto" w:fill="007CBA"/>
          </w:tcPr>
          <w:p>
            <w:pPr>
              <w:spacing w:after="0"/>
              <w:rPr>
                <w:sz w:val="16"/>
                <w:szCs w:val="16"/>
                <w:color w:val="auto"/>
              </w:rPr>
            </w:pPr>
          </w:p>
        </w:tc>
        <w:tc>
          <w:tcPr>
            <w:tcW w:w="420" w:type="dxa"/>
            <w:vAlign w:val="bottom"/>
            <w:shd w:val="clear" w:color="auto" w:fill="007CBA"/>
          </w:tcPr>
          <w:p>
            <w:pPr>
              <w:spacing w:after="0"/>
              <w:rPr>
                <w:sz w:val="16"/>
                <w:szCs w:val="16"/>
                <w:color w:val="auto"/>
              </w:rPr>
            </w:pPr>
          </w:p>
        </w:tc>
        <w:tc>
          <w:tcPr>
            <w:tcW w:w="700" w:type="dxa"/>
            <w:vAlign w:val="bottom"/>
            <w:tcBorders>
              <w:right w:val="single" w:sz="8" w:color="007CBA"/>
            </w:tcBorders>
            <w:shd w:val="clear" w:color="auto" w:fill="007CBA"/>
          </w:tcPr>
          <w:p>
            <w:pPr>
              <w:spacing w:after="0"/>
              <w:rPr>
                <w:sz w:val="16"/>
                <w:szCs w:val="16"/>
                <w:color w:val="auto"/>
              </w:rPr>
            </w:pPr>
          </w:p>
        </w:tc>
        <w:tc>
          <w:tcPr>
            <w:tcW w:w="1100" w:type="dxa"/>
            <w:vAlign w:val="bottom"/>
            <w:tcBorders>
              <w:right w:val="single" w:sz="8" w:color="007CBA"/>
            </w:tcBorders>
            <w:gridSpan w:val="2"/>
            <w:shd w:val="clear" w:color="auto" w:fill="007CBA"/>
          </w:tcPr>
          <w:p>
            <w:pPr>
              <w:jc w:val="right"/>
              <w:ind w:right="159"/>
              <w:spacing w:after="0" w:line="193" w:lineRule="exact"/>
              <w:rPr>
                <w:sz w:val="20"/>
                <w:szCs w:val="20"/>
                <w:color w:val="auto"/>
              </w:rPr>
            </w:pPr>
            <w:r>
              <w:rPr>
                <w:rFonts w:ascii="Calibri" w:cs="Calibri" w:eastAsia="Calibri" w:hAnsi="Calibri"/>
                <w:sz w:val="16"/>
                <w:szCs w:val="16"/>
                <w:b w:val="1"/>
                <w:bCs w:val="1"/>
                <w:color w:val="FFFFFF"/>
              </w:rPr>
              <w:t>Magnesia</w:t>
            </w:r>
          </w:p>
        </w:tc>
        <w:tc>
          <w:tcPr>
            <w:tcW w:w="1160" w:type="dxa"/>
            <w:vAlign w:val="bottom"/>
            <w:tcBorders>
              <w:right w:val="single" w:sz="8" w:color="007CBA"/>
            </w:tcBorders>
            <w:gridSpan w:val="2"/>
            <w:shd w:val="clear" w:color="auto" w:fill="007CBA"/>
          </w:tcPr>
          <w:p>
            <w:pPr>
              <w:jc w:val="center"/>
              <w:spacing w:after="0" w:line="193" w:lineRule="exact"/>
              <w:rPr>
                <w:sz w:val="20"/>
                <w:szCs w:val="20"/>
                <w:color w:val="auto"/>
              </w:rPr>
            </w:pPr>
            <w:r>
              <w:rPr>
                <w:rFonts w:ascii="Calibri" w:cs="Calibri" w:eastAsia="Calibri" w:hAnsi="Calibri"/>
                <w:sz w:val="16"/>
                <w:szCs w:val="16"/>
                <w:b w:val="1"/>
                <w:bCs w:val="1"/>
                <w:color w:val="FFFFFF"/>
                <w:w w:val="99"/>
              </w:rPr>
              <w:t>Reportable</w:t>
            </w:r>
          </w:p>
        </w:tc>
        <w:tc>
          <w:tcPr>
            <w:tcW w:w="460" w:type="dxa"/>
            <w:vAlign w:val="bottom"/>
            <w:shd w:val="clear" w:color="auto" w:fill="007CBA"/>
          </w:tcPr>
          <w:p>
            <w:pPr>
              <w:spacing w:after="0"/>
              <w:rPr>
                <w:sz w:val="16"/>
                <w:szCs w:val="16"/>
                <w:color w:val="auto"/>
              </w:rPr>
            </w:pPr>
          </w:p>
        </w:tc>
        <w:tc>
          <w:tcPr>
            <w:tcW w:w="640" w:type="dxa"/>
            <w:vAlign w:val="bottom"/>
            <w:tcBorders>
              <w:right w:val="single" w:sz="8" w:color="007CBA"/>
            </w:tcBorders>
            <w:shd w:val="clear" w:color="auto" w:fill="007CBA"/>
          </w:tcPr>
          <w:p>
            <w:pPr>
              <w:spacing w:after="0"/>
              <w:rPr>
                <w:sz w:val="16"/>
                <w:szCs w:val="16"/>
                <w:color w:val="auto"/>
              </w:rPr>
            </w:pPr>
          </w:p>
        </w:tc>
        <w:tc>
          <w:tcPr>
            <w:tcW w:w="300" w:type="dxa"/>
            <w:vAlign w:val="bottom"/>
            <w:shd w:val="clear" w:color="auto" w:fill="007CBA"/>
          </w:tcPr>
          <w:p>
            <w:pPr>
              <w:spacing w:after="0"/>
              <w:rPr>
                <w:sz w:val="16"/>
                <w:szCs w:val="16"/>
                <w:color w:val="auto"/>
              </w:rPr>
            </w:pPr>
          </w:p>
        </w:tc>
        <w:tc>
          <w:tcPr>
            <w:tcW w:w="800" w:type="dxa"/>
            <w:vAlign w:val="bottom"/>
            <w:shd w:val="clear" w:color="auto" w:fill="007CBA"/>
          </w:tcPr>
          <w:p>
            <w:pPr>
              <w:spacing w:after="0"/>
              <w:rPr>
                <w:sz w:val="16"/>
                <w:szCs w:val="16"/>
                <w:color w:val="auto"/>
              </w:rPr>
            </w:pPr>
          </w:p>
        </w:tc>
      </w:tr>
      <w:tr>
        <w:trPr>
          <w:trHeight w:val="210"/>
        </w:trPr>
        <w:tc>
          <w:tcPr>
            <w:tcW w:w="450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6"/>
                <w:szCs w:val="16"/>
                <w:color w:val="FFFFFF"/>
              </w:rPr>
              <w:t>(in millions)</w:t>
            </w:r>
          </w:p>
        </w:tc>
        <w:tc>
          <w:tcPr>
            <w:tcW w:w="1160" w:type="dxa"/>
            <w:vAlign w:val="bottom"/>
            <w:tcBorders>
              <w:bottom w:val="single" w:sz="8" w:color="007CBA"/>
              <w:right w:val="single" w:sz="8" w:color="007CBA"/>
            </w:tcBorders>
            <w:gridSpan w:val="2"/>
            <w:shd w:val="clear" w:color="auto" w:fill="007CBA"/>
          </w:tcPr>
          <w:p>
            <w:pPr>
              <w:jc w:val="right"/>
              <w:ind w:right="139"/>
              <w:spacing w:after="0"/>
              <w:rPr>
                <w:sz w:val="20"/>
                <w:szCs w:val="20"/>
                <w:color w:val="auto"/>
              </w:rPr>
            </w:pPr>
            <w:r>
              <w:rPr>
                <w:rFonts w:ascii="Calibri" w:cs="Calibri" w:eastAsia="Calibri" w:hAnsi="Calibri"/>
                <w:sz w:val="16"/>
                <w:szCs w:val="16"/>
                <w:b w:val="1"/>
                <w:bCs w:val="1"/>
                <w:color w:val="FFFFFF"/>
              </w:rPr>
              <w:t>East Group</w:t>
            </w:r>
          </w:p>
        </w:tc>
        <w:tc>
          <w:tcPr>
            <w:tcW w:w="1120" w:type="dxa"/>
            <w:vAlign w:val="bottom"/>
            <w:tcBorders>
              <w:bottom w:val="single" w:sz="8" w:color="007CBA"/>
              <w:right w:val="single" w:sz="8" w:color="007CBA"/>
            </w:tcBorders>
            <w:gridSpan w:val="2"/>
            <w:shd w:val="clear" w:color="auto" w:fill="007CBA"/>
          </w:tcPr>
          <w:p>
            <w:pPr>
              <w:ind w:left="160"/>
              <w:spacing w:after="0"/>
              <w:rPr>
                <w:sz w:val="20"/>
                <w:szCs w:val="20"/>
                <w:color w:val="auto"/>
              </w:rPr>
            </w:pPr>
            <w:r>
              <w:rPr>
                <w:rFonts w:ascii="Calibri" w:cs="Calibri" w:eastAsia="Calibri" w:hAnsi="Calibri"/>
                <w:sz w:val="16"/>
                <w:szCs w:val="16"/>
                <w:b w:val="1"/>
                <w:bCs w:val="1"/>
                <w:color w:val="FFFFFF"/>
              </w:rPr>
              <w:t>West Group</w:t>
            </w:r>
          </w:p>
        </w:tc>
        <w:tc>
          <w:tcPr>
            <w:tcW w:w="1100" w:type="dxa"/>
            <w:vAlign w:val="bottom"/>
            <w:tcBorders>
              <w:bottom w:val="single" w:sz="8" w:color="007CBA"/>
              <w:right w:val="single" w:sz="8" w:color="007CBA"/>
            </w:tcBorders>
            <w:gridSpan w:val="2"/>
            <w:shd w:val="clear" w:color="auto" w:fill="007CBA"/>
          </w:tcPr>
          <w:p>
            <w:pPr>
              <w:jc w:val="right"/>
              <w:ind w:right="119"/>
              <w:spacing w:after="0"/>
              <w:rPr>
                <w:sz w:val="20"/>
                <w:szCs w:val="20"/>
                <w:color w:val="auto"/>
              </w:rPr>
            </w:pPr>
            <w:r>
              <w:rPr>
                <w:rFonts w:ascii="Calibri" w:cs="Calibri" w:eastAsia="Calibri" w:hAnsi="Calibri"/>
                <w:sz w:val="16"/>
                <w:szCs w:val="16"/>
                <w:b w:val="1"/>
                <w:bCs w:val="1"/>
                <w:color w:val="FFFFFF"/>
              </w:rPr>
              <w:t>Specialtes</w:t>
            </w:r>
          </w:p>
        </w:tc>
        <w:tc>
          <w:tcPr>
            <w:tcW w:w="240" w:type="dxa"/>
            <w:vAlign w:val="bottom"/>
            <w:tcBorders>
              <w:bottom w:val="single" w:sz="8" w:color="007CBA"/>
            </w:tcBorders>
            <w:shd w:val="clear" w:color="auto" w:fill="007CBA"/>
          </w:tcPr>
          <w:p>
            <w:pPr>
              <w:spacing w:after="0"/>
              <w:rPr>
                <w:sz w:val="18"/>
                <w:szCs w:val="18"/>
                <w:color w:val="auto"/>
              </w:rPr>
            </w:pPr>
          </w:p>
        </w:tc>
        <w:tc>
          <w:tcPr>
            <w:tcW w:w="920" w:type="dxa"/>
            <w:vAlign w:val="bottom"/>
            <w:tcBorders>
              <w:bottom w:val="single" w:sz="8" w:color="007CBA"/>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Segments</w:t>
            </w:r>
          </w:p>
        </w:tc>
        <w:tc>
          <w:tcPr>
            <w:tcW w:w="1100" w:type="dxa"/>
            <w:vAlign w:val="bottom"/>
            <w:tcBorders>
              <w:bottom w:val="single" w:sz="8" w:color="007CBA"/>
              <w:right w:val="single" w:sz="8" w:color="007CBA"/>
            </w:tcBorders>
            <w:gridSpan w:val="2"/>
            <w:shd w:val="clear" w:color="auto" w:fill="007CBA"/>
          </w:tcPr>
          <w:p>
            <w:pPr>
              <w:jc w:val="right"/>
              <w:ind w:right="139"/>
              <w:spacing w:after="0"/>
              <w:rPr>
                <w:sz w:val="20"/>
                <w:szCs w:val="20"/>
                <w:color w:val="auto"/>
              </w:rPr>
            </w:pPr>
            <w:r>
              <w:rPr>
                <w:rFonts w:ascii="Calibri" w:cs="Calibri" w:eastAsia="Calibri" w:hAnsi="Calibri"/>
                <w:sz w:val="16"/>
                <w:szCs w:val="16"/>
                <w:b w:val="1"/>
                <w:bCs w:val="1"/>
                <w:color w:val="FFFFFF"/>
              </w:rPr>
              <w:t>Corporate</w:t>
            </w:r>
          </w:p>
        </w:tc>
        <w:tc>
          <w:tcPr>
            <w:tcW w:w="300" w:type="dxa"/>
            <w:vAlign w:val="bottom"/>
            <w:tcBorders>
              <w:bottom w:val="single" w:sz="8" w:color="007CBA"/>
            </w:tcBorders>
            <w:shd w:val="clear" w:color="auto" w:fill="007CBA"/>
          </w:tcPr>
          <w:p>
            <w:pPr>
              <w:spacing w:after="0"/>
              <w:rPr>
                <w:sz w:val="18"/>
                <w:szCs w:val="18"/>
                <w:color w:val="auto"/>
              </w:rPr>
            </w:pPr>
          </w:p>
        </w:tc>
        <w:tc>
          <w:tcPr>
            <w:tcW w:w="800" w:type="dxa"/>
            <w:vAlign w:val="bottom"/>
            <w:tcBorders>
              <w:bottom w:val="single" w:sz="8" w:color="007CBA"/>
            </w:tcBorders>
            <w:shd w:val="clear" w:color="auto" w:fill="007CBA"/>
          </w:tcPr>
          <w:p>
            <w:pPr>
              <w:jc w:val="right"/>
              <w:ind w:right="299"/>
              <w:spacing w:after="0"/>
              <w:rPr>
                <w:sz w:val="20"/>
                <w:szCs w:val="20"/>
                <w:color w:val="auto"/>
              </w:rPr>
            </w:pPr>
            <w:r>
              <w:rPr>
                <w:rFonts w:ascii="Calibri" w:cs="Calibri" w:eastAsia="Calibri" w:hAnsi="Calibri"/>
                <w:sz w:val="16"/>
                <w:szCs w:val="16"/>
                <w:b w:val="1"/>
                <w:bCs w:val="1"/>
                <w:color w:val="FFFFFF"/>
              </w:rPr>
              <w:t>Total</w:t>
            </w:r>
          </w:p>
        </w:tc>
      </w:tr>
      <w:tr>
        <w:trPr>
          <w:trHeight w:val="198"/>
        </w:trPr>
        <w:tc>
          <w:tcPr>
            <w:tcW w:w="45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Segment Revenues</w:t>
            </w:r>
          </w:p>
        </w:tc>
        <w:tc>
          <w:tcPr>
            <w:tcW w:w="42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740" w:type="dxa"/>
            <w:vAlign w:val="bottom"/>
            <w:tcBorders>
              <w:right w:val="single" w:sz="8" w:color="007CBA"/>
            </w:tcBorders>
          </w:tcPr>
          <w:p>
            <w:pPr>
              <w:jc w:val="right"/>
              <w:ind w:right="79"/>
              <w:spacing w:after="0" w:line="193" w:lineRule="exact"/>
              <w:rPr>
                <w:sz w:val="20"/>
                <w:szCs w:val="20"/>
                <w:color w:val="auto"/>
              </w:rPr>
            </w:pPr>
            <w:r>
              <w:rPr>
                <w:rFonts w:ascii="Calibri" w:cs="Calibri" w:eastAsia="Calibri" w:hAnsi="Calibri"/>
                <w:sz w:val="16"/>
                <w:szCs w:val="16"/>
                <w:color w:val="auto"/>
              </w:rPr>
              <w:t>2,468</w:t>
            </w:r>
          </w:p>
        </w:tc>
        <w:tc>
          <w:tcPr>
            <w:tcW w:w="42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70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3,389</w:t>
            </w:r>
          </w:p>
        </w:tc>
        <w:tc>
          <w:tcPr>
            <w:tcW w:w="460" w:type="dxa"/>
            <w:vAlign w:val="bottom"/>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6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304</w:t>
            </w:r>
          </w:p>
        </w:tc>
        <w:tc>
          <w:tcPr>
            <w:tcW w:w="2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6,161</w:t>
            </w:r>
          </w:p>
        </w:tc>
        <w:tc>
          <w:tcPr>
            <w:tcW w:w="460" w:type="dxa"/>
            <w:vAlign w:val="bottom"/>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6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6,161</w:t>
            </w:r>
          </w:p>
        </w:tc>
      </w:tr>
      <w:tr>
        <w:trPr>
          <w:trHeight w:val="207"/>
        </w:trPr>
        <w:tc>
          <w:tcPr>
            <w:tcW w:w="4500" w:type="dxa"/>
            <w:vAlign w:val="bottom"/>
            <w:tcBorders>
              <w:right w:val="single" w:sz="8" w:color="007CBA"/>
            </w:tcBorders>
            <w:shd w:val="clear" w:color="auto" w:fill="E5F1F8"/>
          </w:tcPr>
          <w:p>
            <w:pPr>
              <w:ind w:left="120"/>
              <w:spacing w:after="0"/>
              <w:rPr>
                <w:sz w:val="20"/>
                <w:szCs w:val="20"/>
                <w:color w:val="auto"/>
              </w:rPr>
            </w:pPr>
            <w:r>
              <w:rPr>
                <w:rFonts w:ascii="Calibri" w:cs="Calibri" w:eastAsia="Calibri" w:hAnsi="Calibri"/>
                <w:sz w:val="16"/>
                <w:szCs w:val="16"/>
                <w:color w:val="auto"/>
              </w:rPr>
              <w:t>Less:</w:t>
            </w:r>
          </w:p>
        </w:tc>
        <w:tc>
          <w:tcPr>
            <w:tcW w:w="42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spacing w:after="0"/>
              <w:rPr>
                <w:sz w:val="18"/>
                <w:szCs w:val="18"/>
                <w:color w:val="auto"/>
              </w:rPr>
            </w:pPr>
          </w:p>
        </w:tc>
        <w:tc>
          <w:tcPr>
            <w:tcW w:w="420" w:type="dxa"/>
            <w:vAlign w:val="bottom"/>
            <w:shd w:val="clear" w:color="auto" w:fill="E5F1F8"/>
          </w:tcPr>
          <w:p>
            <w:pPr>
              <w:spacing w:after="0"/>
              <w:rPr>
                <w:sz w:val="18"/>
                <w:szCs w:val="18"/>
                <w:color w:val="auto"/>
              </w:rPr>
            </w:pPr>
          </w:p>
        </w:tc>
        <w:tc>
          <w:tcPr>
            <w:tcW w:w="700" w:type="dxa"/>
            <w:vAlign w:val="bottom"/>
            <w:tcBorders>
              <w:right w:val="single" w:sz="8" w:color="007CBA"/>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spacing w:after="0"/>
              <w:rPr>
                <w:sz w:val="18"/>
                <w:szCs w:val="18"/>
                <w:color w:val="auto"/>
              </w:rPr>
            </w:pP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spacing w:after="0"/>
              <w:rPr>
                <w:sz w:val="18"/>
                <w:szCs w:val="18"/>
                <w:color w:val="auto"/>
              </w:rPr>
            </w:pPr>
          </w:p>
        </w:tc>
        <w:tc>
          <w:tcPr>
            <w:tcW w:w="3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r>
      <w:tr>
        <w:trPr>
          <w:trHeight w:val="198"/>
        </w:trPr>
        <w:tc>
          <w:tcPr>
            <w:tcW w:w="4500" w:type="dxa"/>
            <w:vAlign w:val="bottom"/>
            <w:tcBorders>
              <w:right w:val="single" w:sz="8" w:color="007CBA"/>
            </w:tcBorders>
          </w:tcPr>
          <w:p>
            <w:pPr>
              <w:ind w:left="200"/>
              <w:spacing w:after="0" w:line="193" w:lineRule="exact"/>
              <w:rPr>
                <w:sz w:val="20"/>
                <w:szCs w:val="20"/>
                <w:color w:val="auto"/>
              </w:rPr>
            </w:pPr>
            <w:r>
              <w:rPr>
                <w:rFonts w:ascii="Calibri" w:cs="Calibri" w:eastAsia="Calibri" w:hAnsi="Calibri"/>
                <w:sz w:val="16"/>
                <w:szCs w:val="16"/>
                <w:color w:val="auto"/>
              </w:rPr>
              <w:t>Labor and benefts expense</w:t>
            </w:r>
          </w:p>
        </w:tc>
        <w:tc>
          <w:tcPr>
            <w:tcW w:w="420" w:type="dxa"/>
            <w:vAlign w:val="bottom"/>
          </w:tcPr>
          <w:p>
            <w:pPr>
              <w:spacing w:after="0"/>
              <w:rPr>
                <w:sz w:val="17"/>
                <w:szCs w:val="17"/>
                <w:color w:val="auto"/>
              </w:rPr>
            </w:pPr>
          </w:p>
        </w:tc>
        <w:tc>
          <w:tcPr>
            <w:tcW w:w="740" w:type="dxa"/>
            <w:vAlign w:val="bottom"/>
            <w:tcBorders>
              <w:right w:val="single" w:sz="8" w:color="007CBA"/>
            </w:tcBorders>
          </w:tcPr>
          <w:p>
            <w:pPr>
              <w:jc w:val="right"/>
              <w:ind w:right="79"/>
              <w:spacing w:after="0" w:line="193" w:lineRule="exact"/>
              <w:rPr>
                <w:sz w:val="20"/>
                <w:szCs w:val="20"/>
                <w:color w:val="auto"/>
              </w:rPr>
            </w:pPr>
            <w:r>
              <w:rPr>
                <w:rFonts w:ascii="Calibri" w:cs="Calibri" w:eastAsia="Calibri" w:hAnsi="Calibri"/>
                <w:sz w:val="16"/>
                <w:szCs w:val="16"/>
                <w:color w:val="auto"/>
              </w:rPr>
              <w:t>340</w:t>
            </w:r>
          </w:p>
        </w:tc>
        <w:tc>
          <w:tcPr>
            <w:tcW w:w="420" w:type="dxa"/>
            <w:vAlign w:val="bottom"/>
          </w:tcPr>
          <w:p>
            <w:pPr>
              <w:spacing w:after="0"/>
              <w:rPr>
                <w:sz w:val="17"/>
                <w:szCs w:val="17"/>
                <w:color w:val="auto"/>
              </w:rPr>
            </w:pPr>
          </w:p>
        </w:tc>
        <w:tc>
          <w:tcPr>
            <w:tcW w:w="70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428</w:t>
            </w:r>
          </w:p>
        </w:tc>
        <w:tc>
          <w:tcPr>
            <w:tcW w:w="460" w:type="dxa"/>
            <w:vAlign w:val="bottom"/>
          </w:tcPr>
          <w:p>
            <w:pPr>
              <w:spacing w:after="0"/>
              <w:rPr>
                <w:sz w:val="17"/>
                <w:szCs w:val="17"/>
                <w:color w:val="auto"/>
              </w:rPr>
            </w:pPr>
          </w:p>
        </w:tc>
        <w:tc>
          <w:tcPr>
            <w:tcW w:w="6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35</w:t>
            </w: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803</w:t>
            </w:r>
          </w:p>
        </w:tc>
        <w:tc>
          <w:tcPr>
            <w:tcW w:w="460" w:type="dxa"/>
            <w:vAlign w:val="bottom"/>
          </w:tcPr>
          <w:p>
            <w:pPr>
              <w:spacing w:after="0"/>
              <w:rPr>
                <w:sz w:val="17"/>
                <w:szCs w:val="17"/>
                <w:color w:val="auto"/>
              </w:rPr>
            </w:pPr>
          </w:p>
        </w:tc>
        <w:tc>
          <w:tcPr>
            <w:tcW w:w="6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8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803</w:t>
            </w:r>
          </w:p>
        </w:tc>
      </w:tr>
      <w:tr>
        <w:trPr>
          <w:trHeight w:val="207"/>
        </w:trPr>
        <w:tc>
          <w:tcPr>
            <w:tcW w:w="4500" w:type="dxa"/>
            <w:vAlign w:val="bottom"/>
            <w:tcBorders>
              <w:right w:val="single" w:sz="8" w:color="007CBA"/>
            </w:tcBorders>
            <w:shd w:val="clear" w:color="auto" w:fill="E5F1F8"/>
          </w:tcPr>
          <w:p>
            <w:pPr>
              <w:ind w:left="200"/>
              <w:spacing w:after="0"/>
              <w:rPr>
                <w:sz w:val="20"/>
                <w:szCs w:val="20"/>
                <w:color w:val="auto"/>
              </w:rPr>
            </w:pPr>
            <w:r>
              <w:rPr>
                <w:rFonts w:ascii="Calibri" w:cs="Calibri" w:eastAsia="Calibri" w:hAnsi="Calibri"/>
                <w:sz w:val="16"/>
                <w:szCs w:val="16"/>
                <w:color w:val="auto"/>
              </w:rPr>
              <w:t>Raw materials expense</w:t>
            </w:r>
          </w:p>
        </w:tc>
        <w:tc>
          <w:tcPr>
            <w:tcW w:w="42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ind w:right="79"/>
              <w:spacing w:after="0"/>
              <w:rPr>
                <w:sz w:val="20"/>
                <w:szCs w:val="20"/>
                <w:color w:val="auto"/>
              </w:rPr>
            </w:pPr>
            <w:r>
              <w:rPr>
                <w:rFonts w:ascii="Calibri" w:cs="Calibri" w:eastAsia="Calibri" w:hAnsi="Calibri"/>
                <w:sz w:val="16"/>
                <w:szCs w:val="16"/>
                <w:color w:val="auto"/>
              </w:rPr>
              <w:t>118</w:t>
            </w:r>
          </w:p>
        </w:tc>
        <w:tc>
          <w:tcPr>
            <w:tcW w:w="420" w:type="dxa"/>
            <w:vAlign w:val="bottom"/>
            <w:shd w:val="clear" w:color="auto" w:fill="E5F1F8"/>
          </w:tcPr>
          <w:p>
            <w:pPr>
              <w:spacing w:after="0"/>
              <w:rPr>
                <w:sz w:val="18"/>
                <w:szCs w:val="18"/>
                <w:color w:val="auto"/>
              </w:rPr>
            </w:pPr>
          </w:p>
        </w:tc>
        <w:tc>
          <w:tcPr>
            <w:tcW w:w="70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568</w:t>
            </w:r>
          </w:p>
        </w:tc>
        <w:tc>
          <w:tcPr>
            <w:tcW w:w="460" w:type="dxa"/>
            <w:vAlign w:val="bottom"/>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27</w:t>
            </w: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713</w:t>
            </w:r>
          </w:p>
        </w:tc>
        <w:tc>
          <w:tcPr>
            <w:tcW w:w="460" w:type="dxa"/>
            <w:vAlign w:val="bottom"/>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w:t>
            </w:r>
          </w:p>
        </w:tc>
        <w:tc>
          <w:tcPr>
            <w:tcW w:w="300" w:type="dxa"/>
            <w:vAlign w:val="bottom"/>
            <w:shd w:val="clear" w:color="auto" w:fill="E5F1F8"/>
          </w:tcPr>
          <w:p>
            <w:pPr>
              <w:spacing w:after="0"/>
              <w:rPr>
                <w:sz w:val="18"/>
                <w:szCs w:val="18"/>
                <w:color w:val="auto"/>
              </w:rPr>
            </w:pPr>
          </w:p>
        </w:tc>
        <w:tc>
          <w:tcPr>
            <w:tcW w:w="80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713</w:t>
            </w:r>
          </w:p>
        </w:tc>
      </w:tr>
      <w:tr>
        <w:trPr>
          <w:trHeight w:val="198"/>
        </w:trPr>
        <w:tc>
          <w:tcPr>
            <w:tcW w:w="4500" w:type="dxa"/>
            <w:vAlign w:val="bottom"/>
            <w:tcBorders>
              <w:right w:val="single" w:sz="8" w:color="007CBA"/>
            </w:tcBorders>
          </w:tcPr>
          <w:p>
            <w:pPr>
              <w:ind w:left="200"/>
              <w:spacing w:after="0" w:line="193" w:lineRule="exact"/>
              <w:rPr>
                <w:sz w:val="20"/>
                <w:szCs w:val="20"/>
                <w:color w:val="auto"/>
              </w:rPr>
            </w:pPr>
            <w:r>
              <w:rPr>
                <w:rFonts w:ascii="Calibri" w:cs="Calibri" w:eastAsia="Calibri" w:hAnsi="Calibri"/>
                <w:sz w:val="16"/>
                <w:szCs w:val="16"/>
                <w:color w:val="auto"/>
              </w:rPr>
              <w:t>Depreciaton, depleton and amortzaton expense</w:t>
            </w:r>
          </w:p>
        </w:tc>
        <w:tc>
          <w:tcPr>
            <w:tcW w:w="420" w:type="dxa"/>
            <w:vAlign w:val="bottom"/>
          </w:tcPr>
          <w:p>
            <w:pPr>
              <w:spacing w:after="0"/>
              <w:rPr>
                <w:sz w:val="17"/>
                <w:szCs w:val="17"/>
                <w:color w:val="auto"/>
              </w:rPr>
            </w:pPr>
          </w:p>
        </w:tc>
        <w:tc>
          <w:tcPr>
            <w:tcW w:w="740" w:type="dxa"/>
            <w:vAlign w:val="bottom"/>
            <w:tcBorders>
              <w:right w:val="single" w:sz="8" w:color="007CBA"/>
            </w:tcBorders>
          </w:tcPr>
          <w:p>
            <w:pPr>
              <w:jc w:val="right"/>
              <w:ind w:right="79"/>
              <w:spacing w:after="0" w:line="193" w:lineRule="exact"/>
              <w:rPr>
                <w:sz w:val="20"/>
                <w:szCs w:val="20"/>
                <w:color w:val="auto"/>
              </w:rPr>
            </w:pPr>
            <w:r>
              <w:rPr>
                <w:rFonts w:ascii="Calibri" w:cs="Calibri" w:eastAsia="Calibri" w:hAnsi="Calibri"/>
                <w:sz w:val="16"/>
                <w:szCs w:val="16"/>
                <w:color w:val="auto"/>
              </w:rPr>
              <w:t>205</w:t>
            </w:r>
          </w:p>
        </w:tc>
        <w:tc>
          <w:tcPr>
            <w:tcW w:w="420" w:type="dxa"/>
            <w:vAlign w:val="bottom"/>
          </w:tcPr>
          <w:p>
            <w:pPr>
              <w:spacing w:after="0"/>
              <w:rPr>
                <w:sz w:val="17"/>
                <w:szCs w:val="17"/>
                <w:color w:val="auto"/>
              </w:rPr>
            </w:pPr>
          </w:p>
        </w:tc>
        <w:tc>
          <w:tcPr>
            <w:tcW w:w="70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255</w:t>
            </w:r>
          </w:p>
        </w:tc>
        <w:tc>
          <w:tcPr>
            <w:tcW w:w="460" w:type="dxa"/>
            <w:vAlign w:val="bottom"/>
          </w:tcPr>
          <w:p>
            <w:pPr>
              <w:spacing w:after="0"/>
              <w:rPr>
                <w:sz w:val="17"/>
                <w:szCs w:val="17"/>
                <w:color w:val="auto"/>
              </w:rPr>
            </w:pPr>
          </w:p>
        </w:tc>
        <w:tc>
          <w:tcPr>
            <w:tcW w:w="6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12</w:t>
            </w: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472</w:t>
            </w:r>
          </w:p>
        </w:tc>
        <w:tc>
          <w:tcPr>
            <w:tcW w:w="460" w:type="dxa"/>
            <w:vAlign w:val="bottom"/>
          </w:tcPr>
          <w:p>
            <w:pPr>
              <w:spacing w:after="0"/>
              <w:rPr>
                <w:sz w:val="17"/>
                <w:szCs w:val="17"/>
                <w:color w:val="auto"/>
              </w:rPr>
            </w:pPr>
          </w:p>
        </w:tc>
        <w:tc>
          <w:tcPr>
            <w:tcW w:w="6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w:t>
            </w:r>
          </w:p>
        </w:tc>
        <w:tc>
          <w:tcPr>
            <w:tcW w:w="300" w:type="dxa"/>
            <w:vAlign w:val="bottom"/>
          </w:tcPr>
          <w:p>
            <w:pPr>
              <w:spacing w:after="0"/>
              <w:rPr>
                <w:sz w:val="17"/>
                <w:szCs w:val="17"/>
                <w:color w:val="auto"/>
              </w:rPr>
            </w:pPr>
          </w:p>
        </w:tc>
        <w:tc>
          <w:tcPr>
            <w:tcW w:w="8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475</w:t>
            </w:r>
          </w:p>
        </w:tc>
      </w:tr>
      <w:tr>
        <w:trPr>
          <w:trHeight w:val="207"/>
        </w:trPr>
        <w:tc>
          <w:tcPr>
            <w:tcW w:w="4500" w:type="dxa"/>
            <w:vAlign w:val="bottom"/>
            <w:tcBorders>
              <w:right w:val="single" w:sz="8" w:color="007CBA"/>
            </w:tcBorders>
            <w:shd w:val="clear" w:color="auto" w:fill="E5F1F8"/>
          </w:tcPr>
          <w:p>
            <w:pPr>
              <w:ind w:left="200"/>
              <w:spacing w:after="0"/>
              <w:rPr>
                <w:sz w:val="20"/>
                <w:szCs w:val="20"/>
                <w:color w:val="auto"/>
              </w:rPr>
            </w:pPr>
            <w:r>
              <w:rPr>
                <w:rFonts w:ascii="Calibri" w:cs="Calibri" w:eastAsia="Calibri" w:hAnsi="Calibri"/>
                <w:sz w:val="16"/>
                <w:szCs w:val="16"/>
                <w:color w:val="auto"/>
              </w:rPr>
              <w:t>Energy expense</w:t>
            </w:r>
          </w:p>
        </w:tc>
        <w:tc>
          <w:tcPr>
            <w:tcW w:w="42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ind w:right="79"/>
              <w:spacing w:after="0"/>
              <w:rPr>
                <w:sz w:val="20"/>
                <w:szCs w:val="20"/>
                <w:color w:val="auto"/>
              </w:rPr>
            </w:pPr>
            <w:r>
              <w:rPr>
                <w:rFonts w:ascii="Calibri" w:cs="Calibri" w:eastAsia="Calibri" w:hAnsi="Calibri"/>
                <w:sz w:val="16"/>
                <w:szCs w:val="16"/>
                <w:color w:val="auto"/>
              </w:rPr>
              <w:t>175</w:t>
            </w:r>
          </w:p>
        </w:tc>
        <w:tc>
          <w:tcPr>
            <w:tcW w:w="420" w:type="dxa"/>
            <w:vAlign w:val="bottom"/>
            <w:shd w:val="clear" w:color="auto" w:fill="E5F1F8"/>
          </w:tcPr>
          <w:p>
            <w:pPr>
              <w:spacing w:after="0"/>
              <w:rPr>
                <w:sz w:val="18"/>
                <w:szCs w:val="18"/>
                <w:color w:val="auto"/>
              </w:rPr>
            </w:pPr>
          </w:p>
        </w:tc>
        <w:tc>
          <w:tcPr>
            <w:tcW w:w="70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280</w:t>
            </w:r>
          </w:p>
        </w:tc>
        <w:tc>
          <w:tcPr>
            <w:tcW w:w="460" w:type="dxa"/>
            <w:vAlign w:val="bottom"/>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45</w:t>
            </w: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500</w:t>
            </w:r>
          </w:p>
        </w:tc>
        <w:tc>
          <w:tcPr>
            <w:tcW w:w="460" w:type="dxa"/>
            <w:vAlign w:val="bottom"/>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w:t>
            </w:r>
          </w:p>
        </w:tc>
        <w:tc>
          <w:tcPr>
            <w:tcW w:w="300" w:type="dxa"/>
            <w:vAlign w:val="bottom"/>
            <w:shd w:val="clear" w:color="auto" w:fill="E5F1F8"/>
          </w:tcPr>
          <w:p>
            <w:pPr>
              <w:spacing w:after="0"/>
              <w:rPr>
                <w:sz w:val="18"/>
                <w:szCs w:val="18"/>
                <w:color w:val="auto"/>
              </w:rPr>
            </w:pPr>
          </w:p>
        </w:tc>
        <w:tc>
          <w:tcPr>
            <w:tcW w:w="80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500</w:t>
            </w:r>
          </w:p>
        </w:tc>
      </w:tr>
      <w:tr>
        <w:trPr>
          <w:trHeight w:val="198"/>
        </w:trPr>
        <w:tc>
          <w:tcPr>
            <w:tcW w:w="4500" w:type="dxa"/>
            <w:vAlign w:val="bottom"/>
            <w:tcBorders>
              <w:right w:val="single" w:sz="8" w:color="007CBA"/>
            </w:tcBorders>
          </w:tcPr>
          <w:p>
            <w:pPr>
              <w:ind w:left="200"/>
              <w:spacing w:after="0" w:line="193" w:lineRule="exact"/>
              <w:rPr>
                <w:sz w:val="20"/>
                <w:szCs w:val="20"/>
                <w:color w:val="auto"/>
              </w:rPr>
            </w:pPr>
            <w:r>
              <w:rPr>
                <w:rFonts w:ascii="Calibri" w:cs="Calibri" w:eastAsia="Calibri" w:hAnsi="Calibri"/>
                <w:sz w:val="16"/>
                <w:szCs w:val="16"/>
                <w:color w:val="auto"/>
              </w:rPr>
              <w:t>External freight expense</w:t>
            </w:r>
          </w:p>
        </w:tc>
        <w:tc>
          <w:tcPr>
            <w:tcW w:w="420" w:type="dxa"/>
            <w:vAlign w:val="bottom"/>
          </w:tcPr>
          <w:p>
            <w:pPr>
              <w:spacing w:after="0"/>
              <w:rPr>
                <w:sz w:val="17"/>
                <w:szCs w:val="17"/>
                <w:color w:val="auto"/>
              </w:rPr>
            </w:pPr>
          </w:p>
        </w:tc>
        <w:tc>
          <w:tcPr>
            <w:tcW w:w="740" w:type="dxa"/>
            <w:vAlign w:val="bottom"/>
            <w:tcBorders>
              <w:right w:val="single" w:sz="8" w:color="007CBA"/>
            </w:tcBorders>
          </w:tcPr>
          <w:p>
            <w:pPr>
              <w:jc w:val="right"/>
              <w:ind w:right="79"/>
              <w:spacing w:after="0" w:line="193" w:lineRule="exact"/>
              <w:rPr>
                <w:sz w:val="20"/>
                <w:szCs w:val="20"/>
                <w:color w:val="auto"/>
              </w:rPr>
            </w:pPr>
            <w:r>
              <w:rPr>
                <w:rFonts w:ascii="Calibri" w:cs="Calibri" w:eastAsia="Calibri" w:hAnsi="Calibri"/>
                <w:sz w:val="16"/>
                <w:szCs w:val="16"/>
                <w:color w:val="auto"/>
              </w:rPr>
              <w:t>143</w:t>
            </w:r>
          </w:p>
        </w:tc>
        <w:tc>
          <w:tcPr>
            <w:tcW w:w="420" w:type="dxa"/>
            <w:vAlign w:val="bottom"/>
          </w:tcPr>
          <w:p>
            <w:pPr>
              <w:spacing w:after="0"/>
              <w:rPr>
                <w:sz w:val="17"/>
                <w:szCs w:val="17"/>
                <w:color w:val="auto"/>
              </w:rPr>
            </w:pPr>
          </w:p>
        </w:tc>
        <w:tc>
          <w:tcPr>
            <w:tcW w:w="70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259</w:t>
            </w:r>
          </w:p>
        </w:tc>
        <w:tc>
          <w:tcPr>
            <w:tcW w:w="460" w:type="dxa"/>
            <w:vAlign w:val="bottom"/>
          </w:tcPr>
          <w:p>
            <w:pPr>
              <w:spacing w:after="0"/>
              <w:rPr>
                <w:sz w:val="17"/>
                <w:szCs w:val="17"/>
                <w:color w:val="auto"/>
              </w:rPr>
            </w:pPr>
          </w:p>
        </w:tc>
        <w:tc>
          <w:tcPr>
            <w:tcW w:w="6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31</w:t>
            </w: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433</w:t>
            </w:r>
          </w:p>
        </w:tc>
        <w:tc>
          <w:tcPr>
            <w:tcW w:w="460" w:type="dxa"/>
            <w:vAlign w:val="bottom"/>
          </w:tcPr>
          <w:p>
            <w:pPr>
              <w:spacing w:after="0"/>
              <w:rPr>
                <w:sz w:val="17"/>
                <w:szCs w:val="17"/>
                <w:color w:val="auto"/>
              </w:rPr>
            </w:pPr>
          </w:p>
        </w:tc>
        <w:tc>
          <w:tcPr>
            <w:tcW w:w="6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7"/>
                <w:szCs w:val="17"/>
                <w:color w:val="auto"/>
              </w:rPr>
            </w:pPr>
          </w:p>
        </w:tc>
        <w:tc>
          <w:tcPr>
            <w:tcW w:w="8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433</w:t>
            </w:r>
          </w:p>
        </w:tc>
      </w:tr>
      <w:tr>
        <w:trPr>
          <w:trHeight w:val="207"/>
        </w:trPr>
        <w:tc>
          <w:tcPr>
            <w:tcW w:w="4500" w:type="dxa"/>
            <w:vAlign w:val="bottom"/>
            <w:tcBorders>
              <w:right w:val="single" w:sz="8" w:color="007CBA"/>
            </w:tcBorders>
            <w:shd w:val="clear" w:color="auto" w:fill="E5F1F8"/>
          </w:tcPr>
          <w:p>
            <w:pPr>
              <w:ind w:left="200"/>
              <w:spacing w:after="0"/>
              <w:rPr>
                <w:sz w:val="20"/>
                <w:szCs w:val="20"/>
                <w:color w:val="auto"/>
              </w:rPr>
            </w:pPr>
            <w:r>
              <w:rPr>
                <w:rFonts w:ascii="Calibri" w:cs="Calibri" w:eastAsia="Calibri" w:hAnsi="Calibri"/>
                <w:sz w:val="16"/>
                <w:szCs w:val="16"/>
                <w:color w:val="auto"/>
              </w:rPr>
              <w:t>Other costs of revenues</w:t>
            </w:r>
          </w:p>
        </w:tc>
        <w:tc>
          <w:tcPr>
            <w:tcW w:w="42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ind w:right="79"/>
              <w:spacing w:after="0"/>
              <w:rPr>
                <w:sz w:val="20"/>
                <w:szCs w:val="20"/>
                <w:color w:val="auto"/>
              </w:rPr>
            </w:pPr>
            <w:r>
              <w:rPr>
                <w:rFonts w:ascii="Calibri" w:cs="Calibri" w:eastAsia="Calibri" w:hAnsi="Calibri"/>
                <w:sz w:val="16"/>
                <w:szCs w:val="16"/>
                <w:color w:val="auto"/>
              </w:rPr>
              <w:t>740</w:t>
            </w:r>
          </w:p>
        </w:tc>
        <w:tc>
          <w:tcPr>
            <w:tcW w:w="420" w:type="dxa"/>
            <w:vAlign w:val="bottom"/>
            <w:shd w:val="clear" w:color="auto" w:fill="E5F1F8"/>
          </w:tcPr>
          <w:p>
            <w:pPr>
              <w:spacing w:after="0"/>
              <w:rPr>
                <w:sz w:val="18"/>
                <w:szCs w:val="18"/>
                <w:color w:val="auto"/>
              </w:rPr>
            </w:pPr>
          </w:p>
        </w:tc>
        <w:tc>
          <w:tcPr>
            <w:tcW w:w="70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1,008</w:t>
            </w:r>
          </w:p>
        </w:tc>
        <w:tc>
          <w:tcPr>
            <w:tcW w:w="460" w:type="dxa"/>
            <w:vAlign w:val="bottom"/>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63</w:t>
            </w: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1,811</w:t>
            </w:r>
          </w:p>
        </w:tc>
        <w:tc>
          <w:tcPr>
            <w:tcW w:w="460" w:type="dxa"/>
            <w:vAlign w:val="bottom"/>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3</w:t>
            </w:r>
          </w:p>
        </w:tc>
        <w:tc>
          <w:tcPr>
            <w:tcW w:w="300" w:type="dxa"/>
            <w:vAlign w:val="bottom"/>
            <w:shd w:val="clear" w:color="auto" w:fill="E5F1F8"/>
          </w:tcPr>
          <w:p>
            <w:pPr>
              <w:spacing w:after="0"/>
              <w:rPr>
                <w:sz w:val="18"/>
                <w:szCs w:val="18"/>
                <w:color w:val="auto"/>
              </w:rPr>
            </w:pPr>
          </w:p>
        </w:tc>
        <w:tc>
          <w:tcPr>
            <w:tcW w:w="80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1,814</w:t>
            </w:r>
          </w:p>
        </w:tc>
      </w:tr>
      <w:tr>
        <w:trPr>
          <w:trHeight w:val="198"/>
        </w:trPr>
        <w:tc>
          <w:tcPr>
            <w:tcW w:w="4500" w:type="dxa"/>
            <w:vAlign w:val="bottom"/>
            <w:tcBorders>
              <w:right w:val="single" w:sz="8" w:color="007CBA"/>
            </w:tcBorders>
          </w:tcPr>
          <w:p>
            <w:pPr>
              <w:ind w:left="200"/>
              <w:spacing w:after="0" w:line="193" w:lineRule="exact"/>
              <w:rPr>
                <w:sz w:val="20"/>
                <w:szCs w:val="20"/>
                <w:color w:val="auto"/>
              </w:rPr>
            </w:pPr>
            <w:r>
              <w:rPr>
                <w:rFonts w:ascii="Calibri" w:cs="Calibri" w:eastAsia="Calibri" w:hAnsi="Calibri"/>
                <w:sz w:val="16"/>
                <w:szCs w:val="16"/>
                <w:color w:val="auto"/>
              </w:rPr>
              <w:t>Selling, general and administratve expenses</w:t>
            </w:r>
          </w:p>
        </w:tc>
        <w:tc>
          <w:tcPr>
            <w:tcW w:w="420" w:type="dxa"/>
            <w:vAlign w:val="bottom"/>
          </w:tcPr>
          <w:p>
            <w:pPr>
              <w:spacing w:after="0"/>
              <w:rPr>
                <w:sz w:val="17"/>
                <w:szCs w:val="17"/>
                <w:color w:val="auto"/>
              </w:rPr>
            </w:pPr>
          </w:p>
        </w:tc>
        <w:tc>
          <w:tcPr>
            <w:tcW w:w="740" w:type="dxa"/>
            <w:vAlign w:val="bottom"/>
            <w:tcBorders>
              <w:right w:val="single" w:sz="8" w:color="007CBA"/>
            </w:tcBorders>
          </w:tcPr>
          <w:p>
            <w:pPr>
              <w:jc w:val="right"/>
              <w:ind w:right="79"/>
              <w:spacing w:after="0" w:line="193" w:lineRule="exact"/>
              <w:rPr>
                <w:sz w:val="20"/>
                <w:szCs w:val="20"/>
                <w:color w:val="auto"/>
              </w:rPr>
            </w:pPr>
            <w:r>
              <w:rPr>
                <w:rFonts w:ascii="Calibri" w:cs="Calibri" w:eastAsia="Calibri" w:hAnsi="Calibri"/>
                <w:sz w:val="16"/>
                <w:szCs w:val="16"/>
                <w:color w:val="auto"/>
              </w:rPr>
              <w:t>115</w:t>
            </w:r>
          </w:p>
        </w:tc>
        <w:tc>
          <w:tcPr>
            <w:tcW w:w="420" w:type="dxa"/>
            <w:vAlign w:val="bottom"/>
          </w:tcPr>
          <w:p>
            <w:pPr>
              <w:spacing w:after="0"/>
              <w:rPr>
                <w:sz w:val="17"/>
                <w:szCs w:val="17"/>
                <w:color w:val="auto"/>
              </w:rPr>
            </w:pPr>
          </w:p>
        </w:tc>
        <w:tc>
          <w:tcPr>
            <w:tcW w:w="70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166</w:t>
            </w:r>
          </w:p>
        </w:tc>
        <w:tc>
          <w:tcPr>
            <w:tcW w:w="460" w:type="dxa"/>
            <w:vAlign w:val="bottom"/>
          </w:tcPr>
          <w:p>
            <w:pPr>
              <w:spacing w:after="0"/>
              <w:rPr>
                <w:sz w:val="17"/>
                <w:szCs w:val="17"/>
                <w:color w:val="auto"/>
              </w:rPr>
            </w:pPr>
          </w:p>
        </w:tc>
        <w:tc>
          <w:tcPr>
            <w:tcW w:w="6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16</w:t>
            </w:r>
          </w:p>
        </w:tc>
        <w:tc>
          <w:tcPr>
            <w:tcW w:w="240" w:type="dxa"/>
            <w:vAlign w:val="bottom"/>
          </w:tcPr>
          <w:p>
            <w:pPr>
              <w:spacing w:after="0"/>
              <w:rPr>
                <w:sz w:val="17"/>
                <w:szCs w:val="17"/>
                <w:color w:val="auto"/>
              </w:rPr>
            </w:pPr>
          </w:p>
        </w:tc>
        <w:tc>
          <w:tcPr>
            <w:tcW w:w="92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297</w:t>
            </w:r>
          </w:p>
        </w:tc>
        <w:tc>
          <w:tcPr>
            <w:tcW w:w="460" w:type="dxa"/>
            <w:vAlign w:val="bottom"/>
          </w:tcPr>
          <w:p>
            <w:pPr>
              <w:spacing w:after="0"/>
              <w:rPr>
                <w:sz w:val="17"/>
                <w:szCs w:val="17"/>
                <w:color w:val="auto"/>
              </w:rPr>
            </w:pPr>
          </w:p>
        </w:tc>
        <w:tc>
          <w:tcPr>
            <w:tcW w:w="6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100</w:t>
            </w:r>
          </w:p>
        </w:tc>
        <w:tc>
          <w:tcPr>
            <w:tcW w:w="300" w:type="dxa"/>
            <w:vAlign w:val="bottom"/>
          </w:tcPr>
          <w:p>
            <w:pPr>
              <w:spacing w:after="0"/>
              <w:rPr>
                <w:sz w:val="17"/>
                <w:szCs w:val="17"/>
                <w:color w:val="auto"/>
              </w:rPr>
            </w:pPr>
          </w:p>
        </w:tc>
        <w:tc>
          <w:tcPr>
            <w:tcW w:w="8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397</w:t>
            </w:r>
          </w:p>
        </w:tc>
      </w:tr>
      <w:tr>
        <w:trPr>
          <w:trHeight w:val="207"/>
        </w:trPr>
        <w:tc>
          <w:tcPr>
            <w:tcW w:w="4500" w:type="dxa"/>
            <w:vAlign w:val="bottom"/>
            <w:tcBorders>
              <w:right w:val="single" w:sz="8" w:color="007CBA"/>
            </w:tcBorders>
            <w:shd w:val="clear" w:color="auto" w:fill="E5F1F8"/>
          </w:tcPr>
          <w:p>
            <w:pPr>
              <w:ind w:left="200"/>
              <w:spacing w:after="0"/>
              <w:rPr>
                <w:sz w:val="20"/>
                <w:szCs w:val="20"/>
                <w:color w:val="auto"/>
              </w:rPr>
            </w:pPr>
            <w:r>
              <w:rPr>
                <w:rFonts w:ascii="Calibri" w:cs="Calibri" w:eastAsia="Calibri" w:hAnsi="Calibri"/>
                <w:sz w:val="16"/>
                <w:szCs w:val="16"/>
                <w:color w:val="auto"/>
              </w:rPr>
              <w:t>Acquisiton, divestture and integraton expenses</w:t>
            </w:r>
          </w:p>
        </w:tc>
        <w:tc>
          <w:tcPr>
            <w:tcW w:w="42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ind w:right="79"/>
              <w:spacing w:after="0"/>
              <w:rPr>
                <w:sz w:val="20"/>
                <w:szCs w:val="20"/>
                <w:color w:val="auto"/>
              </w:rPr>
            </w:pPr>
            <w:r>
              <w:rPr>
                <w:rFonts w:ascii="Calibri" w:cs="Calibri" w:eastAsia="Calibri" w:hAnsi="Calibri"/>
                <w:sz w:val="16"/>
                <w:szCs w:val="16"/>
                <w:color w:val="auto"/>
              </w:rPr>
              <w:t>—</w:t>
            </w:r>
          </w:p>
        </w:tc>
        <w:tc>
          <w:tcPr>
            <w:tcW w:w="420" w:type="dxa"/>
            <w:vAlign w:val="bottom"/>
            <w:shd w:val="clear" w:color="auto" w:fill="E5F1F8"/>
          </w:tcPr>
          <w:p>
            <w:pPr>
              <w:spacing w:after="0"/>
              <w:rPr>
                <w:sz w:val="18"/>
                <w:szCs w:val="18"/>
                <w:color w:val="auto"/>
              </w:rPr>
            </w:pPr>
          </w:p>
        </w:tc>
        <w:tc>
          <w:tcPr>
            <w:tcW w:w="70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w:t>
            </w:r>
          </w:p>
        </w:tc>
        <w:tc>
          <w:tcPr>
            <w:tcW w:w="460" w:type="dxa"/>
            <w:vAlign w:val="bottom"/>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w:t>
            </w:r>
          </w:p>
        </w:tc>
        <w:tc>
          <w:tcPr>
            <w:tcW w:w="24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w:t>
            </w:r>
          </w:p>
        </w:tc>
        <w:tc>
          <w:tcPr>
            <w:tcW w:w="460" w:type="dxa"/>
            <w:vAlign w:val="bottom"/>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jc w:val="right"/>
              <w:ind w:right="59"/>
              <w:spacing w:after="0"/>
              <w:rPr>
                <w:sz w:val="20"/>
                <w:szCs w:val="20"/>
                <w:color w:val="auto"/>
              </w:rPr>
            </w:pPr>
            <w:r>
              <w:rPr>
                <w:rFonts w:ascii="Calibri" w:cs="Calibri" w:eastAsia="Calibri" w:hAnsi="Calibri"/>
                <w:sz w:val="16"/>
                <w:szCs w:val="16"/>
                <w:color w:val="auto"/>
              </w:rPr>
              <w:t>9</w:t>
            </w:r>
          </w:p>
        </w:tc>
        <w:tc>
          <w:tcPr>
            <w:tcW w:w="300" w:type="dxa"/>
            <w:vAlign w:val="bottom"/>
            <w:shd w:val="clear" w:color="auto" w:fill="E5F1F8"/>
          </w:tcPr>
          <w:p>
            <w:pPr>
              <w:spacing w:after="0"/>
              <w:rPr>
                <w:sz w:val="18"/>
                <w:szCs w:val="18"/>
                <w:color w:val="auto"/>
              </w:rPr>
            </w:pPr>
          </w:p>
        </w:tc>
        <w:tc>
          <w:tcPr>
            <w:tcW w:w="800" w:type="dxa"/>
            <w:vAlign w:val="bottom"/>
            <w:shd w:val="clear" w:color="auto" w:fill="E5F1F8"/>
          </w:tcPr>
          <w:p>
            <w:pPr>
              <w:jc w:val="right"/>
              <w:ind w:right="59"/>
              <w:spacing w:after="0"/>
              <w:rPr>
                <w:sz w:val="20"/>
                <w:szCs w:val="20"/>
                <w:color w:val="auto"/>
              </w:rPr>
            </w:pPr>
            <w:r>
              <w:rPr>
                <w:rFonts w:ascii="Calibri" w:cs="Calibri" w:eastAsia="Calibri" w:hAnsi="Calibri"/>
                <w:sz w:val="16"/>
                <w:szCs w:val="16"/>
                <w:color w:val="auto"/>
              </w:rPr>
              <w:t>9</w:t>
            </w:r>
          </w:p>
        </w:tc>
      </w:tr>
      <w:tr>
        <w:trPr>
          <w:trHeight w:val="198"/>
        </w:trPr>
        <w:tc>
          <w:tcPr>
            <w:tcW w:w="4500" w:type="dxa"/>
            <w:vAlign w:val="bottom"/>
            <w:tcBorders>
              <w:bottom w:val="single" w:sz="8" w:color="auto"/>
            </w:tcBorders>
          </w:tcPr>
          <w:p>
            <w:pPr>
              <w:ind w:left="200"/>
              <w:spacing w:after="0" w:line="193" w:lineRule="exact"/>
              <w:rPr>
                <w:sz w:val="20"/>
                <w:szCs w:val="20"/>
                <w:color w:val="auto"/>
              </w:rPr>
            </w:pPr>
            <w:r>
              <w:rPr>
                <w:rFonts w:ascii="Calibri" w:cs="Calibri" w:eastAsia="Calibri" w:hAnsi="Calibri"/>
                <w:sz w:val="16"/>
                <w:szCs w:val="16"/>
                <w:color w:val="auto"/>
              </w:rPr>
              <w:t>Other operatng income, net</w:t>
            </w: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(8 )</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(164 )</w:t>
            </w: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(1 )</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(173 )</w:t>
            </w: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(17 )</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(190 )</w:t>
            </w:r>
          </w:p>
        </w:tc>
      </w:tr>
      <w:tr>
        <w:trPr>
          <w:trHeight w:val="201"/>
        </w:trPr>
        <w:tc>
          <w:tcPr>
            <w:tcW w:w="4500" w:type="dxa"/>
            <w:vAlign w:val="bottom"/>
            <w:tcBorders>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b w:val="1"/>
                <w:bCs w:val="1"/>
                <w:color w:val="auto"/>
              </w:rPr>
              <w:t>Segment Earnings (Loss) from Operatons</w:t>
            </w:r>
          </w:p>
        </w:tc>
        <w:tc>
          <w:tcPr>
            <w:tcW w:w="420" w:type="dxa"/>
            <w:vAlign w:val="bottom"/>
            <w:shd w:val="clear" w:color="auto" w:fill="E5F1F8"/>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740" w:type="dxa"/>
            <w:vAlign w:val="bottom"/>
            <w:tcBorders>
              <w:right w:val="single" w:sz="8" w:color="007CBA"/>
            </w:tcBorders>
            <w:shd w:val="clear" w:color="auto" w:fill="E5F1F8"/>
          </w:tcPr>
          <w:p>
            <w:pPr>
              <w:jc w:val="right"/>
              <w:ind w:right="79"/>
              <w:spacing w:after="0" w:line="193" w:lineRule="exact"/>
              <w:rPr>
                <w:sz w:val="20"/>
                <w:szCs w:val="20"/>
                <w:color w:val="auto"/>
              </w:rPr>
            </w:pPr>
            <w:r>
              <w:rPr>
                <w:rFonts w:ascii="Calibri" w:cs="Calibri" w:eastAsia="Calibri" w:hAnsi="Calibri"/>
                <w:sz w:val="16"/>
                <w:szCs w:val="16"/>
                <w:color w:val="auto"/>
              </w:rPr>
              <w:t>640</w:t>
            </w:r>
          </w:p>
        </w:tc>
        <w:tc>
          <w:tcPr>
            <w:tcW w:w="420" w:type="dxa"/>
            <w:vAlign w:val="bottom"/>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700" w:type="dxa"/>
            <w:vAlign w:val="bottom"/>
            <w:tcBorders>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589</w:t>
            </w:r>
          </w:p>
        </w:tc>
        <w:tc>
          <w:tcPr>
            <w:tcW w:w="460" w:type="dxa"/>
            <w:vAlign w:val="bottom"/>
            <w:shd w:val="clear" w:color="auto" w:fill="E5F1F8"/>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640" w:type="dxa"/>
            <w:vAlign w:val="bottom"/>
            <w:tcBorders>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76</w:t>
            </w:r>
          </w:p>
        </w:tc>
        <w:tc>
          <w:tcPr>
            <w:tcW w:w="240" w:type="dxa"/>
            <w:vAlign w:val="bottom"/>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Borders>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1,305</w:t>
            </w:r>
          </w:p>
        </w:tc>
        <w:tc>
          <w:tcPr>
            <w:tcW w:w="460" w:type="dxa"/>
            <w:vAlign w:val="bottom"/>
            <w:shd w:val="clear" w:color="auto" w:fill="E5F1F8"/>
          </w:tcPr>
          <w:p>
            <w:pPr>
              <w:jc w:val="right"/>
              <w:ind w:right="179"/>
              <w:spacing w:after="0" w:line="193" w:lineRule="exact"/>
              <w:rPr>
                <w:sz w:val="20"/>
                <w:szCs w:val="20"/>
                <w:color w:val="auto"/>
              </w:rPr>
            </w:pPr>
            <w:r>
              <w:rPr>
                <w:rFonts w:ascii="Calibri" w:cs="Calibri" w:eastAsia="Calibri" w:hAnsi="Calibri"/>
                <w:sz w:val="16"/>
                <w:szCs w:val="16"/>
                <w:color w:val="auto"/>
              </w:rPr>
              <w:t>$</w:t>
            </w:r>
          </w:p>
        </w:tc>
        <w:tc>
          <w:tcPr>
            <w:tcW w:w="640" w:type="dxa"/>
            <w:vAlign w:val="bottom"/>
            <w:tcBorders>
              <w:right w:val="single" w:sz="8" w:color="007CBA"/>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(98 )</w:t>
            </w:r>
          </w:p>
        </w:tc>
        <w:tc>
          <w:tcPr>
            <w:tcW w:w="300" w:type="dxa"/>
            <w:vAlign w:val="bottom"/>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800" w:type="dxa"/>
            <w:vAlign w:val="bottom"/>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1,207</w:t>
            </w:r>
          </w:p>
        </w:tc>
      </w:tr>
      <w:tr>
        <w:trPr>
          <w:trHeight w:val="203"/>
        </w:trPr>
        <w:tc>
          <w:tcPr>
            <w:tcW w:w="45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Interest expense</w:t>
            </w:r>
          </w:p>
        </w:tc>
        <w:tc>
          <w:tcPr>
            <w:tcW w:w="420" w:type="dxa"/>
            <w:vAlign w:val="bottom"/>
          </w:tcPr>
          <w:p>
            <w:pPr>
              <w:spacing w:after="0"/>
              <w:rPr>
                <w:sz w:val="17"/>
                <w:szCs w:val="17"/>
                <w:color w:val="auto"/>
              </w:rPr>
            </w:pPr>
          </w:p>
        </w:tc>
        <w:tc>
          <w:tcPr>
            <w:tcW w:w="740" w:type="dxa"/>
            <w:vAlign w:val="bottom"/>
            <w:tcBorders>
              <w:right w:val="single" w:sz="8" w:color="007CBA"/>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right w:val="single" w:sz="8" w:color="007CBA"/>
            </w:tcBorders>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169</w:t>
            </w:r>
          </w:p>
        </w:tc>
      </w:tr>
      <w:tr>
        <w:trPr>
          <w:trHeight w:val="198"/>
        </w:trPr>
        <w:tc>
          <w:tcPr>
            <w:tcW w:w="4500" w:type="dxa"/>
            <w:vAlign w:val="bottom"/>
            <w:tcBorders>
              <w:bottom w:val="single" w:sz="8" w:color="auto"/>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Other nonoperatng income, net</w:t>
            </w:r>
          </w:p>
        </w:tc>
        <w:tc>
          <w:tcPr>
            <w:tcW w:w="420" w:type="dxa"/>
            <w:vAlign w:val="bottom"/>
            <w:tcBorders>
              <w:bottom w:val="single" w:sz="8" w:color="auto"/>
            </w:tcBorders>
            <w:shd w:val="clear" w:color="auto" w:fill="E5F1F8"/>
          </w:tcPr>
          <w:p>
            <w:pPr>
              <w:spacing w:after="0"/>
              <w:rPr>
                <w:sz w:val="17"/>
                <w:szCs w:val="17"/>
                <w:color w:val="auto"/>
              </w:rPr>
            </w:pPr>
          </w:p>
        </w:tc>
        <w:tc>
          <w:tcPr>
            <w:tcW w:w="740" w:type="dxa"/>
            <w:vAlign w:val="bottom"/>
            <w:tcBorders>
              <w:bottom w:val="single" w:sz="8" w:color="auto"/>
              <w:right w:val="single" w:sz="8" w:color="E5F1F8"/>
            </w:tcBorders>
            <w:shd w:val="clear" w:color="auto" w:fill="E5F1F8"/>
          </w:tcPr>
          <w:p>
            <w:pPr>
              <w:spacing w:after="0"/>
              <w:rPr>
                <w:sz w:val="17"/>
                <w:szCs w:val="17"/>
                <w:color w:val="auto"/>
              </w:rPr>
            </w:pPr>
          </w:p>
        </w:tc>
        <w:tc>
          <w:tcPr>
            <w:tcW w:w="420" w:type="dxa"/>
            <w:vAlign w:val="bottom"/>
            <w:tcBorders>
              <w:bottom w:val="single" w:sz="8" w:color="auto"/>
            </w:tcBorders>
            <w:shd w:val="clear" w:color="auto" w:fill="E5F1F8"/>
          </w:tcPr>
          <w:p>
            <w:pPr>
              <w:spacing w:after="0"/>
              <w:rPr>
                <w:sz w:val="17"/>
                <w:szCs w:val="17"/>
                <w:color w:val="auto"/>
              </w:rPr>
            </w:pPr>
          </w:p>
        </w:tc>
        <w:tc>
          <w:tcPr>
            <w:tcW w:w="700" w:type="dxa"/>
            <w:vAlign w:val="bottom"/>
            <w:tcBorders>
              <w:bottom w:val="single" w:sz="8" w:color="auto"/>
              <w:right w:val="single" w:sz="8" w:color="E5F1F8"/>
            </w:tcBorders>
            <w:shd w:val="clear" w:color="auto" w:fill="E5F1F8"/>
          </w:tcPr>
          <w:p>
            <w:pPr>
              <w:spacing w:after="0"/>
              <w:rPr>
                <w:sz w:val="17"/>
                <w:szCs w:val="17"/>
                <w:color w:val="auto"/>
              </w:rPr>
            </w:pPr>
          </w:p>
        </w:tc>
        <w:tc>
          <w:tcPr>
            <w:tcW w:w="460" w:type="dxa"/>
            <w:vAlign w:val="bottom"/>
            <w:tcBorders>
              <w:bottom w:val="single" w:sz="8" w:color="auto"/>
            </w:tcBorders>
            <w:shd w:val="clear" w:color="auto" w:fill="E5F1F8"/>
          </w:tcPr>
          <w:p>
            <w:pPr>
              <w:spacing w:after="0"/>
              <w:rPr>
                <w:sz w:val="17"/>
                <w:szCs w:val="17"/>
                <w:color w:val="auto"/>
              </w:rPr>
            </w:pPr>
          </w:p>
        </w:tc>
        <w:tc>
          <w:tcPr>
            <w:tcW w:w="640" w:type="dxa"/>
            <w:vAlign w:val="bottom"/>
            <w:tcBorders>
              <w:bottom w:val="single" w:sz="8" w:color="auto"/>
              <w:right w:val="single" w:sz="8" w:color="E5F1F8"/>
            </w:tcBorders>
            <w:shd w:val="clear" w:color="auto" w:fill="E5F1F8"/>
          </w:tcPr>
          <w:p>
            <w:pPr>
              <w:spacing w:after="0"/>
              <w:rPr>
                <w:sz w:val="17"/>
                <w:szCs w:val="17"/>
                <w:color w:val="auto"/>
              </w:rPr>
            </w:pPr>
          </w:p>
        </w:tc>
        <w:tc>
          <w:tcPr>
            <w:tcW w:w="240" w:type="dxa"/>
            <w:vAlign w:val="bottom"/>
            <w:tcBorders>
              <w:bottom w:val="single" w:sz="8" w:color="auto"/>
            </w:tcBorders>
            <w:shd w:val="clear" w:color="auto" w:fill="E5F1F8"/>
          </w:tcPr>
          <w:p>
            <w:pPr>
              <w:spacing w:after="0"/>
              <w:rPr>
                <w:sz w:val="17"/>
                <w:szCs w:val="17"/>
                <w:color w:val="auto"/>
              </w:rPr>
            </w:pPr>
          </w:p>
        </w:tc>
        <w:tc>
          <w:tcPr>
            <w:tcW w:w="920" w:type="dxa"/>
            <w:vAlign w:val="bottom"/>
            <w:tcBorders>
              <w:bottom w:val="single" w:sz="8" w:color="auto"/>
              <w:right w:val="single" w:sz="8" w:color="E5F1F8"/>
            </w:tcBorders>
            <w:shd w:val="clear" w:color="auto" w:fill="E5F1F8"/>
          </w:tcPr>
          <w:p>
            <w:pPr>
              <w:spacing w:after="0"/>
              <w:rPr>
                <w:sz w:val="17"/>
                <w:szCs w:val="17"/>
                <w:color w:val="auto"/>
              </w:rPr>
            </w:pPr>
          </w:p>
        </w:tc>
        <w:tc>
          <w:tcPr>
            <w:tcW w:w="460" w:type="dxa"/>
            <w:vAlign w:val="bottom"/>
            <w:tcBorders>
              <w:bottom w:val="single" w:sz="8" w:color="auto"/>
            </w:tcBorders>
            <w:shd w:val="clear" w:color="auto" w:fill="E5F1F8"/>
          </w:tcPr>
          <w:p>
            <w:pPr>
              <w:spacing w:after="0"/>
              <w:rPr>
                <w:sz w:val="17"/>
                <w:szCs w:val="17"/>
                <w:color w:val="auto"/>
              </w:rPr>
            </w:pPr>
          </w:p>
        </w:tc>
        <w:tc>
          <w:tcPr>
            <w:tcW w:w="640" w:type="dxa"/>
            <w:vAlign w:val="bottom"/>
            <w:tcBorders>
              <w:bottom w:val="single" w:sz="8" w:color="auto"/>
              <w:right w:val="single" w:sz="8" w:color="E5F1F8"/>
            </w:tcBorders>
            <w:shd w:val="clear" w:color="auto" w:fill="E5F1F8"/>
          </w:tcPr>
          <w:p>
            <w:pPr>
              <w:spacing w:after="0"/>
              <w:rPr>
                <w:sz w:val="17"/>
                <w:szCs w:val="17"/>
                <w:color w:val="auto"/>
              </w:rPr>
            </w:pPr>
          </w:p>
        </w:tc>
        <w:tc>
          <w:tcPr>
            <w:tcW w:w="300" w:type="dxa"/>
            <w:vAlign w:val="bottom"/>
            <w:tcBorders>
              <w:bottom w:val="single" w:sz="8" w:color="auto"/>
            </w:tcBorders>
            <w:shd w:val="clear" w:color="auto" w:fill="E5F1F8"/>
          </w:tcPr>
          <w:p>
            <w:pPr>
              <w:spacing w:after="0"/>
              <w:rPr>
                <w:sz w:val="17"/>
                <w:szCs w:val="17"/>
                <w:color w:val="auto"/>
              </w:rPr>
            </w:pPr>
          </w:p>
        </w:tc>
        <w:tc>
          <w:tcPr>
            <w:tcW w:w="800" w:type="dxa"/>
            <w:vAlign w:val="bottom"/>
            <w:tcBorders>
              <w:bottom w:val="single" w:sz="8" w:color="auto"/>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(53 )</w:t>
            </w:r>
          </w:p>
        </w:tc>
      </w:tr>
      <w:tr>
        <w:trPr>
          <w:trHeight w:val="182"/>
        </w:trPr>
        <w:tc>
          <w:tcPr>
            <w:tcW w:w="4500" w:type="dxa"/>
            <w:vAlign w:val="bottom"/>
          </w:tcPr>
          <w:p>
            <w:pPr>
              <w:ind w:left="120"/>
              <w:spacing w:after="0" w:line="182" w:lineRule="exact"/>
              <w:rPr>
                <w:sz w:val="20"/>
                <w:szCs w:val="20"/>
                <w:color w:val="auto"/>
              </w:rPr>
            </w:pPr>
            <w:r>
              <w:rPr>
                <w:rFonts w:ascii="Calibri" w:cs="Calibri" w:eastAsia="Calibri" w:hAnsi="Calibri"/>
                <w:sz w:val="16"/>
                <w:szCs w:val="16"/>
                <w:b w:val="1"/>
                <w:bCs w:val="1"/>
                <w:color w:val="auto"/>
              </w:rPr>
              <w:t>Consolidated earnings from contnuing operatons</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3"/>
        </w:trPr>
        <w:tc>
          <w:tcPr>
            <w:tcW w:w="4500" w:type="dxa"/>
            <w:vAlign w:val="bottom"/>
          </w:tcPr>
          <w:p>
            <w:pPr>
              <w:ind w:left="260"/>
              <w:spacing w:after="0" w:line="193" w:lineRule="exact"/>
              <w:rPr>
                <w:sz w:val="20"/>
                <w:szCs w:val="20"/>
                <w:color w:val="auto"/>
              </w:rPr>
            </w:pPr>
            <w:r>
              <w:rPr>
                <w:rFonts w:ascii="Calibri" w:cs="Calibri" w:eastAsia="Calibri" w:hAnsi="Calibri"/>
                <w:sz w:val="16"/>
                <w:szCs w:val="16"/>
                <w:b w:val="1"/>
                <w:bCs w:val="1"/>
                <w:color w:val="auto"/>
              </w:rPr>
              <w:t>before income tax expense</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8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1,091</w:t>
            </w:r>
          </w:p>
        </w:tc>
      </w:tr>
      <w:tr>
        <w:trPr>
          <w:trHeight w:val="28"/>
        </w:trPr>
        <w:tc>
          <w:tcPr>
            <w:tcW w:w="4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-826770</wp:posOffset>
            </wp:positionV>
            <wp:extent cx="34290" cy="1625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-826770</wp:posOffset>
            </wp:positionV>
            <wp:extent cx="33655" cy="16256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-826770</wp:posOffset>
            </wp:positionV>
            <wp:extent cx="33655" cy="16256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-826770</wp:posOffset>
            </wp:positionV>
            <wp:extent cx="33655" cy="16256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-826770</wp:posOffset>
            </wp:positionV>
            <wp:extent cx="34290" cy="16256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6412865</wp:posOffset>
            </wp:positionH>
            <wp:positionV relativeFrom="paragraph">
              <wp:posOffset>-826770</wp:posOffset>
            </wp:positionV>
            <wp:extent cx="34290" cy="16256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34290" cy="16256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-432435</wp:posOffset>
            </wp:positionV>
            <wp:extent cx="34290" cy="44577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34290" cy="44577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-432435</wp:posOffset>
            </wp:positionV>
            <wp:extent cx="33655" cy="44577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-432435</wp:posOffset>
            </wp:positionV>
            <wp:extent cx="33655" cy="44577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-432435</wp:posOffset>
            </wp:positionV>
            <wp:extent cx="33655" cy="44577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33655" cy="44577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-432435</wp:posOffset>
            </wp:positionV>
            <wp:extent cx="34290" cy="44577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34290" cy="445770"/>
                    </a:xfrm>
                    <a:prstGeom prst="rect">
                      <a:avLst/>
                    </a:prstGeom>
                    <a:noFill/>
                  </pic:spPr>
                </pic:pic>
              </a:graphicData>
            </a:graphic>
          </wp:anchor>
        </w:drawing>
        <w:drawing>
          <wp:anchor simplePos="0" relativeHeight="251657728" behindDoc="1" locked="0" layoutInCell="0" allowOverlap="1">
            <wp:simplePos x="0" y="0"/>
            <wp:positionH relativeFrom="column">
              <wp:posOffset>6412865</wp:posOffset>
            </wp:positionH>
            <wp:positionV relativeFrom="paragraph">
              <wp:posOffset>-432435</wp:posOffset>
            </wp:positionV>
            <wp:extent cx="34290" cy="44577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34290" cy="44577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Assets employed by segment include assets directly identfed with those operatons. Corporate assets consist primarily of cash, cash equivalents and restricted cash; property, plant and equipment for corporate operatons; and other assets not directly identfable with a reportable segment.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2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380" w:type="dxa"/>
            <w:vAlign w:val="bottom"/>
            <w:tcBorders>
              <w:right w:val="single" w:sz="8" w:color="007CBA"/>
            </w:tcBorders>
            <w:shd w:val="clear" w:color="auto" w:fill="007CBA"/>
          </w:tcPr>
          <w:p>
            <w:pPr>
              <w:spacing w:after="0"/>
              <w:rPr>
                <w:sz w:val="19"/>
                <w:szCs w:val="19"/>
                <w:color w:val="auto"/>
              </w:rPr>
            </w:pPr>
          </w:p>
        </w:tc>
        <w:tc>
          <w:tcPr>
            <w:tcW w:w="660" w:type="dxa"/>
            <w:vAlign w:val="bottom"/>
            <w:tcBorders>
              <w:right w:val="single" w:sz="8" w:color="007CBA"/>
            </w:tcBorders>
            <w:shd w:val="clear" w:color="auto" w:fill="007CBA"/>
          </w:tcPr>
          <w:p>
            <w:pPr>
              <w:spacing w:after="0"/>
              <w:rPr>
                <w:sz w:val="19"/>
                <w:szCs w:val="19"/>
                <w:color w:val="auto"/>
              </w:rPr>
            </w:pPr>
          </w:p>
        </w:tc>
        <w:tc>
          <w:tcPr>
            <w:tcW w:w="180" w:type="dxa"/>
            <w:vAlign w:val="bottom"/>
            <w:shd w:val="clear" w:color="auto" w:fill="007CBA"/>
          </w:tcPr>
          <w:p>
            <w:pPr>
              <w:spacing w:after="0"/>
              <w:rPr>
                <w:sz w:val="19"/>
                <w:szCs w:val="19"/>
                <w:color w:val="auto"/>
              </w:rPr>
            </w:pPr>
          </w:p>
        </w:tc>
        <w:tc>
          <w:tcPr>
            <w:tcW w:w="10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740" w:type="dxa"/>
            <w:vAlign w:val="bottom"/>
            <w:tcBorders>
              <w:right w:val="single" w:sz="8" w:color="007CBA"/>
            </w:tcBorders>
            <w:shd w:val="clear" w:color="auto" w:fill="007CBA"/>
          </w:tcPr>
          <w:p>
            <w:pPr>
              <w:spacing w:after="0"/>
              <w:rPr>
                <w:sz w:val="19"/>
                <w:szCs w:val="19"/>
                <w:color w:val="auto"/>
              </w:rPr>
            </w:pPr>
          </w:p>
        </w:tc>
        <w:tc>
          <w:tcPr>
            <w:tcW w:w="320" w:type="dxa"/>
            <w:vAlign w:val="bottom"/>
            <w:tcBorders>
              <w:right w:val="single" w:sz="8" w:color="007CBA"/>
            </w:tcBorders>
            <w:shd w:val="clear" w:color="auto" w:fill="007CBA"/>
          </w:tcPr>
          <w:p>
            <w:pPr>
              <w:spacing w:after="0"/>
              <w:rPr>
                <w:sz w:val="19"/>
                <w:szCs w:val="19"/>
                <w:color w:val="auto"/>
              </w:rPr>
            </w:pPr>
          </w:p>
        </w:tc>
        <w:tc>
          <w:tcPr>
            <w:tcW w:w="16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240" w:type="dxa"/>
            <w:vAlign w:val="bottom"/>
            <w:tcBorders>
              <w:right w:val="single" w:sz="8" w:color="007CBA"/>
            </w:tcBorders>
            <w:shd w:val="clear" w:color="auto" w:fill="007CBA"/>
          </w:tcPr>
          <w:p>
            <w:pPr>
              <w:spacing w:after="0"/>
              <w:rPr>
                <w:sz w:val="19"/>
                <w:szCs w:val="19"/>
                <w:color w:val="auto"/>
              </w:rPr>
            </w:pPr>
          </w:p>
        </w:tc>
      </w:tr>
      <w:tr>
        <w:trPr>
          <w:trHeight w:val="215"/>
        </w:trPr>
        <w:tc>
          <w:tcPr>
            <w:tcW w:w="592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2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380" w:type="dxa"/>
            <w:vAlign w:val="bottom"/>
            <w:tcBorders>
              <w:right w:val="single" w:sz="8" w:color="007CBA"/>
            </w:tcBorders>
            <w:shd w:val="clear" w:color="auto" w:fill="007CBA"/>
          </w:tcPr>
          <w:p>
            <w:pPr>
              <w:spacing w:after="0"/>
              <w:rPr>
                <w:sz w:val="18"/>
                <w:szCs w:val="18"/>
                <w:color w:val="auto"/>
              </w:rPr>
            </w:pPr>
          </w:p>
        </w:tc>
        <w:tc>
          <w:tcPr>
            <w:tcW w:w="660" w:type="dxa"/>
            <w:vAlign w:val="bottom"/>
            <w:tcBorders>
              <w:right w:val="single" w:sz="8" w:color="007CBA"/>
            </w:tcBorders>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10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740" w:type="dxa"/>
            <w:vAlign w:val="bottom"/>
            <w:tcBorders>
              <w:right w:val="single" w:sz="8" w:color="007CBA"/>
            </w:tcBorders>
            <w:shd w:val="clear" w:color="auto" w:fill="007CBA"/>
          </w:tcPr>
          <w:p>
            <w:pPr>
              <w:spacing w:after="0"/>
              <w:rPr>
                <w:sz w:val="18"/>
                <w:szCs w:val="18"/>
                <w:color w:val="auto"/>
              </w:rPr>
            </w:pPr>
          </w:p>
        </w:tc>
        <w:tc>
          <w:tcPr>
            <w:tcW w:w="320" w:type="dxa"/>
            <w:vAlign w:val="bottom"/>
            <w:tcBorders>
              <w:right w:val="single" w:sz="8" w:color="007CBA"/>
            </w:tcBorders>
            <w:shd w:val="clear" w:color="auto" w:fill="007CBA"/>
          </w:tcPr>
          <w:p>
            <w:pPr>
              <w:spacing w:after="0"/>
              <w:rPr>
                <w:sz w:val="18"/>
                <w:szCs w:val="18"/>
                <w:color w:val="auto"/>
              </w:rPr>
            </w:pPr>
          </w:p>
        </w:tc>
        <w:tc>
          <w:tcPr>
            <w:tcW w:w="16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r>
      <w:tr>
        <w:trPr>
          <w:trHeight w:val="219"/>
        </w:trPr>
        <w:tc>
          <w:tcPr>
            <w:tcW w:w="592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Assets employed</w:t>
            </w:r>
          </w:p>
        </w:tc>
        <w:tc>
          <w:tcPr>
            <w:tcW w:w="420" w:type="dxa"/>
            <w:vAlign w:val="bottom"/>
            <w:tcBorders>
              <w:bottom w:val="single" w:sz="8" w:color="007CBA"/>
              <w:right w:val="single" w:sz="8" w:color="007CBA"/>
            </w:tcBorders>
            <w:shd w:val="clear" w:color="auto" w:fill="007CBA"/>
          </w:tcPr>
          <w:p>
            <w:pPr>
              <w:spacing w:after="0"/>
              <w:rPr>
                <w:sz w:val="19"/>
                <w:szCs w:val="19"/>
                <w:color w:val="auto"/>
              </w:rPr>
            </w:pPr>
          </w:p>
        </w:tc>
        <w:tc>
          <w:tcPr>
            <w:tcW w:w="320" w:type="dxa"/>
            <w:vAlign w:val="bottom"/>
            <w:tcBorders>
              <w:bottom w:val="single" w:sz="8" w:color="007CBA"/>
            </w:tcBorders>
            <w:shd w:val="clear" w:color="auto" w:fill="007CBA"/>
          </w:tcPr>
          <w:p>
            <w:pPr>
              <w:spacing w:after="0"/>
              <w:rPr>
                <w:sz w:val="19"/>
                <w:szCs w:val="19"/>
                <w:color w:val="auto"/>
              </w:rPr>
            </w:pPr>
          </w:p>
        </w:tc>
        <w:tc>
          <w:tcPr>
            <w:tcW w:w="380" w:type="dxa"/>
            <w:vAlign w:val="bottom"/>
            <w:tcBorders>
              <w:bottom w:val="single" w:sz="8" w:color="007CBA"/>
              <w:right w:val="single" w:sz="8" w:color="007CBA"/>
            </w:tcBorders>
            <w:shd w:val="clear" w:color="auto" w:fill="007CBA"/>
          </w:tcPr>
          <w:p>
            <w:pPr>
              <w:spacing w:after="0"/>
              <w:rPr>
                <w:sz w:val="19"/>
                <w:szCs w:val="19"/>
                <w:color w:val="auto"/>
              </w:rPr>
            </w:pPr>
          </w:p>
        </w:tc>
        <w:tc>
          <w:tcPr>
            <w:tcW w:w="660" w:type="dxa"/>
            <w:vAlign w:val="bottom"/>
            <w:tcBorders>
              <w:bottom w:val="single" w:sz="8" w:color="007CBA"/>
              <w:right w:val="single" w:sz="8" w:color="007CBA"/>
            </w:tcBorders>
            <w:shd w:val="clear" w:color="auto" w:fill="007CBA"/>
          </w:tcPr>
          <w:p>
            <w:pPr>
              <w:spacing w:after="0"/>
              <w:rPr>
                <w:sz w:val="19"/>
                <w:szCs w:val="19"/>
                <w:color w:val="auto"/>
              </w:rPr>
            </w:pPr>
          </w:p>
        </w:tc>
        <w:tc>
          <w:tcPr>
            <w:tcW w:w="180" w:type="dxa"/>
            <w:vAlign w:val="bottom"/>
            <w:tcBorders>
              <w:bottom w:val="single" w:sz="8" w:color="007CBA"/>
            </w:tcBorders>
            <w:shd w:val="clear" w:color="auto" w:fill="007CBA"/>
          </w:tcPr>
          <w:p>
            <w:pPr>
              <w:spacing w:after="0"/>
              <w:rPr>
                <w:sz w:val="19"/>
                <w:szCs w:val="19"/>
                <w:color w:val="auto"/>
              </w:rPr>
            </w:pPr>
          </w:p>
        </w:tc>
        <w:tc>
          <w:tcPr>
            <w:tcW w:w="520" w:type="dxa"/>
            <w:vAlign w:val="bottom"/>
            <w:tcBorders>
              <w:bottom w:val="single" w:sz="8" w:color="007CBA"/>
            </w:tcBorders>
            <w:gridSpan w:val="2"/>
            <w:shd w:val="clear" w:color="auto" w:fill="007CBA"/>
          </w:tcPr>
          <w:p>
            <w:pPr>
              <w:jc w:val="right"/>
              <w:spacing w:after="0" w:line="216" w:lineRule="exact"/>
              <w:rPr>
                <w:sz w:val="20"/>
                <w:szCs w:val="20"/>
                <w:color w:val="auto"/>
              </w:rPr>
            </w:pPr>
            <w:r>
              <w:rPr>
                <w:rFonts w:ascii="Calibri" w:cs="Calibri" w:eastAsia="Calibri" w:hAnsi="Calibri"/>
                <w:sz w:val="18"/>
                <w:szCs w:val="18"/>
                <w:b w:val="1"/>
                <w:bCs w:val="1"/>
                <w:color w:val="FFFFFF"/>
              </w:rPr>
              <w:t>2024</w:t>
            </w:r>
          </w:p>
        </w:tc>
        <w:tc>
          <w:tcPr>
            <w:tcW w:w="740" w:type="dxa"/>
            <w:vAlign w:val="bottom"/>
            <w:tcBorders>
              <w:bottom w:val="single" w:sz="8" w:color="007CBA"/>
              <w:right w:val="single" w:sz="8" w:color="007CBA"/>
            </w:tcBorders>
            <w:shd w:val="clear" w:color="auto" w:fill="007CBA"/>
          </w:tcPr>
          <w:p>
            <w:pPr>
              <w:spacing w:after="0"/>
              <w:rPr>
                <w:sz w:val="19"/>
                <w:szCs w:val="19"/>
                <w:color w:val="auto"/>
              </w:rPr>
            </w:pPr>
          </w:p>
        </w:tc>
        <w:tc>
          <w:tcPr>
            <w:tcW w:w="320" w:type="dxa"/>
            <w:vAlign w:val="bottom"/>
            <w:tcBorders>
              <w:bottom w:val="single" w:sz="8" w:color="007CBA"/>
              <w:right w:val="single" w:sz="8" w:color="007CBA"/>
            </w:tcBorders>
            <w:shd w:val="clear" w:color="auto" w:fill="007CBA"/>
          </w:tcPr>
          <w:p>
            <w:pPr>
              <w:spacing w:after="0"/>
              <w:rPr>
                <w:sz w:val="19"/>
                <w:szCs w:val="19"/>
                <w:color w:val="auto"/>
              </w:rPr>
            </w:pPr>
          </w:p>
        </w:tc>
        <w:tc>
          <w:tcPr>
            <w:tcW w:w="160" w:type="dxa"/>
            <w:vAlign w:val="bottom"/>
            <w:tcBorders>
              <w:bottom w:val="single" w:sz="8" w:color="007CBA"/>
              <w:right w:val="single" w:sz="8" w:color="007CBA"/>
            </w:tcBorders>
            <w:shd w:val="clear" w:color="auto" w:fill="007CBA"/>
          </w:tcPr>
          <w:p>
            <w:pPr>
              <w:spacing w:after="0"/>
              <w:rPr>
                <w:sz w:val="19"/>
                <w:szCs w:val="19"/>
                <w:color w:val="auto"/>
              </w:rPr>
            </w:pPr>
          </w:p>
        </w:tc>
        <w:tc>
          <w:tcPr>
            <w:tcW w:w="380" w:type="dxa"/>
            <w:vAlign w:val="bottom"/>
            <w:tcBorders>
              <w:bottom w:val="single" w:sz="8" w:color="007CBA"/>
            </w:tcBorders>
            <w:shd w:val="clear" w:color="auto" w:fill="007CBA"/>
          </w:tcPr>
          <w:p>
            <w:pPr>
              <w:spacing w:after="0"/>
              <w:rPr>
                <w:sz w:val="19"/>
                <w:szCs w:val="19"/>
                <w:color w:val="auto"/>
              </w:rPr>
            </w:pPr>
          </w:p>
        </w:tc>
        <w:tc>
          <w:tcPr>
            <w:tcW w:w="1240" w:type="dxa"/>
            <w:vAlign w:val="bottom"/>
            <w:tcBorders>
              <w:bottom w:val="single" w:sz="8" w:color="007CBA"/>
              <w:right w:val="single" w:sz="8" w:color="007CBA"/>
            </w:tcBorders>
            <w:shd w:val="clear" w:color="auto" w:fill="007CBA"/>
          </w:tcPr>
          <w:p>
            <w:pPr>
              <w:jc w:val="right"/>
              <w:ind w:right="710"/>
              <w:spacing w:after="0" w:line="216" w:lineRule="exact"/>
              <w:rPr>
                <w:sz w:val="20"/>
                <w:szCs w:val="20"/>
                <w:color w:val="auto"/>
              </w:rPr>
            </w:pPr>
            <w:r>
              <w:rPr>
                <w:rFonts w:ascii="Calibri" w:cs="Calibri" w:eastAsia="Calibri" w:hAnsi="Calibri"/>
                <w:sz w:val="18"/>
                <w:szCs w:val="18"/>
                <w:color w:val="FFFFFF"/>
              </w:rPr>
              <w:t>2023</w:t>
            </w:r>
          </w:p>
        </w:tc>
      </w:tr>
      <w:tr>
        <w:trPr>
          <w:trHeight w:val="215"/>
        </w:trPr>
        <w:tc>
          <w:tcPr>
            <w:tcW w:w="5920" w:type="dxa"/>
            <w:vAlign w:val="bottom"/>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right w:val="single" w:sz="8" w:color="007CBA"/>
            </w:tcBorders>
          </w:tcPr>
          <w:p>
            <w:pPr>
              <w:spacing w:after="0"/>
              <w:rPr>
                <w:sz w:val="18"/>
                <w:szCs w:val="18"/>
                <w:color w:val="auto"/>
              </w:rPr>
            </w:pPr>
          </w:p>
        </w:tc>
        <w:tc>
          <w:tcPr>
            <w:tcW w:w="66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87"/>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8,452</w:t>
            </w:r>
          </w:p>
        </w:tc>
        <w:tc>
          <w:tcPr>
            <w:tcW w:w="4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8"/>
                <w:szCs w:val="18"/>
                <w:color w:val="auto"/>
              </w:rPr>
            </w:pPr>
          </w:p>
        </w:tc>
        <w:tc>
          <w:tcPr>
            <w:tcW w:w="12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5,131</w:t>
            </w:r>
          </w:p>
        </w:tc>
      </w:tr>
      <w:tr>
        <w:trPr>
          <w:trHeight w:val="217"/>
        </w:trPr>
        <w:tc>
          <w:tcPr>
            <w:tcW w:w="5920" w:type="dxa"/>
            <w:vAlign w:val="bottom"/>
            <w:tcBorders>
              <w:right w:val="single" w:sz="8" w:color="E5F1F8"/>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West Group</w:t>
            </w:r>
          </w:p>
        </w:tc>
        <w:tc>
          <w:tcPr>
            <w:tcW w:w="420" w:type="dxa"/>
            <w:vAlign w:val="bottom"/>
            <w:tcBorders>
              <w:right w:val="single" w:sz="8" w:color="E5F1F8"/>
            </w:tcBorders>
            <w:shd w:val="clear" w:color="auto" w:fill="E5F1F8"/>
          </w:tcPr>
          <w:p>
            <w:pPr>
              <w:spacing w:after="0"/>
              <w:rPr>
                <w:sz w:val="18"/>
                <w:szCs w:val="18"/>
                <w:color w:val="auto"/>
              </w:rPr>
            </w:pPr>
          </w:p>
        </w:tc>
        <w:tc>
          <w:tcPr>
            <w:tcW w:w="320" w:type="dxa"/>
            <w:vAlign w:val="bottom"/>
            <w:shd w:val="clear" w:color="auto" w:fill="E5F1F8"/>
          </w:tcPr>
          <w:p>
            <w:pPr>
              <w:spacing w:after="0"/>
              <w:rPr>
                <w:sz w:val="18"/>
                <w:szCs w:val="18"/>
                <w:color w:val="auto"/>
              </w:rPr>
            </w:pPr>
          </w:p>
        </w:tc>
        <w:tc>
          <w:tcPr>
            <w:tcW w:w="380" w:type="dxa"/>
            <w:vAlign w:val="bottom"/>
            <w:tcBorders>
              <w:right w:val="single" w:sz="8" w:color="007CBA"/>
            </w:tcBorders>
            <w:shd w:val="clear" w:color="auto" w:fill="E5F1F8"/>
          </w:tcPr>
          <w:p>
            <w:pPr>
              <w:spacing w:after="0"/>
              <w:rPr>
                <w:sz w:val="18"/>
                <w:szCs w:val="18"/>
                <w:color w:val="auto"/>
              </w:rPr>
            </w:pPr>
          </w:p>
        </w:tc>
        <w:tc>
          <w:tcPr>
            <w:tcW w:w="660" w:type="dxa"/>
            <w:vAlign w:val="bottom"/>
            <w:tcBorders>
              <w:right w:val="single" w:sz="8" w:color="E5F1F8"/>
            </w:tcBorders>
            <w:shd w:val="clear" w:color="auto" w:fill="E5F1F8"/>
          </w:tcPr>
          <w:p>
            <w:pPr>
              <w:spacing w:after="0"/>
              <w:rPr>
                <w:sz w:val="18"/>
                <w:szCs w:val="18"/>
                <w:color w:val="auto"/>
              </w:rPr>
            </w:pPr>
          </w:p>
        </w:tc>
        <w:tc>
          <w:tcPr>
            <w:tcW w:w="180" w:type="dxa"/>
            <w:vAlign w:val="bottom"/>
            <w:shd w:val="clear" w:color="auto" w:fill="E5F1F8"/>
          </w:tcPr>
          <w:p>
            <w:pPr>
              <w:spacing w:after="0"/>
              <w:rPr>
                <w:sz w:val="18"/>
                <w:szCs w:val="18"/>
                <w:color w:val="auto"/>
              </w:rPr>
            </w:pPr>
          </w:p>
        </w:tc>
        <w:tc>
          <w:tcPr>
            <w:tcW w:w="100" w:type="dxa"/>
            <w:vAlign w:val="bottom"/>
            <w:tcBorders>
              <w:right w:val="single" w:sz="8" w:color="E5F1F8"/>
            </w:tcBorders>
            <w:shd w:val="clear" w:color="auto" w:fill="E5F1F8"/>
          </w:tcPr>
          <w:p>
            <w:pPr>
              <w:spacing w:after="0"/>
              <w:rPr>
                <w:sz w:val="18"/>
                <w:szCs w:val="18"/>
                <w:color w:val="auto"/>
              </w:rPr>
            </w:pPr>
          </w:p>
        </w:tc>
        <w:tc>
          <w:tcPr>
            <w:tcW w:w="42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7,941</w:t>
            </w:r>
          </w:p>
        </w:tc>
        <w:tc>
          <w:tcPr>
            <w:tcW w:w="320" w:type="dxa"/>
            <w:vAlign w:val="bottom"/>
            <w:tcBorders>
              <w:right w:val="single" w:sz="8" w:color="E5F1F8"/>
            </w:tcBorders>
            <w:shd w:val="clear" w:color="auto" w:fill="E5F1F8"/>
          </w:tcPr>
          <w:p>
            <w:pPr>
              <w:spacing w:after="0"/>
              <w:rPr>
                <w:sz w:val="18"/>
                <w:szCs w:val="18"/>
                <w:color w:val="auto"/>
              </w:rPr>
            </w:pPr>
          </w:p>
        </w:tc>
        <w:tc>
          <w:tcPr>
            <w:tcW w:w="160" w:type="dxa"/>
            <w:vAlign w:val="bottom"/>
            <w:tcBorders>
              <w:right w:val="single" w:sz="8" w:color="E5F1F8"/>
            </w:tcBorders>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124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7,697</w:t>
            </w:r>
          </w:p>
        </w:tc>
      </w:tr>
      <w:tr>
        <w:trPr>
          <w:trHeight w:val="215"/>
        </w:trPr>
        <w:tc>
          <w:tcPr>
            <w:tcW w:w="59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269</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250</w:t>
            </w:r>
          </w:p>
        </w:tc>
      </w:tr>
      <w:tr>
        <w:trPr>
          <w:trHeight w:val="210"/>
        </w:trPr>
        <w:tc>
          <w:tcPr>
            <w:tcW w:w="5920" w:type="dxa"/>
            <w:vAlign w:val="bottom"/>
            <w:tcBorders>
              <w:right w:val="single" w:sz="8" w:color="E5F1F8"/>
            </w:tcBorders>
            <w:shd w:val="clear" w:color="auto" w:fill="E5F1F8"/>
          </w:tcPr>
          <w:p>
            <w:pPr>
              <w:ind w:left="120"/>
              <w:spacing w:after="0" w:line="210" w:lineRule="exact"/>
              <w:rPr>
                <w:sz w:val="20"/>
                <w:szCs w:val="20"/>
                <w:color w:val="auto"/>
              </w:rPr>
            </w:pPr>
            <w:r>
              <w:rPr>
                <w:rFonts w:ascii="Calibri" w:cs="Calibri" w:eastAsia="Calibri" w:hAnsi="Calibri"/>
                <w:sz w:val="18"/>
                <w:szCs w:val="18"/>
                <w:color w:val="auto"/>
              </w:rPr>
              <w:t>Total reportable segments</w:t>
            </w:r>
          </w:p>
        </w:tc>
        <w:tc>
          <w:tcPr>
            <w:tcW w:w="420" w:type="dxa"/>
            <w:vAlign w:val="bottom"/>
            <w:tcBorders>
              <w:right w:val="single" w:sz="8" w:color="E5F1F8"/>
            </w:tcBorders>
            <w:shd w:val="clear" w:color="auto" w:fill="E5F1F8"/>
          </w:tcPr>
          <w:p>
            <w:pPr>
              <w:spacing w:after="0"/>
              <w:rPr>
                <w:sz w:val="18"/>
                <w:szCs w:val="18"/>
                <w:color w:val="auto"/>
              </w:rPr>
            </w:pPr>
          </w:p>
        </w:tc>
        <w:tc>
          <w:tcPr>
            <w:tcW w:w="320" w:type="dxa"/>
            <w:vAlign w:val="bottom"/>
            <w:shd w:val="clear" w:color="auto" w:fill="E5F1F8"/>
          </w:tcPr>
          <w:p>
            <w:pPr>
              <w:spacing w:after="0"/>
              <w:rPr>
                <w:sz w:val="18"/>
                <w:szCs w:val="18"/>
                <w:color w:val="auto"/>
              </w:rPr>
            </w:pPr>
          </w:p>
        </w:tc>
        <w:tc>
          <w:tcPr>
            <w:tcW w:w="380" w:type="dxa"/>
            <w:vAlign w:val="bottom"/>
            <w:tcBorders>
              <w:right w:val="single" w:sz="8" w:color="007CBA"/>
            </w:tcBorders>
            <w:shd w:val="clear" w:color="auto" w:fill="E5F1F8"/>
          </w:tcPr>
          <w:p>
            <w:pPr>
              <w:spacing w:after="0"/>
              <w:rPr>
                <w:sz w:val="18"/>
                <w:szCs w:val="18"/>
                <w:color w:val="auto"/>
              </w:rPr>
            </w:pPr>
          </w:p>
        </w:tc>
        <w:tc>
          <w:tcPr>
            <w:tcW w:w="660" w:type="dxa"/>
            <w:vAlign w:val="bottom"/>
            <w:tcBorders>
              <w:right w:val="single" w:sz="8" w:color="E5F1F8"/>
            </w:tcBorders>
            <w:shd w:val="clear" w:color="auto" w:fill="E5F1F8"/>
          </w:tcPr>
          <w:p>
            <w:pPr>
              <w:spacing w:after="0"/>
              <w:rPr>
                <w:sz w:val="18"/>
                <w:szCs w:val="18"/>
                <w:color w:val="auto"/>
              </w:rPr>
            </w:pPr>
          </w:p>
        </w:tc>
        <w:tc>
          <w:tcPr>
            <w:tcW w:w="180" w:type="dxa"/>
            <w:vAlign w:val="bottom"/>
            <w:shd w:val="clear" w:color="auto" w:fill="E5F1F8"/>
          </w:tcPr>
          <w:p>
            <w:pPr>
              <w:spacing w:after="0"/>
              <w:rPr>
                <w:sz w:val="18"/>
                <w:szCs w:val="18"/>
                <w:color w:val="auto"/>
              </w:rPr>
            </w:pPr>
          </w:p>
        </w:tc>
        <w:tc>
          <w:tcPr>
            <w:tcW w:w="100" w:type="dxa"/>
            <w:vAlign w:val="bottom"/>
            <w:tcBorders>
              <w:right w:val="single" w:sz="8" w:color="E5F1F8"/>
            </w:tcBorders>
            <w:shd w:val="clear" w:color="auto" w:fill="E5F1F8"/>
          </w:tcPr>
          <w:p>
            <w:pPr>
              <w:spacing w:after="0"/>
              <w:rPr>
                <w:sz w:val="18"/>
                <w:szCs w:val="18"/>
                <w:color w:val="auto"/>
              </w:rPr>
            </w:pPr>
          </w:p>
        </w:tc>
        <w:tc>
          <w:tcPr>
            <w:tcW w:w="42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b w:val="1"/>
                <w:bCs w:val="1"/>
                <w:color w:val="auto"/>
              </w:rPr>
              <w:t>16,662</w:t>
            </w:r>
          </w:p>
        </w:tc>
        <w:tc>
          <w:tcPr>
            <w:tcW w:w="320" w:type="dxa"/>
            <w:vAlign w:val="bottom"/>
            <w:tcBorders>
              <w:right w:val="single" w:sz="8" w:color="E5F1F8"/>
            </w:tcBorders>
            <w:shd w:val="clear" w:color="auto" w:fill="E5F1F8"/>
          </w:tcPr>
          <w:p>
            <w:pPr>
              <w:spacing w:after="0"/>
              <w:rPr>
                <w:sz w:val="18"/>
                <w:szCs w:val="18"/>
                <w:color w:val="auto"/>
              </w:rPr>
            </w:pPr>
          </w:p>
        </w:tc>
        <w:tc>
          <w:tcPr>
            <w:tcW w:w="160" w:type="dxa"/>
            <w:vAlign w:val="bottom"/>
            <w:tcBorders>
              <w:right w:val="single" w:sz="8" w:color="E5F1F8"/>
            </w:tcBorders>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124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13,078</w:t>
            </w:r>
          </w:p>
        </w:tc>
      </w:tr>
      <w:tr>
        <w:trPr>
          <w:trHeight w:val="215"/>
        </w:trPr>
        <w:tc>
          <w:tcPr>
            <w:tcW w:w="592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1,508</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2,047</w:t>
            </w:r>
          </w:p>
        </w:tc>
      </w:tr>
      <w:tr>
        <w:trPr>
          <w:trHeight w:val="250"/>
        </w:trPr>
        <w:tc>
          <w:tcPr>
            <w:tcW w:w="592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w:t>
            </w:r>
          </w:p>
        </w:tc>
        <w:tc>
          <w:tcPr>
            <w:tcW w:w="420" w:type="dxa"/>
            <w:vAlign w:val="bottom"/>
            <w:tcBorders>
              <w:bottom w:val="single" w:sz="8" w:color="auto"/>
              <w:right w:val="single" w:sz="8" w:color="E5F1F8"/>
            </w:tcBorders>
            <w:shd w:val="clear" w:color="auto" w:fill="E5F1F8"/>
          </w:tcPr>
          <w:p>
            <w:pPr>
              <w:spacing w:after="0"/>
              <w:rPr>
                <w:sz w:val="21"/>
                <w:szCs w:val="21"/>
                <w:color w:val="auto"/>
              </w:rPr>
            </w:pPr>
          </w:p>
        </w:tc>
        <w:tc>
          <w:tcPr>
            <w:tcW w:w="320" w:type="dxa"/>
            <w:vAlign w:val="bottom"/>
            <w:tcBorders>
              <w:bottom w:val="single" w:sz="8" w:color="auto"/>
            </w:tcBorders>
            <w:shd w:val="clear" w:color="auto" w:fill="E5F1F8"/>
          </w:tcPr>
          <w:p>
            <w:pPr>
              <w:spacing w:after="0"/>
              <w:rPr>
                <w:sz w:val="21"/>
                <w:szCs w:val="21"/>
                <w:color w:val="auto"/>
              </w:rPr>
            </w:pPr>
          </w:p>
        </w:tc>
        <w:tc>
          <w:tcPr>
            <w:tcW w:w="1040" w:type="dxa"/>
            <w:vAlign w:val="bottom"/>
            <w:tcBorders>
              <w:bottom w:val="single" w:sz="8" w:color="auto"/>
              <w:right w:val="single" w:sz="8" w:color="E5F1F8"/>
            </w:tcBorders>
            <w:gridSpan w:val="2"/>
            <w:shd w:val="clear" w:color="auto" w:fill="E5F1F8"/>
          </w:tcPr>
          <w:p>
            <w:pPr>
              <w:jc w:val="center"/>
              <w:ind w:left="270"/>
              <w:spacing w:after="0" w:line="209" w:lineRule="exact"/>
              <w:rPr>
                <w:sz w:val="20"/>
                <w:szCs w:val="20"/>
                <w:color w:val="auto"/>
              </w:rPr>
            </w:pPr>
            <w:r>
              <w:rPr>
                <w:rFonts w:ascii="Calibri" w:cs="Calibri" w:eastAsia="Calibri" w:hAnsi="Calibri"/>
                <w:sz w:val="18"/>
                <w:szCs w:val="18"/>
                <w:b w:val="1"/>
                <w:bCs w:val="1"/>
                <w:color w:val="auto"/>
                <w:w w:val="87"/>
              </w:rPr>
              <w:t>$</w:t>
            </w:r>
          </w:p>
        </w:tc>
        <w:tc>
          <w:tcPr>
            <w:tcW w:w="180" w:type="dxa"/>
            <w:vAlign w:val="bottom"/>
            <w:tcBorders>
              <w:bottom w:val="single" w:sz="8" w:color="auto"/>
            </w:tcBorders>
            <w:shd w:val="clear" w:color="auto" w:fill="E5F1F8"/>
          </w:tcPr>
          <w:p>
            <w:pPr>
              <w:spacing w:after="0"/>
              <w:rPr>
                <w:sz w:val="21"/>
                <w:szCs w:val="21"/>
                <w:color w:val="auto"/>
              </w:rPr>
            </w:pPr>
          </w:p>
        </w:tc>
        <w:tc>
          <w:tcPr>
            <w:tcW w:w="100" w:type="dxa"/>
            <w:vAlign w:val="bottom"/>
            <w:tcBorders>
              <w:bottom w:val="single" w:sz="8" w:color="auto"/>
              <w:right w:val="single" w:sz="8" w:color="E5F1F8"/>
            </w:tcBorders>
            <w:shd w:val="clear" w:color="auto" w:fill="E5F1F8"/>
          </w:tcPr>
          <w:p>
            <w:pPr>
              <w:spacing w:after="0"/>
              <w:rPr>
                <w:sz w:val="21"/>
                <w:szCs w:val="21"/>
                <w:color w:val="auto"/>
              </w:rPr>
            </w:pPr>
          </w:p>
        </w:tc>
        <w:tc>
          <w:tcPr>
            <w:tcW w:w="420" w:type="dxa"/>
            <w:vAlign w:val="bottom"/>
            <w:tcBorders>
              <w:bottom w:val="single" w:sz="8" w:color="auto"/>
            </w:tcBorders>
            <w:shd w:val="clear" w:color="auto" w:fill="E5F1F8"/>
          </w:tcPr>
          <w:p>
            <w:pPr>
              <w:spacing w:after="0"/>
              <w:rPr>
                <w:sz w:val="21"/>
                <w:szCs w:val="21"/>
                <w:color w:val="auto"/>
              </w:rPr>
            </w:pPr>
          </w:p>
        </w:tc>
        <w:tc>
          <w:tcPr>
            <w:tcW w:w="74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18,170</w:t>
            </w:r>
          </w:p>
        </w:tc>
        <w:tc>
          <w:tcPr>
            <w:tcW w:w="480" w:type="dxa"/>
            <w:vAlign w:val="bottom"/>
            <w:tcBorders>
              <w:bottom w:val="single" w:sz="8" w:color="auto"/>
              <w:right w:val="single" w:sz="8" w:color="E5F1F8"/>
            </w:tcBorders>
            <w:gridSpan w:val="2"/>
            <w:shd w:val="clear" w:color="auto" w:fill="E5F1F8"/>
          </w:tcPr>
          <w:p>
            <w:pPr>
              <w:jc w:val="right"/>
              <w:ind w:right="120"/>
              <w:spacing w:after="0" w:line="209" w:lineRule="exact"/>
              <w:rPr>
                <w:sz w:val="20"/>
                <w:szCs w:val="20"/>
                <w:color w:val="auto"/>
              </w:rPr>
            </w:pPr>
            <w:r>
              <w:rPr>
                <w:rFonts w:ascii="Calibri" w:cs="Calibri" w:eastAsia="Calibri" w:hAnsi="Calibri"/>
                <w:sz w:val="18"/>
                <w:szCs w:val="18"/>
                <w:color w:val="auto"/>
              </w:rPr>
              <w:t>$</w:t>
            </w:r>
          </w:p>
        </w:tc>
        <w:tc>
          <w:tcPr>
            <w:tcW w:w="380" w:type="dxa"/>
            <w:vAlign w:val="bottom"/>
            <w:tcBorders>
              <w:bottom w:val="single" w:sz="8" w:color="auto"/>
            </w:tcBorders>
            <w:shd w:val="clear" w:color="auto" w:fill="E5F1F8"/>
          </w:tcPr>
          <w:p>
            <w:pPr>
              <w:spacing w:after="0"/>
              <w:rPr>
                <w:sz w:val="21"/>
                <w:szCs w:val="21"/>
                <w:color w:val="auto"/>
              </w:rPr>
            </w:pPr>
          </w:p>
        </w:tc>
        <w:tc>
          <w:tcPr>
            <w:tcW w:w="124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15,125</w:t>
            </w:r>
          </w:p>
        </w:tc>
      </w:tr>
      <w:tr>
        <w:trPr>
          <w:trHeight w:val="197"/>
        </w:trPr>
        <w:tc>
          <w:tcPr>
            <w:tcW w:w="5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4"/>
        </w:trPr>
        <w:tc>
          <w:tcPr>
            <w:tcW w:w="592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420" w:type="dxa"/>
            <w:vAlign w:val="bottom"/>
            <w:tcBorders>
              <w:right w:val="single" w:sz="8" w:color="007CBA"/>
            </w:tcBorders>
            <w:shd w:val="clear" w:color="auto" w:fill="007CBA"/>
          </w:tcPr>
          <w:p>
            <w:pPr>
              <w:spacing w:after="0"/>
              <w:rPr>
                <w:sz w:val="16"/>
                <w:szCs w:val="16"/>
                <w:color w:val="auto"/>
              </w:rPr>
            </w:pPr>
          </w:p>
        </w:tc>
        <w:tc>
          <w:tcPr>
            <w:tcW w:w="320" w:type="dxa"/>
            <w:vAlign w:val="bottom"/>
            <w:shd w:val="clear" w:color="auto" w:fill="007CBA"/>
          </w:tcPr>
          <w:p>
            <w:pPr>
              <w:spacing w:after="0"/>
              <w:rPr>
                <w:sz w:val="16"/>
                <w:szCs w:val="16"/>
                <w:color w:val="auto"/>
              </w:rPr>
            </w:pPr>
          </w:p>
        </w:tc>
        <w:tc>
          <w:tcPr>
            <w:tcW w:w="38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180" w:type="dxa"/>
            <w:vAlign w:val="bottom"/>
            <w:shd w:val="clear" w:color="auto" w:fill="007CBA"/>
          </w:tcPr>
          <w:p>
            <w:pPr>
              <w:spacing w:after="0"/>
              <w:rPr>
                <w:sz w:val="16"/>
                <w:szCs w:val="16"/>
                <w:color w:val="auto"/>
              </w:rPr>
            </w:pPr>
          </w:p>
        </w:tc>
        <w:tc>
          <w:tcPr>
            <w:tcW w:w="100" w:type="dxa"/>
            <w:vAlign w:val="bottom"/>
            <w:tcBorders>
              <w:right w:val="single" w:sz="8" w:color="007CBA"/>
            </w:tcBorders>
            <w:shd w:val="clear" w:color="auto" w:fill="007CBA"/>
          </w:tcPr>
          <w:p>
            <w:pPr>
              <w:spacing w:after="0"/>
              <w:rPr>
                <w:sz w:val="16"/>
                <w:szCs w:val="16"/>
                <w:color w:val="auto"/>
              </w:rPr>
            </w:pPr>
          </w:p>
        </w:tc>
        <w:tc>
          <w:tcPr>
            <w:tcW w:w="420" w:type="dxa"/>
            <w:vAlign w:val="bottom"/>
            <w:shd w:val="clear" w:color="auto" w:fill="007CBA"/>
          </w:tcPr>
          <w:p>
            <w:pPr>
              <w:spacing w:after="0"/>
              <w:rPr>
                <w:sz w:val="16"/>
                <w:szCs w:val="16"/>
                <w:color w:val="auto"/>
              </w:rPr>
            </w:pPr>
          </w:p>
        </w:tc>
        <w:tc>
          <w:tcPr>
            <w:tcW w:w="740" w:type="dxa"/>
            <w:vAlign w:val="bottom"/>
            <w:tcBorders>
              <w:right w:val="single" w:sz="8" w:color="007CBA"/>
            </w:tcBorders>
            <w:shd w:val="clear" w:color="auto" w:fill="007CBA"/>
          </w:tcPr>
          <w:p>
            <w:pPr>
              <w:spacing w:after="0"/>
              <w:rPr>
                <w:sz w:val="16"/>
                <w:szCs w:val="16"/>
                <w:color w:val="auto"/>
              </w:rPr>
            </w:pPr>
          </w:p>
        </w:tc>
        <w:tc>
          <w:tcPr>
            <w:tcW w:w="320" w:type="dxa"/>
            <w:vAlign w:val="bottom"/>
            <w:tcBorders>
              <w:right w:val="single" w:sz="8" w:color="007CBA"/>
            </w:tcBorders>
            <w:shd w:val="clear" w:color="auto" w:fill="007CBA"/>
          </w:tcPr>
          <w:p>
            <w:pPr>
              <w:spacing w:after="0"/>
              <w:rPr>
                <w:sz w:val="16"/>
                <w:szCs w:val="16"/>
                <w:color w:val="auto"/>
              </w:rPr>
            </w:pPr>
          </w:p>
        </w:tc>
        <w:tc>
          <w:tcPr>
            <w:tcW w:w="160" w:type="dxa"/>
            <w:vAlign w:val="bottom"/>
            <w:tcBorders>
              <w:right w:val="single" w:sz="8" w:color="007CBA"/>
            </w:tcBorders>
            <w:shd w:val="clear" w:color="auto" w:fill="007CBA"/>
          </w:tcPr>
          <w:p>
            <w:pPr>
              <w:spacing w:after="0"/>
              <w:rPr>
                <w:sz w:val="16"/>
                <w:szCs w:val="16"/>
                <w:color w:val="auto"/>
              </w:rPr>
            </w:pPr>
          </w:p>
        </w:tc>
        <w:tc>
          <w:tcPr>
            <w:tcW w:w="380" w:type="dxa"/>
            <w:vAlign w:val="bottom"/>
            <w:shd w:val="clear" w:color="auto" w:fill="007CBA"/>
          </w:tcPr>
          <w:p>
            <w:pPr>
              <w:spacing w:after="0"/>
              <w:rPr>
                <w:sz w:val="16"/>
                <w:szCs w:val="16"/>
                <w:color w:val="auto"/>
              </w:rPr>
            </w:pPr>
          </w:p>
        </w:tc>
        <w:tc>
          <w:tcPr>
            <w:tcW w:w="1240" w:type="dxa"/>
            <w:vAlign w:val="bottom"/>
            <w:tcBorders>
              <w:right w:val="single" w:sz="8" w:color="007CBA"/>
            </w:tcBorders>
            <w:shd w:val="clear" w:color="auto" w:fill="007CBA"/>
          </w:tcPr>
          <w:p>
            <w:pPr>
              <w:spacing w:after="0"/>
              <w:rPr>
                <w:sz w:val="16"/>
                <w:szCs w:val="16"/>
                <w:color w:val="auto"/>
              </w:rPr>
            </w:pPr>
          </w:p>
        </w:tc>
      </w:tr>
      <w:tr>
        <w:trPr>
          <w:trHeight w:val="215"/>
        </w:trPr>
        <w:tc>
          <w:tcPr>
            <w:tcW w:w="592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2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380" w:type="dxa"/>
            <w:vAlign w:val="bottom"/>
            <w:tcBorders>
              <w:right w:val="single" w:sz="8" w:color="007CBA"/>
            </w:tcBorders>
            <w:shd w:val="clear" w:color="auto" w:fill="007CBA"/>
          </w:tcPr>
          <w:p>
            <w:pPr>
              <w:spacing w:after="0"/>
              <w:rPr>
                <w:sz w:val="18"/>
                <w:szCs w:val="18"/>
                <w:color w:val="auto"/>
              </w:rPr>
            </w:pPr>
          </w:p>
        </w:tc>
        <w:tc>
          <w:tcPr>
            <w:tcW w:w="660" w:type="dxa"/>
            <w:vAlign w:val="bottom"/>
            <w:tcBorders>
              <w:right w:val="single" w:sz="8" w:color="007CBA"/>
            </w:tcBorders>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10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740" w:type="dxa"/>
            <w:vAlign w:val="bottom"/>
            <w:tcBorders>
              <w:right w:val="single" w:sz="8" w:color="007CBA"/>
            </w:tcBorders>
            <w:shd w:val="clear" w:color="auto" w:fill="007CBA"/>
          </w:tcPr>
          <w:p>
            <w:pPr>
              <w:spacing w:after="0"/>
              <w:rPr>
                <w:sz w:val="18"/>
                <w:szCs w:val="18"/>
                <w:color w:val="auto"/>
              </w:rPr>
            </w:pPr>
          </w:p>
        </w:tc>
        <w:tc>
          <w:tcPr>
            <w:tcW w:w="320" w:type="dxa"/>
            <w:vAlign w:val="bottom"/>
            <w:tcBorders>
              <w:right w:val="single" w:sz="8" w:color="007CBA"/>
            </w:tcBorders>
            <w:shd w:val="clear" w:color="auto" w:fill="007CBA"/>
          </w:tcPr>
          <w:p>
            <w:pPr>
              <w:spacing w:after="0"/>
              <w:rPr>
                <w:sz w:val="18"/>
                <w:szCs w:val="18"/>
                <w:color w:val="auto"/>
              </w:rPr>
            </w:pPr>
          </w:p>
        </w:tc>
        <w:tc>
          <w:tcPr>
            <w:tcW w:w="16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r>
      <w:tr>
        <w:trPr>
          <w:trHeight w:val="220"/>
        </w:trPr>
        <w:tc>
          <w:tcPr>
            <w:tcW w:w="592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Total property additons, including the impact of acquisitons</w:t>
            </w:r>
          </w:p>
        </w:tc>
        <w:tc>
          <w:tcPr>
            <w:tcW w:w="420" w:type="dxa"/>
            <w:vAlign w:val="bottom"/>
            <w:tcBorders>
              <w:bottom w:val="single" w:sz="8" w:color="007CBA"/>
              <w:right w:val="single" w:sz="8" w:color="007CBA"/>
            </w:tcBorders>
            <w:shd w:val="clear" w:color="auto" w:fill="007CBA"/>
          </w:tcPr>
          <w:p>
            <w:pPr>
              <w:spacing w:after="0"/>
              <w:rPr>
                <w:sz w:val="19"/>
                <w:szCs w:val="19"/>
                <w:color w:val="auto"/>
              </w:rPr>
            </w:pPr>
          </w:p>
        </w:tc>
        <w:tc>
          <w:tcPr>
            <w:tcW w:w="320" w:type="dxa"/>
            <w:vAlign w:val="bottom"/>
            <w:tcBorders>
              <w:bottom w:val="single" w:sz="8" w:color="007CBA"/>
            </w:tcBorders>
            <w:shd w:val="clear" w:color="auto" w:fill="007CBA"/>
          </w:tcPr>
          <w:p>
            <w:pPr>
              <w:spacing w:after="0"/>
              <w:rPr>
                <w:sz w:val="19"/>
                <w:szCs w:val="19"/>
                <w:color w:val="auto"/>
              </w:rPr>
            </w:pPr>
          </w:p>
        </w:tc>
        <w:tc>
          <w:tcPr>
            <w:tcW w:w="1040" w:type="dxa"/>
            <w:vAlign w:val="bottom"/>
            <w:tcBorders>
              <w:bottom w:val="single" w:sz="8" w:color="007CBA"/>
              <w:right w:val="single" w:sz="8" w:color="007CBA"/>
            </w:tcBorders>
            <w:gridSpan w:val="2"/>
            <w:shd w:val="clear" w:color="auto" w:fill="007CBA"/>
          </w:tcPr>
          <w:p>
            <w:pPr>
              <w:jc w:val="right"/>
              <w:ind w:right="230"/>
              <w:spacing w:after="0" w:line="216" w:lineRule="exact"/>
              <w:rPr>
                <w:sz w:val="20"/>
                <w:szCs w:val="20"/>
                <w:color w:val="auto"/>
              </w:rPr>
            </w:pPr>
            <w:r>
              <w:rPr>
                <w:rFonts w:ascii="Calibri" w:cs="Calibri" w:eastAsia="Calibri" w:hAnsi="Calibri"/>
                <w:sz w:val="18"/>
                <w:szCs w:val="18"/>
                <w:b w:val="1"/>
                <w:bCs w:val="1"/>
                <w:color w:val="FFFFFF"/>
              </w:rPr>
              <w:t>2024</w:t>
            </w:r>
          </w:p>
        </w:tc>
        <w:tc>
          <w:tcPr>
            <w:tcW w:w="180" w:type="dxa"/>
            <w:vAlign w:val="bottom"/>
            <w:tcBorders>
              <w:bottom w:val="single" w:sz="8" w:color="007CBA"/>
            </w:tcBorders>
            <w:shd w:val="clear" w:color="auto" w:fill="007CBA"/>
          </w:tcPr>
          <w:p>
            <w:pPr>
              <w:spacing w:after="0"/>
              <w:rPr>
                <w:sz w:val="19"/>
                <w:szCs w:val="19"/>
                <w:color w:val="auto"/>
              </w:rPr>
            </w:pPr>
          </w:p>
        </w:tc>
        <w:tc>
          <w:tcPr>
            <w:tcW w:w="100" w:type="dxa"/>
            <w:vAlign w:val="bottom"/>
            <w:tcBorders>
              <w:bottom w:val="single" w:sz="8" w:color="007CBA"/>
              <w:right w:val="single" w:sz="8" w:color="007CBA"/>
            </w:tcBorders>
            <w:shd w:val="clear" w:color="auto" w:fill="007CBA"/>
          </w:tcPr>
          <w:p>
            <w:pPr>
              <w:spacing w:after="0"/>
              <w:rPr>
                <w:sz w:val="19"/>
                <w:szCs w:val="19"/>
                <w:color w:val="auto"/>
              </w:rPr>
            </w:pPr>
          </w:p>
        </w:tc>
        <w:tc>
          <w:tcPr>
            <w:tcW w:w="420" w:type="dxa"/>
            <w:vAlign w:val="bottom"/>
            <w:tcBorders>
              <w:bottom w:val="single" w:sz="8" w:color="007CBA"/>
            </w:tcBorders>
            <w:shd w:val="clear" w:color="auto" w:fill="007CBA"/>
          </w:tcPr>
          <w:p>
            <w:pPr>
              <w:spacing w:after="0"/>
              <w:rPr>
                <w:sz w:val="19"/>
                <w:szCs w:val="19"/>
                <w:color w:val="auto"/>
              </w:rPr>
            </w:pPr>
          </w:p>
        </w:tc>
        <w:tc>
          <w:tcPr>
            <w:tcW w:w="740" w:type="dxa"/>
            <w:vAlign w:val="bottom"/>
            <w:tcBorders>
              <w:bottom w:val="single" w:sz="8" w:color="007CBA"/>
              <w:right w:val="single" w:sz="8" w:color="007CBA"/>
            </w:tcBorders>
            <w:shd w:val="clear" w:color="auto" w:fill="007CBA"/>
          </w:tcPr>
          <w:p>
            <w:pPr>
              <w:jc w:val="right"/>
              <w:ind w:right="50"/>
              <w:spacing w:after="0" w:line="216" w:lineRule="exact"/>
              <w:rPr>
                <w:sz w:val="20"/>
                <w:szCs w:val="20"/>
                <w:color w:val="auto"/>
              </w:rPr>
            </w:pPr>
            <w:r>
              <w:rPr>
                <w:rFonts w:ascii="Calibri" w:cs="Calibri" w:eastAsia="Calibri" w:hAnsi="Calibri"/>
                <w:sz w:val="18"/>
                <w:szCs w:val="18"/>
                <w:color w:val="FFFFFF"/>
              </w:rPr>
              <w:t>2023</w:t>
            </w:r>
          </w:p>
        </w:tc>
        <w:tc>
          <w:tcPr>
            <w:tcW w:w="320" w:type="dxa"/>
            <w:vAlign w:val="bottom"/>
            <w:tcBorders>
              <w:bottom w:val="single" w:sz="8" w:color="007CBA"/>
              <w:right w:val="single" w:sz="8" w:color="007CBA"/>
            </w:tcBorders>
            <w:shd w:val="clear" w:color="auto" w:fill="007CBA"/>
          </w:tcPr>
          <w:p>
            <w:pPr>
              <w:spacing w:after="0"/>
              <w:rPr>
                <w:sz w:val="19"/>
                <w:szCs w:val="19"/>
                <w:color w:val="auto"/>
              </w:rPr>
            </w:pPr>
          </w:p>
        </w:tc>
        <w:tc>
          <w:tcPr>
            <w:tcW w:w="160" w:type="dxa"/>
            <w:vAlign w:val="bottom"/>
            <w:tcBorders>
              <w:bottom w:val="single" w:sz="8" w:color="007CBA"/>
              <w:right w:val="single" w:sz="8" w:color="007CBA"/>
            </w:tcBorders>
            <w:shd w:val="clear" w:color="auto" w:fill="007CBA"/>
          </w:tcPr>
          <w:p>
            <w:pPr>
              <w:spacing w:after="0"/>
              <w:rPr>
                <w:sz w:val="19"/>
                <w:szCs w:val="19"/>
                <w:color w:val="auto"/>
              </w:rPr>
            </w:pPr>
          </w:p>
        </w:tc>
        <w:tc>
          <w:tcPr>
            <w:tcW w:w="380" w:type="dxa"/>
            <w:vAlign w:val="bottom"/>
            <w:tcBorders>
              <w:bottom w:val="single" w:sz="8" w:color="007CBA"/>
            </w:tcBorders>
            <w:shd w:val="clear" w:color="auto" w:fill="007CBA"/>
          </w:tcPr>
          <w:p>
            <w:pPr>
              <w:spacing w:after="0"/>
              <w:rPr>
                <w:sz w:val="19"/>
                <w:szCs w:val="19"/>
                <w:color w:val="auto"/>
              </w:rPr>
            </w:pPr>
          </w:p>
        </w:tc>
        <w:tc>
          <w:tcPr>
            <w:tcW w:w="124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2022</w:t>
            </w:r>
          </w:p>
        </w:tc>
      </w:tr>
      <w:tr>
        <w:trPr>
          <w:trHeight w:val="216"/>
        </w:trPr>
        <w:tc>
          <w:tcPr>
            <w:tcW w:w="5920" w:type="dxa"/>
            <w:vAlign w:val="bottom"/>
            <w:tcBorders>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420" w:type="dxa"/>
            <w:vAlign w:val="bottom"/>
            <w:tcBorders>
              <w:right w:val="single" w:sz="8" w:color="007CBA"/>
            </w:tcBorders>
            <w:shd w:val="clear" w:color="auto" w:fill="E5F1F8"/>
          </w:tcPr>
          <w:p>
            <w:pPr>
              <w:spacing w:after="0"/>
              <w:rPr>
                <w:sz w:val="18"/>
                <w:szCs w:val="18"/>
                <w:color w:val="auto"/>
              </w:rPr>
            </w:pPr>
          </w:p>
        </w:tc>
        <w:tc>
          <w:tcPr>
            <w:tcW w:w="320" w:type="dxa"/>
            <w:vAlign w:val="bottom"/>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220" w:type="dxa"/>
            <w:vAlign w:val="bottom"/>
            <w:gridSpan w:val="3"/>
            <w:shd w:val="clear" w:color="auto" w:fill="E5F1F8"/>
          </w:tcPr>
          <w:p>
            <w:pPr>
              <w:jc w:val="right"/>
              <w:ind w:right="40"/>
              <w:spacing w:after="0" w:line="215" w:lineRule="exact"/>
              <w:rPr>
                <w:sz w:val="20"/>
                <w:szCs w:val="20"/>
                <w:color w:val="auto"/>
              </w:rPr>
            </w:pPr>
            <w:r>
              <w:rPr>
                <w:rFonts w:ascii="Calibri" w:cs="Calibri" w:eastAsia="Calibri" w:hAnsi="Calibri"/>
                <w:sz w:val="18"/>
                <w:szCs w:val="18"/>
                <w:b w:val="1"/>
                <w:bCs w:val="1"/>
                <w:color w:val="auto"/>
              </w:rPr>
              <w:t>3,185</w:t>
            </w:r>
          </w:p>
        </w:tc>
        <w:tc>
          <w:tcPr>
            <w:tcW w:w="100" w:type="dxa"/>
            <w:vAlign w:val="bottom"/>
            <w:tcBorders>
              <w:right w:val="single" w:sz="8" w:color="007CBA"/>
            </w:tcBorders>
            <w:shd w:val="clear" w:color="auto" w:fill="E5F1F8"/>
          </w:tcPr>
          <w:p>
            <w:pPr>
              <w:spacing w:after="0"/>
              <w:rPr>
                <w:sz w:val="18"/>
                <w:szCs w:val="18"/>
                <w:color w:val="auto"/>
              </w:rPr>
            </w:pPr>
          </w:p>
        </w:tc>
        <w:tc>
          <w:tcPr>
            <w:tcW w:w="42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Borders>
              <w:right w:val="single" w:sz="8" w:color="E5F1F8"/>
            </w:tcBorders>
            <w:shd w:val="clear" w:color="auto" w:fill="E5F1F8"/>
          </w:tcPr>
          <w:p>
            <w:pPr>
              <w:spacing w:after="0"/>
              <w:rPr>
                <w:sz w:val="18"/>
                <w:szCs w:val="18"/>
                <w:color w:val="auto"/>
              </w:rPr>
            </w:pPr>
          </w:p>
        </w:tc>
        <w:tc>
          <w:tcPr>
            <w:tcW w:w="480" w:type="dxa"/>
            <w:vAlign w:val="bottom"/>
            <w:tcBorders>
              <w:right w:val="single" w:sz="8" w:color="007CBA"/>
            </w:tcBorders>
            <w:gridSpan w:val="2"/>
            <w:shd w:val="clear" w:color="auto" w:fill="E5F1F8"/>
          </w:tcPr>
          <w:p>
            <w:pPr>
              <w:jc w:val="right"/>
              <w:ind w:right="140"/>
              <w:spacing w:after="0" w:line="215" w:lineRule="exact"/>
              <w:rPr>
                <w:sz w:val="20"/>
                <w:szCs w:val="20"/>
                <w:color w:val="auto"/>
              </w:rPr>
            </w:pPr>
            <w:r>
              <w:rPr>
                <w:rFonts w:ascii="Calibri" w:cs="Calibri" w:eastAsia="Calibri" w:hAnsi="Calibri"/>
                <w:sz w:val="18"/>
                <w:szCs w:val="18"/>
                <w:color w:val="auto"/>
              </w:rPr>
              <w:t>231</w:t>
            </w:r>
          </w:p>
        </w:tc>
        <w:tc>
          <w:tcPr>
            <w:tcW w:w="380" w:type="dxa"/>
            <w:vAlign w:val="bottom"/>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189</w:t>
            </w:r>
          </w:p>
        </w:tc>
      </w:tr>
      <w:tr>
        <w:trPr>
          <w:trHeight w:val="216"/>
        </w:trPr>
        <w:tc>
          <w:tcPr>
            <w:tcW w:w="5920" w:type="dxa"/>
            <w:vAlign w:val="bottom"/>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42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40"/>
              <w:spacing w:after="0" w:line="215" w:lineRule="exact"/>
              <w:rPr>
                <w:sz w:val="20"/>
                <w:szCs w:val="20"/>
                <w:color w:val="auto"/>
              </w:rPr>
            </w:pPr>
            <w:r>
              <w:rPr>
                <w:rFonts w:ascii="Calibri" w:cs="Calibri" w:eastAsia="Calibri" w:hAnsi="Calibri"/>
                <w:sz w:val="18"/>
                <w:szCs w:val="18"/>
                <w:b w:val="1"/>
                <w:bCs w:val="1"/>
                <w:color w:val="auto"/>
              </w:rPr>
              <w:t>1,216</w:t>
            </w:r>
          </w:p>
        </w:tc>
        <w:tc>
          <w:tcPr>
            <w:tcW w:w="100" w:type="dxa"/>
            <w:vAlign w:val="bottom"/>
            <w:tcBorders>
              <w:right w:val="single" w:sz="8" w:color="007CBA"/>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Borders>
              <w:right w:val="single" w:sz="8" w:color="007CBA"/>
            </w:tcBorders>
            <w:gridSpan w:val="2"/>
          </w:tcPr>
          <w:p>
            <w:pPr>
              <w:jc w:val="right"/>
              <w:ind w:right="140"/>
              <w:spacing w:after="0" w:line="215" w:lineRule="exact"/>
              <w:rPr>
                <w:sz w:val="20"/>
                <w:szCs w:val="20"/>
                <w:color w:val="auto"/>
              </w:rPr>
            </w:pPr>
            <w:r>
              <w:rPr>
                <w:rFonts w:ascii="Calibri" w:cs="Calibri" w:eastAsia="Calibri" w:hAnsi="Calibri"/>
                <w:sz w:val="18"/>
                <w:szCs w:val="18"/>
                <w:color w:val="auto"/>
              </w:rPr>
              <w:t>342</w:t>
            </w:r>
          </w:p>
        </w:tc>
        <w:tc>
          <w:tcPr>
            <w:tcW w:w="380" w:type="dxa"/>
            <w:vAlign w:val="bottom"/>
          </w:tcPr>
          <w:p>
            <w:pPr>
              <w:spacing w:after="0"/>
              <w:rPr>
                <w:sz w:val="18"/>
                <w:szCs w:val="18"/>
                <w:color w:val="auto"/>
              </w:rPr>
            </w:pPr>
          </w:p>
        </w:tc>
        <w:tc>
          <w:tcPr>
            <w:tcW w:w="1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302</w:t>
            </w:r>
          </w:p>
        </w:tc>
      </w:tr>
      <w:tr>
        <w:trPr>
          <w:trHeight w:val="215"/>
        </w:trPr>
        <w:tc>
          <w:tcPr>
            <w:tcW w:w="592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420" w:type="dxa"/>
            <w:vAlign w:val="bottom"/>
            <w:tcBorders>
              <w:bottom w:val="single" w:sz="8" w:color="auto"/>
              <w:right w:val="single" w:sz="8" w:color="E5F1F8"/>
            </w:tcBorders>
            <w:shd w:val="clear" w:color="auto" w:fill="E5F1F8"/>
          </w:tcPr>
          <w:p>
            <w:pPr>
              <w:spacing w:after="0"/>
              <w:rPr>
                <w:sz w:val="18"/>
                <w:szCs w:val="18"/>
                <w:color w:val="auto"/>
              </w:rPr>
            </w:pPr>
          </w:p>
        </w:tc>
        <w:tc>
          <w:tcPr>
            <w:tcW w:w="320" w:type="dxa"/>
            <w:vAlign w:val="bottom"/>
            <w:tcBorders>
              <w:bottom w:val="single" w:sz="8" w:color="auto"/>
            </w:tcBorders>
            <w:shd w:val="clear" w:color="auto" w:fill="E5F1F8"/>
          </w:tcPr>
          <w:p>
            <w:pPr>
              <w:spacing w:after="0"/>
              <w:rPr>
                <w:sz w:val="18"/>
                <w:szCs w:val="18"/>
                <w:color w:val="auto"/>
              </w:rPr>
            </w:pPr>
          </w:p>
        </w:tc>
        <w:tc>
          <w:tcPr>
            <w:tcW w:w="1220" w:type="dxa"/>
            <w:vAlign w:val="bottom"/>
            <w:tcBorders>
              <w:bottom w:val="single" w:sz="8" w:color="auto"/>
            </w:tcBorders>
            <w:gridSpan w:val="3"/>
            <w:shd w:val="clear" w:color="auto" w:fill="E5F1F8"/>
          </w:tcPr>
          <w:p>
            <w:pPr>
              <w:jc w:val="right"/>
              <w:ind w:right="40"/>
              <w:spacing w:after="0" w:line="215" w:lineRule="exact"/>
              <w:rPr>
                <w:sz w:val="20"/>
                <w:szCs w:val="20"/>
                <w:color w:val="auto"/>
              </w:rPr>
            </w:pPr>
            <w:r>
              <w:rPr>
                <w:rFonts w:ascii="Calibri" w:cs="Calibri" w:eastAsia="Calibri" w:hAnsi="Calibri"/>
                <w:sz w:val="18"/>
                <w:szCs w:val="18"/>
                <w:b w:val="1"/>
                <w:bCs w:val="1"/>
                <w:color w:val="auto"/>
              </w:rPr>
              <w:t>32</w:t>
            </w:r>
          </w:p>
        </w:tc>
        <w:tc>
          <w:tcPr>
            <w:tcW w:w="100" w:type="dxa"/>
            <w:vAlign w:val="bottom"/>
            <w:tcBorders>
              <w:bottom w:val="single" w:sz="8" w:color="auto"/>
              <w:right w:val="single" w:sz="8" w:color="E5F1F8"/>
            </w:tcBorders>
            <w:shd w:val="clear" w:color="auto" w:fill="E5F1F8"/>
          </w:tcPr>
          <w:p>
            <w:pPr>
              <w:spacing w:after="0"/>
              <w:rPr>
                <w:sz w:val="18"/>
                <w:szCs w:val="18"/>
                <w:color w:val="auto"/>
              </w:rPr>
            </w:pPr>
          </w:p>
        </w:tc>
        <w:tc>
          <w:tcPr>
            <w:tcW w:w="420" w:type="dxa"/>
            <w:vAlign w:val="bottom"/>
            <w:tcBorders>
              <w:bottom w:val="single" w:sz="8" w:color="auto"/>
            </w:tcBorders>
            <w:shd w:val="clear" w:color="auto" w:fill="E5F1F8"/>
          </w:tcPr>
          <w:p>
            <w:pPr>
              <w:spacing w:after="0"/>
              <w:rPr>
                <w:sz w:val="18"/>
                <w:szCs w:val="18"/>
                <w:color w:val="auto"/>
              </w:rPr>
            </w:pPr>
          </w:p>
        </w:tc>
        <w:tc>
          <w:tcPr>
            <w:tcW w:w="740" w:type="dxa"/>
            <w:vAlign w:val="bottom"/>
            <w:tcBorders>
              <w:bottom w:val="single" w:sz="8" w:color="auto"/>
              <w:right w:val="single" w:sz="8" w:color="E5F1F8"/>
            </w:tcBorders>
            <w:shd w:val="clear" w:color="auto" w:fill="E5F1F8"/>
          </w:tcPr>
          <w:p>
            <w:pPr>
              <w:spacing w:after="0"/>
              <w:rPr>
                <w:sz w:val="18"/>
                <w:szCs w:val="18"/>
                <w:color w:val="auto"/>
              </w:rPr>
            </w:pPr>
          </w:p>
        </w:tc>
        <w:tc>
          <w:tcPr>
            <w:tcW w:w="480" w:type="dxa"/>
            <w:vAlign w:val="bottom"/>
            <w:tcBorders>
              <w:bottom w:val="single" w:sz="8" w:color="auto"/>
              <w:right w:val="single" w:sz="8" w:color="E5F1F8"/>
            </w:tcBorders>
            <w:gridSpan w:val="2"/>
            <w:shd w:val="clear" w:color="auto" w:fill="E5F1F8"/>
          </w:tcPr>
          <w:p>
            <w:pPr>
              <w:jc w:val="right"/>
              <w:ind w:right="140"/>
              <w:spacing w:after="0" w:line="215" w:lineRule="exact"/>
              <w:rPr>
                <w:sz w:val="20"/>
                <w:szCs w:val="20"/>
                <w:color w:val="auto"/>
              </w:rPr>
            </w:pPr>
            <w:r>
              <w:rPr>
                <w:rFonts w:ascii="Calibri" w:cs="Calibri" w:eastAsia="Calibri" w:hAnsi="Calibri"/>
                <w:sz w:val="18"/>
                <w:szCs w:val="18"/>
                <w:color w:val="auto"/>
              </w:rPr>
              <w:t>39</w:t>
            </w:r>
          </w:p>
        </w:tc>
        <w:tc>
          <w:tcPr>
            <w:tcW w:w="380" w:type="dxa"/>
            <w:vAlign w:val="bottom"/>
            <w:tcBorders>
              <w:bottom w:val="single" w:sz="8" w:color="auto"/>
            </w:tcBorders>
            <w:shd w:val="clear" w:color="auto" w:fill="E5F1F8"/>
          </w:tcPr>
          <w:p>
            <w:pPr>
              <w:spacing w:after="0"/>
              <w:rPr>
                <w:sz w:val="18"/>
                <w:szCs w:val="18"/>
                <w:color w:val="auto"/>
              </w:rPr>
            </w:pPr>
          </w:p>
        </w:tc>
        <w:tc>
          <w:tcPr>
            <w:tcW w:w="124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32</w:t>
            </w:r>
          </w:p>
        </w:tc>
      </w:tr>
      <w:tr>
        <w:trPr>
          <w:trHeight w:val="210"/>
        </w:trPr>
        <w:tc>
          <w:tcPr>
            <w:tcW w:w="5920" w:type="dxa"/>
            <w:vAlign w:val="bottom"/>
          </w:tcPr>
          <w:p>
            <w:pPr>
              <w:ind w:left="120"/>
              <w:spacing w:after="0" w:line="210" w:lineRule="exact"/>
              <w:rPr>
                <w:sz w:val="20"/>
                <w:szCs w:val="20"/>
                <w:color w:val="auto"/>
              </w:rPr>
            </w:pPr>
            <w:r>
              <w:rPr>
                <w:rFonts w:ascii="Calibri" w:cs="Calibri" w:eastAsia="Calibri" w:hAnsi="Calibri"/>
                <w:sz w:val="18"/>
                <w:szCs w:val="18"/>
                <w:color w:val="auto"/>
              </w:rPr>
              <w:t>Total reportable segments</w:t>
            </w:r>
          </w:p>
        </w:tc>
        <w:tc>
          <w:tcPr>
            <w:tcW w:w="42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40"/>
              <w:spacing w:after="0" w:line="210" w:lineRule="exact"/>
              <w:rPr>
                <w:sz w:val="20"/>
                <w:szCs w:val="20"/>
                <w:color w:val="auto"/>
              </w:rPr>
            </w:pPr>
            <w:r>
              <w:rPr>
                <w:rFonts w:ascii="Calibri" w:cs="Calibri" w:eastAsia="Calibri" w:hAnsi="Calibri"/>
                <w:sz w:val="18"/>
                <w:szCs w:val="18"/>
                <w:b w:val="1"/>
                <w:bCs w:val="1"/>
                <w:color w:val="auto"/>
              </w:rPr>
              <w:t>4,433</w:t>
            </w:r>
          </w:p>
        </w:tc>
        <w:tc>
          <w:tcPr>
            <w:tcW w:w="100" w:type="dxa"/>
            <w:vAlign w:val="bottom"/>
            <w:tcBorders>
              <w:right w:val="single" w:sz="8" w:color="007CBA"/>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Borders>
              <w:right w:val="single" w:sz="8" w:color="007CBA"/>
            </w:tcBorders>
            <w:gridSpan w:val="2"/>
          </w:tcPr>
          <w:p>
            <w:pPr>
              <w:jc w:val="right"/>
              <w:ind w:right="140"/>
              <w:spacing w:after="0" w:line="210" w:lineRule="exact"/>
              <w:rPr>
                <w:sz w:val="20"/>
                <w:szCs w:val="20"/>
                <w:color w:val="auto"/>
              </w:rPr>
            </w:pPr>
            <w:r>
              <w:rPr>
                <w:rFonts w:ascii="Calibri" w:cs="Calibri" w:eastAsia="Calibri" w:hAnsi="Calibri"/>
                <w:sz w:val="18"/>
                <w:szCs w:val="18"/>
                <w:color w:val="auto"/>
              </w:rPr>
              <w:t>612</w:t>
            </w:r>
          </w:p>
        </w:tc>
        <w:tc>
          <w:tcPr>
            <w:tcW w:w="380" w:type="dxa"/>
            <w:vAlign w:val="bottom"/>
          </w:tcPr>
          <w:p>
            <w:pPr>
              <w:spacing w:after="0"/>
              <w:rPr>
                <w:sz w:val="18"/>
                <w:szCs w:val="18"/>
                <w:color w:val="auto"/>
              </w:rPr>
            </w:pPr>
          </w:p>
        </w:tc>
        <w:tc>
          <w:tcPr>
            <w:tcW w:w="1240" w:type="dxa"/>
            <w:vAlign w:val="bottom"/>
            <w:tcBorders>
              <w:right w:val="single" w:sz="8" w:color="007CBA"/>
            </w:tcBorders>
          </w:tcPr>
          <w:p>
            <w:pPr>
              <w:jc w:val="right"/>
              <w:ind w:right="50"/>
              <w:spacing w:after="0" w:line="210" w:lineRule="exact"/>
              <w:rPr>
                <w:sz w:val="20"/>
                <w:szCs w:val="20"/>
                <w:color w:val="auto"/>
              </w:rPr>
            </w:pPr>
            <w:r>
              <w:rPr>
                <w:rFonts w:ascii="Calibri" w:cs="Calibri" w:eastAsia="Calibri" w:hAnsi="Calibri"/>
                <w:sz w:val="18"/>
                <w:szCs w:val="18"/>
                <w:color w:val="auto"/>
              </w:rPr>
              <w:t>523</w:t>
            </w:r>
          </w:p>
        </w:tc>
      </w:tr>
      <w:tr>
        <w:trPr>
          <w:trHeight w:val="215"/>
        </w:trPr>
        <w:tc>
          <w:tcPr>
            <w:tcW w:w="592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420" w:type="dxa"/>
            <w:vAlign w:val="bottom"/>
            <w:tcBorders>
              <w:bottom w:val="single" w:sz="8" w:color="auto"/>
              <w:right w:val="single" w:sz="8" w:color="E5F1F8"/>
            </w:tcBorders>
            <w:shd w:val="clear" w:color="auto" w:fill="E5F1F8"/>
          </w:tcPr>
          <w:p>
            <w:pPr>
              <w:spacing w:after="0"/>
              <w:rPr>
                <w:sz w:val="18"/>
                <w:szCs w:val="18"/>
                <w:color w:val="auto"/>
              </w:rPr>
            </w:pPr>
          </w:p>
        </w:tc>
        <w:tc>
          <w:tcPr>
            <w:tcW w:w="320" w:type="dxa"/>
            <w:vAlign w:val="bottom"/>
            <w:tcBorders>
              <w:bottom w:val="single" w:sz="8" w:color="auto"/>
            </w:tcBorders>
            <w:shd w:val="clear" w:color="auto" w:fill="E5F1F8"/>
          </w:tcPr>
          <w:p>
            <w:pPr>
              <w:spacing w:after="0"/>
              <w:rPr>
                <w:sz w:val="18"/>
                <w:szCs w:val="18"/>
                <w:color w:val="auto"/>
              </w:rPr>
            </w:pPr>
          </w:p>
        </w:tc>
        <w:tc>
          <w:tcPr>
            <w:tcW w:w="1220" w:type="dxa"/>
            <w:vAlign w:val="bottom"/>
            <w:tcBorders>
              <w:bottom w:val="single" w:sz="8" w:color="auto"/>
            </w:tcBorders>
            <w:gridSpan w:val="3"/>
            <w:shd w:val="clear" w:color="auto" w:fill="E5F1F8"/>
          </w:tcPr>
          <w:p>
            <w:pPr>
              <w:jc w:val="right"/>
              <w:ind w:right="40"/>
              <w:spacing w:after="0" w:line="215" w:lineRule="exact"/>
              <w:rPr>
                <w:sz w:val="20"/>
                <w:szCs w:val="20"/>
                <w:color w:val="auto"/>
              </w:rPr>
            </w:pPr>
            <w:r>
              <w:rPr>
                <w:rFonts w:ascii="Calibri" w:cs="Calibri" w:eastAsia="Calibri" w:hAnsi="Calibri"/>
                <w:sz w:val="18"/>
                <w:szCs w:val="18"/>
                <w:b w:val="1"/>
                <w:bCs w:val="1"/>
                <w:color w:val="auto"/>
              </w:rPr>
              <w:t>22</w:t>
            </w:r>
          </w:p>
        </w:tc>
        <w:tc>
          <w:tcPr>
            <w:tcW w:w="100" w:type="dxa"/>
            <w:vAlign w:val="bottom"/>
            <w:tcBorders>
              <w:bottom w:val="single" w:sz="8" w:color="auto"/>
              <w:right w:val="single" w:sz="8" w:color="E5F1F8"/>
            </w:tcBorders>
            <w:shd w:val="clear" w:color="auto" w:fill="E5F1F8"/>
          </w:tcPr>
          <w:p>
            <w:pPr>
              <w:spacing w:after="0"/>
              <w:rPr>
                <w:sz w:val="18"/>
                <w:szCs w:val="18"/>
                <w:color w:val="auto"/>
              </w:rPr>
            </w:pPr>
          </w:p>
        </w:tc>
        <w:tc>
          <w:tcPr>
            <w:tcW w:w="420" w:type="dxa"/>
            <w:vAlign w:val="bottom"/>
            <w:tcBorders>
              <w:bottom w:val="single" w:sz="8" w:color="auto"/>
            </w:tcBorders>
            <w:shd w:val="clear" w:color="auto" w:fill="E5F1F8"/>
          </w:tcPr>
          <w:p>
            <w:pPr>
              <w:spacing w:after="0"/>
              <w:rPr>
                <w:sz w:val="18"/>
                <w:szCs w:val="18"/>
                <w:color w:val="auto"/>
              </w:rPr>
            </w:pPr>
          </w:p>
        </w:tc>
        <w:tc>
          <w:tcPr>
            <w:tcW w:w="740" w:type="dxa"/>
            <w:vAlign w:val="bottom"/>
            <w:tcBorders>
              <w:bottom w:val="single" w:sz="8" w:color="auto"/>
              <w:right w:val="single" w:sz="8" w:color="E5F1F8"/>
            </w:tcBorders>
            <w:shd w:val="clear" w:color="auto" w:fill="E5F1F8"/>
          </w:tcPr>
          <w:p>
            <w:pPr>
              <w:spacing w:after="0"/>
              <w:rPr>
                <w:sz w:val="18"/>
                <w:szCs w:val="18"/>
                <w:color w:val="auto"/>
              </w:rPr>
            </w:pPr>
          </w:p>
        </w:tc>
        <w:tc>
          <w:tcPr>
            <w:tcW w:w="480" w:type="dxa"/>
            <w:vAlign w:val="bottom"/>
            <w:tcBorders>
              <w:bottom w:val="single" w:sz="8" w:color="auto"/>
              <w:right w:val="single" w:sz="8" w:color="E5F1F8"/>
            </w:tcBorders>
            <w:gridSpan w:val="2"/>
            <w:shd w:val="clear" w:color="auto" w:fill="E5F1F8"/>
          </w:tcPr>
          <w:p>
            <w:pPr>
              <w:jc w:val="right"/>
              <w:ind w:right="140"/>
              <w:spacing w:after="0" w:line="215" w:lineRule="exact"/>
              <w:rPr>
                <w:sz w:val="20"/>
                <w:szCs w:val="20"/>
                <w:color w:val="auto"/>
              </w:rPr>
            </w:pPr>
            <w:r>
              <w:rPr>
                <w:rFonts w:ascii="Calibri" w:cs="Calibri" w:eastAsia="Calibri" w:hAnsi="Calibri"/>
                <w:sz w:val="18"/>
                <w:szCs w:val="18"/>
                <w:color w:val="auto"/>
              </w:rPr>
              <w:t>14</w:t>
            </w:r>
          </w:p>
        </w:tc>
        <w:tc>
          <w:tcPr>
            <w:tcW w:w="380" w:type="dxa"/>
            <w:vAlign w:val="bottom"/>
            <w:tcBorders>
              <w:bottom w:val="single" w:sz="8" w:color="auto"/>
            </w:tcBorders>
            <w:shd w:val="clear" w:color="auto" w:fill="E5F1F8"/>
          </w:tcPr>
          <w:p>
            <w:pPr>
              <w:spacing w:after="0"/>
              <w:rPr>
                <w:sz w:val="18"/>
                <w:szCs w:val="18"/>
                <w:color w:val="auto"/>
              </w:rPr>
            </w:pPr>
          </w:p>
        </w:tc>
        <w:tc>
          <w:tcPr>
            <w:tcW w:w="124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21</w:t>
            </w:r>
          </w:p>
        </w:tc>
      </w:tr>
      <w:tr>
        <w:trPr>
          <w:trHeight w:val="209"/>
        </w:trPr>
        <w:tc>
          <w:tcPr>
            <w:tcW w:w="592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740" w:type="dxa"/>
            <w:vAlign w:val="bottom"/>
            <w:tcBorders>
              <w:bottom w:val="single" w:sz="8" w:color="auto"/>
            </w:tcBorders>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220" w:type="dxa"/>
            <w:vAlign w:val="bottom"/>
            <w:tcBorders>
              <w:bottom w:val="single" w:sz="8" w:color="auto"/>
            </w:tcBorders>
            <w:gridSpan w:val="3"/>
          </w:tcPr>
          <w:p>
            <w:pPr>
              <w:jc w:val="right"/>
              <w:ind w:right="40"/>
              <w:spacing w:after="0" w:line="209" w:lineRule="exact"/>
              <w:rPr>
                <w:sz w:val="20"/>
                <w:szCs w:val="20"/>
                <w:color w:val="auto"/>
              </w:rPr>
            </w:pPr>
            <w:r>
              <w:rPr>
                <w:rFonts w:ascii="Calibri" w:cs="Calibri" w:eastAsia="Calibri" w:hAnsi="Calibri"/>
                <w:sz w:val="18"/>
                <w:szCs w:val="18"/>
                <w:b w:val="1"/>
                <w:bCs w:val="1"/>
                <w:color w:val="auto"/>
              </w:rPr>
              <w:t>4,455</w:t>
            </w:r>
          </w:p>
        </w:tc>
        <w:tc>
          <w:tcPr>
            <w:tcW w:w="520" w:type="dxa"/>
            <w:vAlign w:val="bottom"/>
            <w:tcBorders>
              <w:bottom w:val="single" w:sz="8" w:color="auto"/>
            </w:tcBorders>
            <w:gridSpan w:val="2"/>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140"/>
              <w:spacing w:after="0" w:line="209" w:lineRule="exact"/>
              <w:rPr>
                <w:sz w:val="20"/>
                <w:szCs w:val="20"/>
                <w:color w:val="auto"/>
              </w:rPr>
            </w:pPr>
            <w:r>
              <w:rPr>
                <w:rFonts w:ascii="Calibri" w:cs="Calibri" w:eastAsia="Calibri" w:hAnsi="Calibri"/>
                <w:sz w:val="18"/>
                <w:szCs w:val="18"/>
                <w:color w:val="auto"/>
              </w:rPr>
              <w:t>626</w:t>
            </w:r>
          </w:p>
        </w:tc>
        <w:tc>
          <w:tcPr>
            <w:tcW w:w="38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544</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5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4"/>
        </w:trPr>
        <w:tc>
          <w:tcPr>
            <w:tcW w:w="592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420" w:type="dxa"/>
            <w:vAlign w:val="bottom"/>
            <w:tcBorders>
              <w:right w:val="single" w:sz="8" w:color="007CBA"/>
            </w:tcBorders>
            <w:shd w:val="clear" w:color="auto" w:fill="007CBA"/>
          </w:tcPr>
          <w:p>
            <w:pPr>
              <w:spacing w:after="0"/>
              <w:rPr>
                <w:sz w:val="16"/>
                <w:szCs w:val="16"/>
                <w:color w:val="auto"/>
              </w:rPr>
            </w:pPr>
          </w:p>
        </w:tc>
        <w:tc>
          <w:tcPr>
            <w:tcW w:w="320" w:type="dxa"/>
            <w:vAlign w:val="bottom"/>
            <w:shd w:val="clear" w:color="auto" w:fill="007CBA"/>
          </w:tcPr>
          <w:p>
            <w:pPr>
              <w:spacing w:after="0"/>
              <w:rPr>
                <w:sz w:val="16"/>
                <w:szCs w:val="16"/>
                <w:color w:val="auto"/>
              </w:rPr>
            </w:pPr>
          </w:p>
        </w:tc>
        <w:tc>
          <w:tcPr>
            <w:tcW w:w="38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180" w:type="dxa"/>
            <w:vAlign w:val="bottom"/>
            <w:shd w:val="clear" w:color="auto" w:fill="007CBA"/>
          </w:tcPr>
          <w:p>
            <w:pPr>
              <w:spacing w:after="0"/>
              <w:rPr>
                <w:sz w:val="16"/>
                <w:szCs w:val="16"/>
                <w:color w:val="auto"/>
              </w:rPr>
            </w:pPr>
          </w:p>
        </w:tc>
        <w:tc>
          <w:tcPr>
            <w:tcW w:w="100" w:type="dxa"/>
            <w:vAlign w:val="bottom"/>
            <w:tcBorders>
              <w:right w:val="single" w:sz="8" w:color="007CBA"/>
            </w:tcBorders>
            <w:shd w:val="clear" w:color="auto" w:fill="007CBA"/>
          </w:tcPr>
          <w:p>
            <w:pPr>
              <w:spacing w:after="0"/>
              <w:rPr>
                <w:sz w:val="16"/>
                <w:szCs w:val="16"/>
                <w:color w:val="auto"/>
              </w:rPr>
            </w:pPr>
          </w:p>
        </w:tc>
        <w:tc>
          <w:tcPr>
            <w:tcW w:w="420" w:type="dxa"/>
            <w:vAlign w:val="bottom"/>
            <w:shd w:val="clear" w:color="auto" w:fill="007CBA"/>
          </w:tcPr>
          <w:p>
            <w:pPr>
              <w:spacing w:after="0"/>
              <w:rPr>
                <w:sz w:val="16"/>
                <w:szCs w:val="16"/>
                <w:color w:val="auto"/>
              </w:rPr>
            </w:pPr>
          </w:p>
        </w:tc>
        <w:tc>
          <w:tcPr>
            <w:tcW w:w="740" w:type="dxa"/>
            <w:vAlign w:val="bottom"/>
            <w:tcBorders>
              <w:right w:val="single" w:sz="8" w:color="007CBA"/>
            </w:tcBorders>
            <w:shd w:val="clear" w:color="auto" w:fill="007CBA"/>
          </w:tcPr>
          <w:p>
            <w:pPr>
              <w:spacing w:after="0"/>
              <w:rPr>
                <w:sz w:val="16"/>
                <w:szCs w:val="16"/>
                <w:color w:val="auto"/>
              </w:rPr>
            </w:pPr>
          </w:p>
        </w:tc>
        <w:tc>
          <w:tcPr>
            <w:tcW w:w="320" w:type="dxa"/>
            <w:vAlign w:val="bottom"/>
            <w:tcBorders>
              <w:right w:val="single" w:sz="8" w:color="007CBA"/>
            </w:tcBorders>
            <w:shd w:val="clear" w:color="auto" w:fill="007CBA"/>
          </w:tcPr>
          <w:p>
            <w:pPr>
              <w:spacing w:after="0"/>
              <w:rPr>
                <w:sz w:val="16"/>
                <w:szCs w:val="16"/>
                <w:color w:val="auto"/>
              </w:rPr>
            </w:pPr>
          </w:p>
        </w:tc>
        <w:tc>
          <w:tcPr>
            <w:tcW w:w="160" w:type="dxa"/>
            <w:vAlign w:val="bottom"/>
            <w:tcBorders>
              <w:right w:val="single" w:sz="8" w:color="007CBA"/>
            </w:tcBorders>
            <w:shd w:val="clear" w:color="auto" w:fill="007CBA"/>
          </w:tcPr>
          <w:p>
            <w:pPr>
              <w:spacing w:after="0"/>
              <w:rPr>
                <w:sz w:val="16"/>
                <w:szCs w:val="16"/>
                <w:color w:val="auto"/>
              </w:rPr>
            </w:pPr>
          </w:p>
        </w:tc>
        <w:tc>
          <w:tcPr>
            <w:tcW w:w="380" w:type="dxa"/>
            <w:vAlign w:val="bottom"/>
            <w:shd w:val="clear" w:color="auto" w:fill="007CBA"/>
          </w:tcPr>
          <w:p>
            <w:pPr>
              <w:spacing w:after="0"/>
              <w:rPr>
                <w:sz w:val="16"/>
                <w:szCs w:val="16"/>
                <w:color w:val="auto"/>
              </w:rPr>
            </w:pPr>
          </w:p>
        </w:tc>
        <w:tc>
          <w:tcPr>
            <w:tcW w:w="1240" w:type="dxa"/>
            <w:vAlign w:val="bottom"/>
            <w:tcBorders>
              <w:right w:val="single" w:sz="8" w:color="007CBA"/>
            </w:tcBorders>
            <w:shd w:val="clear" w:color="auto" w:fill="007CBA"/>
          </w:tcPr>
          <w:p>
            <w:pPr>
              <w:spacing w:after="0"/>
              <w:rPr>
                <w:sz w:val="16"/>
                <w:szCs w:val="16"/>
                <w:color w:val="auto"/>
              </w:rPr>
            </w:pPr>
          </w:p>
        </w:tc>
      </w:tr>
      <w:tr>
        <w:trPr>
          <w:trHeight w:val="215"/>
        </w:trPr>
        <w:tc>
          <w:tcPr>
            <w:tcW w:w="592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2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380" w:type="dxa"/>
            <w:vAlign w:val="bottom"/>
            <w:tcBorders>
              <w:right w:val="single" w:sz="8" w:color="007CBA"/>
            </w:tcBorders>
            <w:shd w:val="clear" w:color="auto" w:fill="007CBA"/>
          </w:tcPr>
          <w:p>
            <w:pPr>
              <w:spacing w:after="0"/>
              <w:rPr>
                <w:sz w:val="18"/>
                <w:szCs w:val="18"/>
                <w:color w:val="auto"/>
              </w:rPr>
            </w:pPr>
          </w:p>
        </w:tc>
        <w:tc>
          <w:tcPr>
            <w:tcW w:w="660" w:type="dxa"/>
            <w:vAlign w:val="bottom"/>
            <w:tcBorders>
              <w:right w:val="single" w:sz="8" w:color="007CBA"/>
            </w:tcBorders>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10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740" w:type="dxa"/>
            <w:vAlign w:val="bottom"/>
            <w:tcBorders>
              <w:right w:val="single" w:sz="8" w:color="007CBA"/>
            </w:tcBorders>
            <w:shd w:val="clear" w:color="auto" w:fill="007CBA"/>
          </w:tcPr>
          <w:p>
            <w:pPr>
              <w:spacing w:after="0"/>
              <w:rPr>
                <w:sz w:val="18"/>
                <w:szCs w:val="18"/>
                <w:color w:val="auto"/>
              </w:rPr>
            </w:pPr>
          </w:p>
        </w:tc>
        <w:tc>
          <w:tcPr>
            <w:tcW w:w="320" w:type="dxa"/>
            <w:vAlign w:val="bottom"/>
            <w:tcBorders>
              <w:right w:val="single" w:sz="8" w:color="007CBA"/>
            </w:tcBorders>
            <w:shd w:val="clear" w:color="auto" w:fill="007CBA"/>
          </w:tcPr>
          <w:p>
            <w:pPr>
              <w:spacing w:after="0"/>
              <w:rPr>
                <w:sz w:val="18"/>
                <w:szCs w:val="18"/>
                <w:color w:val="auto"/>
              </w:rPr>
            </w:pPr>
          </w:p>
        </w:tc>
        <w:tc>
          <w:tcPr>
            <w:tcW w:w="16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r>
      <w:tr>
        <w:trPr>
          <w:trHeight w:val="219"/>
        </w:trPr>
        <w:tc>
          <w:tcPr>
            <w:tcW w:w="592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Property additons through acquisitons</w:t>
            </w:r>
          </w:p>
        </w:tc>
        <w:tc>
          <w:tcPr>
            <w:tcW w:w="420" w:type="dxa"/>
            <w:vAlign w:val="bottom"/>
            <w:tcBorders>
              <w:bottom w:val="single" w:sz="8" w:color="007CBA"/>
              <w:right w:val="single" w:sz="8" w:color="007CBA"/>
            </w:tcBorders>
            <w:shd w:val="clear" w:color="auto" w:fill="007CBA"/>
          </w:tcPr>
          <w:p>
            <w:pPr>
              <w:spacing w:after="0"/>
              <w:rPr>
                <w:sz w:val="19"/>
                <w:szCs w:val="19"/>
                <w:color w:val="auto"/>
              </w:rPr>
            </w:pPr>
          </w:p>
        </w:tc>
        <w:tc>
          <w:tcPr>
            <w:tcW w:w="320" w:type="dxa"/>
            <w:vAlign w:val="bottom"/>
            <w:tcBorders>
              <w:bottom w:val="single" w:sz="8" w:color="007CBA"/>
            </w:tcBorders>
            <w:shd w:val="clear" w:color="auto" w:fill="007CBA"/>
          </w:tcPr>
          <w:p>
            <w:pPr>
              <w:spacing w:after="0"/>
              <w:rPr>
                <w:sz w:val="19"/>
                <w:szCs w:val="19"/>
                <w:color w:val="auto"/>
              </w:rPr>
            </w:pPr>
          </w:p>
        </w:tc>
        <w:tc>
          <w:tcPr>
            <w:tcW w:w="1040" w:type="dxa"/>
            <w:vAlign w:val="bottom"/>
            <w:tcBorders>
              <w:bottom w:val="single" w:sz="8" w:color="007CBA"/>
              <w:right w:val="single" w:sz="8" w:color="007CBA"/>
            </w:tcBorders>
            <w:gridSpan w:val="2"/>
            <w:shd w:val="clear" w:color="auto" w:fill="007CBA"/>
          </w:tcPr>
          <w:p>
            <w:pPr>
              <w:jc w:val="right"/>
              <w:ind w:right="570"/>
              <w:spacing w:after="0" w:line="216" w:lineRule="exact"/>
              <w:rPr>
                <w:sz w:val="20"/>
                <w:szCs w:val="20"/>
                <w:color w:val="auto"/>
              </w:rPr>
            </w:pPr>
            <w:r>
              <w:rPr>
                <w:rFonts w:ascii="Calibri" w:cs="Calibri" w:eastAsia="Calibri" w:hAnsi="Calibri"/>
                <w:sz w:val="18"/>
                <w:szCs w:val="18"/>
                <w:b w:val="1"/>
                <w:bCs w:val="1"/>
                <w:color w:val="FFFFFF"/>
                <w:w w:val="98"/>
              </w:rPr>
              <w:t>2024</w:t>
            </w:r>
          </w:p>
        </w:tc>
        <w:tc>
          <w:tcPr>
            <w:tcW w:w="180" w:type="dxa"/>
            <w:vAlign w:val="bottom"/>
            <w:tcBorders>
              <w:bottom w:val="single" w:sz="8" w:color="007CBA"/>
            </w:tcBorders>
            <w:shd w:val="clear" w:color="auto" w:fill="007CBA"/>
          </w:tcPr>
          <w:p>
            <w:pPr>
              <w:spacing w:after="0"/>
              <w:rPr>
                <w:sz w:val="19"/>
                <w:szCs w:val="19"/>
                <w:color w:val="auto"/>
              </w:rPr>
            </w:pPr>
          </w:p>
        </w:tc>
        <w:tc>
          <w:tcPr>
            <w:tcW w:w="100" w:type="dxa"/>
            <w:vAlign w:val="bottom"/>
            <w:tcBorders>
              <w:bottom w:val="single" w:sz="8" w:color="007CBA"/>
              <w:right w:val="single" w:sz="8" w:color="007CBA"/>
            </w:tcBorders>
            <w:shd w:val="clear" w:color="auto" w:fill="007CBA"/>
          </w:tcPr>
          <w:p>
            <w:pPr>
              <w:spacing w:after="0"/>
              <w:rPr>
                <w:sz w:val="19"/>
                <w:szCs w:val="19"/>
                <w:color w:val="auto"/>
              </w:rPr>
            </w:pPr>
          </w:p>
        </w:tc>
        <w:tc>
          <w:tcPr>
            <w:tcW w:w="420" w:type="dxa"/>
            <w:vAlign w:val="bottom"/>
            <w:tcBorders>
              <w:bottom w:val="single" w:sz="8" w:color="007CBA"/>
            </w:tcBorders>
            <w:shd w:val="clear" w:color="auto" w:fill="007CBA"/>
          </w:tcPr>
          <w:p>
            <w:pPr>
              <w:spacing w:after="0"/>
              <w:rPr>
                <w:sz w:val="19"/>
                <w:szCs w:val="19"/>
                <w:color w:val="auto"/>
              </w:rPr>
            </w:pPr>
          </w:p>
        </w:tc>
        <w:tc>
          <w:tcPr>
            <w:tcW w:w="740" w:type="dxa"/>
            <w:vAlign w:val="bottom"/>
            <w:tcBorders>
              <w:bottom w:val="single" w:sz="8" w:color="007CBA"/>
              <w:right w:val="single" w:sz="8" w:color="007CBA"/>
            </w:tcBorders>
            <w:shd w:val="clear" w:color="auto" w:fill="007CBA"/>
          </w:tcPr>
          <w:p>
            <w:pPr>
              <w:jc w:val="right"/>
              <w:ind w:right="250"/>
              <w:spacing w:after="0" w:line="216" w:lineRule="exact"/>
              <w:rPr>
                <w:sz w:val="20"/>
                <w:szCs w:val="20"/>
                <w:color w:val="auto"/>
              </w:rPr>
            </w:pPr>
            <w:r>
              <w:rPr>
                <w:rFonts w:ascii="Calibri" w:cs="Calibri" w:eastAsia="Calibri" w:hAnsi="Calibri"/>
                <w:sz w:val="18"/>
                <w:szCs w:val="18"/>
                <w:color w:val="FFFFFF"/>
              </w:rPr>
              <w:t>2023</w:t>
            </w:r>
          </w:p>
        </w:tc>
        <w:tc>
          <w:tcPr>
            <w:tcW w:w="320" w:type="dxa"/>
            <w:vAlign w:val="bottom"/>
            <w:tcBorders>
              <w:bottom w:val="single" w:sz="8" w:color="007CBA"/>
              <w:right w:val="single" w:sz="8" w:color="007CBA"/>
            </w:tcBorders>
            <w:shd w:val="clear" w:color="auto" w:fill="007CBA"/>
          </w:tcPr>
          <w:p>
            <w:pPr>
              <w:spacing w:after="0"/>
              <w:rPr>
                <w:sz w:val="19"/>
                <w:szCs w:val="19"/>
                <w:color w:val="auto"/>
              </w:rPr>
            </w:pPr>
          </w:p>
        </w:tc>
        <w:tc>
          <w:tcPr>
            <w:tcW w:w="160" w:type="dxa"/>
            <w:vAlign w:val="bottom"/>
            <w:tcBorders>
              <w:bottom w:val="single" w:sz="8" w:color="007CBA"/>
              <w:right w:val="single" w:sz="8" w:color="007CBA"/>
            </w:tcBorders>
            <w:shd w:val="clear" w:color="auto" w:fill="007CBA"/>
          </w:tcPr>
          <w:p>
            <w:pPr>
              <w:spacing w:after="0"/>
              <w:rPr>
                <w:sz w:val="19"/>
                <w:szCs w:val="19"/>
                <w:color w:val="auto"/>
              </w:rPr>
            </w:pPr>
          </w:p>
        </w:tc>
        <w:tc>
          <w:tcPr>
            <w:tcW w:w="380" w:type="dxa"/>
            <w:vAlign w:val="bottom"/>
            <w:tcBorders>
              <w:bottom w:val="single" w:sz="8" w:color="007CBA"/>
            </w:tcBorders>
            <w:shd w:val="clear" w:color="auto" w:fill="007CBA"/>
          </w:tcPr>
          <w:p>
            <w:pPr>
              <w:spacing w:after="0"/>
              <w:rPr>
                <w:sz w:val="19"/>
                <w:szCs w:val="19"/>
                <w:color w:val="auto"/>
              </w:rPr>
            </w:pPr>
          </w:p>
        </w:tc>
        <w:tc>
          <w:tcPr>
            <w:tcW w:w="1240" w:type="dxa"/>
            <w:vAlign w:val="bottom"/>
            <w:tcBorders>
              <w:bottom w:val="single" w:sz="8" w:color="007CBA"/>
              <w:right w:val="single" w:sz="8" w:color="007CBA"/>
            </w:tcBorders>
            <w:shd w:val="clear" w:color="auto" w:fill="007CBA"/>
          </w:tcPr>
          <w:p>
            <w:pPr>
              <w:jc w:val="right"/>
              <w:ind w:right="570"/>
              <w:spacing w:after="0" w:line="216" w:lineRule="exact"/>
              <w:rPr>
                <w:sz w:val="20"/>
                <w:szCs w:val="20"/>
                <w:color w:val="auto"/>
              </w:rPr>
            </w:pPr>
            <w:r>
              <w:rPr>
                <w:rFonts w:ascii="Calibri" w:cs="Calibri" w:eastAsia="Calibri" w:hAnsi="Calibri"/>
                <w:sz w:val="18"/>
                <w:szCs w:val="18"/>
                <w:color w:val="FFFFFF"/>
              </w:rPr>
              <w:t>2022</w:t>
            </w:r>
          </w:p>
        </w:tc>
      </w:tr>
      <w:tr>
        <w:trPr>
          <w:trHeight w:val="215"/>
        </w:trPr>
        <w:tc>
          <w:tcPr>
            <w:tcW w:w="5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Pr>
          <w:p>
            <w:pPr>
              <w:spacing w:after="0"/>
              <w:rPr>
                <w:sz w:val="18"/>
                <w:szCs w:val="18"/>
                <w:color w:val="auto"/>
              </w:rPr>
            </w:pPr>
          </w:p>
        </w:tc>
        <w:tc>
          <w:tcPr>
            <w:tcW w:w="1040" w:type="dxa"/>
            <w:vAlign w:val="bottom"/>
            <w:tcBorders>
              <w:right w:val="single" w:sz="8" w:color="007CBA"/>
            </w:tcBorders>
            <w:gridSpan w:val="2"/>
          </w:tcPr>
          <w:p>
            <w:pPr>
              <w:jc w:val="center"/>
              <w:ind w:left="270"/>
              <w:spacing w:after="0" w:line="215" w:lineRule="exact"/>
              <w:rPr>
                <w:sz w:val="20"/>
                <w:szCs w:val="20"/>
                <w:color w:val="auto"/>
              </w:rPr>
            </w:pPr>
            <w:r>
              <w:rPr>
                <w:rFonts w:ascii="Calibri" w:cs="Calibri" w:eastAsia="Calibri" w:hAnsi="Calibri"/>
                <w:sz w:val="18"/>
                <w:szCs w:val="18"/>
                <w:b w:val="1"/>
                <w:bCs w:val="1"/>
                <w:color w:val="auto"/>
                <w:w w:val="97"/>
              </w:rPr>
              <w:t>2,853</w:t>
            </w:r>
          </w:p>
        </w:tc>
        <w:tc>
          <w:tcPr>
            <w:tcW w:w="180" w:type="dxa"/>
            <w:vAlign w:val="bottom"/>
          </w:tcPr>
          <w:p>
            <w:pPr>
              <w:spacing w:after="0"/>
              <w:rPr>
                <w:sz w:val="18"/>
                <w:szCs w:val="18"/>
                <w:color w:val="auto"/>
              </w:rPr>
            </w:pPr>
          </w:p>
        </w:tc>
        <w:tc>
          <w:tcPr>
            <w:tcW w:w="520" w:type="dxa"/>
            <w:vAlign w:val="bottom"/>
            <w:gridSpan w:val="2"/>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spacing w:after="0"/>
              <w:rPr>
                <w:sz w:val="18"/>
                <w:szCs w:val="18"/>
                <w:color w:val="auto"/>
              </w:rPr>
            </w:pPr>
          </w:p>
        </w:tc>
        <w:tc>
          <w:tcPr>
            <w:tcW w:w="320" w:type="dxa"/>
            <w:vAlign w:val="bottom"/>
            <w:tcBorders>
              <w:right w:val="single" w:sz="8" w:color="007CBA"/>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5920" w:type="dxa"/>
            <w:vAlign w:val="bottom"/>
            <w:tcBorders>
              <w:bottom w:val="single" w:sz="8" w:color="auto"/>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West Group</w:t>
            </w:r>
          </w:p>
        </w:tc>
        <w:tc>
          <w:tcPr>
            <w:tcW w:w="420" w:type="dxa"/>
            <w:vAlign w:val="bottom"/>
            <w:tcBorders>
              <w:bottom w:val="single" w:sz="8" w:color="auto"/>
              <w:right w:val="single" w:sz="8" w:color="E5F1F8"/>
            </w:tcBorders>
            <w:shd w:val="clear" w:color="auto" w:fill="E5F1F8"/>
          </w:tcPr>
          <w:p>
            <w:pPr>
              <w:spacing w:after="0"/>
              <w:rPr>
                <w:sz w:val="18"/>
                <w:szCs w:val="18"/>
                <w:color w:val="auto"/>
              </w:rPr>
            </w:pPr>
          </w:p>
        </w:tc>
        <w:tc>
          <w:tcPr>
            <w:tcW w:w="32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right w:val="single" w:sz="8" w:color="007CBA"/>
            </w:tcBorders>
            <w:gridSpan w:val="2"/>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732</w:t>
            </w:r>
          </w:p>
        </w:tc>
        <w:tc>
          <w:tcPr>
            <w:tcW w:w="180" w:type="dxa"/>
            <w:vAlign w:val="bottom"/>
            <w:tcBorders>
              <w:bottom w:val="single" w:sz="8" w:color="auto"/>
            </w:tcBorders>
            <w:shd w:val="clear" w:color="auto" w:fill="E5F1F8"/>
          </w:tcPr>
          <w:p>
            <w:pPr>
              <w:spacing w:after="0"/>
              <w:rPr>
                <w:sz w:val="18"/>
                <w:szCs w:val="18"/>
                <w:color w:val="auto"/>
              </w:rPr>
            </w:pPr>
          </w:p>
        </w:tc>
        <w:tc>
          <w:tcPr>
            <w:tcW w:w="100" w:type="dxa"/>
            <w:vAlign w:val="bottom"/>
            <w:tcBorders>
              <w:bottom w:val="single" w:sz="8" w:color="auto"/>
              <w:right w:val="single" w:sz="8" w:color="E5F1F8"/>
            </w:tcBorders>
            <w:shd w:val="clear" w:color="auto" w:fill="E5F1F8"/>
          </w:tcPr>
          <w:p>
            <w:pPr>
              <w:spacing w:after="0"/>
              <w:rPr>
                <w:sz w:val="18"/>
                <w:szCs w:val="18"/>
                <w:color w:val="auto"/>
              </w:rPr>
            </w:pPr>
          </w:p>
        </w:tc>
        <w:tc>
          <w:tcPr>
            <w:tcW w:w="420" w:type="dxa"/>
            <w:vAlign w:val="bottom"/>
            <w:tcBorders>
              <w:bottom w:val="single" w:sz="8" w:color="auto"/>
            </w:tcBorders>
            <w:shd w:val="clear" w:color="auto" w:fill="E5F1F8"/>
          </w:tcPr>
          <w:p>
            <w:pPr>
              <w:spacing w:after="0"/>
              <w:rPr>
                <w:sz w:val="18"/>
                <w:szCs w:val="18"/>
                <w:color w:val="auto"/>
              </w:rPr>
            </w:pPr>
          </w:p>
        </w:tc>
        <w:tc>
          <w:tcPr>
            <w:tcW w:w="740" w:type="dxa"/>
            <w:vAlign w:val="bottom"/>
            <w:tcBorders>
              <w:bottom w:val="single" w:sz="8" w:color="auto"/>
              <w:right w:val="single" w:sz="8" w:color="E5F1F8"/>
            </w:tcBorders>
            <w:shd w:val="clear" w:color="auto" w:fill="E5F1F8"/>
          </w:tcPr>
          <w:p>
            <w:pPr>
              <w:spacing w:after="0"/>
              <w:rPr>
                <w:sz w:val="18"/>
                <w:szCs w:val="18"/>
                <w:color w:val="auto"/>
              </w:rPr>
            </w:pPr>
          </w:p>
        </w:tc>
        <w:tc>
          <w:tcPr>
            <w:tcW w:w="320" w:type="dxa"/>
            <w:vAlign w:val="bottom"/>
            <w:tcBorders>
              <w:bottom w:val="single" w:sz="8" w:color="auto"/>
              <w:right w:val="single" w:sz="8" w:color="007CBA"/>
            </w:tcBorders>
            <w:shd w:val="clear" w:color="auto" w:fill="E5F1F8"/>
          </w:tcPr>
          <w:p>
            <w:pPr>
              <w:ind w:left="2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auto"/>
              <w:right w:val="single" w:sz="8" w:color="E5F1F8"/>
            </w:tcBorders>
            <w:shd w:val="clear" w:color="auto" w:fill="E5F1F8"/>
          </w:tcPr>
          <w:p>
            <w:pPr>
              <w:spacing w:after="0"/>
              <w:rPr>
                <w:sz w:val="18"/>
                <w:szCs w:val="18"/>
                <w:color w:val="auto"/>
              </w:rPr>
            </w:pPr>
          </w:p>
        </w:tc>
        <w:tc>
          <w:tcPr>
            <w:tcW w:w="380" w:type="dxa"/>
            <w:vAlign w:val="bottom"/>
            <w:tcBorders>
              <w:bottom w:val="single" w:sz="8" w:color="auto"/>
            </w:tcBorders>
            <w:shd w:val="clear" w:color="auto" w:fill="E5F1F8"/>
          </w:tcPr>
          <w:p>
            <w:pPr>
              <w:spacing w:after="0"/>
              <w:rPr>
                <w:sz w:val="18"/>
                <w:szCs w:val="18"/>
                <w:color w:val="auto"/>
              </w:rPr>
            </w:pPr>
          </w:p>
        </w:tc>
        <w:tc>
          <w:tcPr>
            <w:tcW w:w="1240" w:type="dxa"/>
            <w:vAlign w:val="bottom"/>
            <w:tcBorders>
              <w:bottom w:val="single" w:sz="8" w:color="auto"/>
              <w:right w:val="single" w:sz="8" w:color="E5F1F8"/>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3</w:t>
            </w:r>
          </w:p>
        </w:tc>
      </w:tr>
      <w:tr>
        <w:trPr>
          <w:trHeight w:val="210"/>
        </w:trPr>
        <w:tc>
          <w:tcPr>
            <w:tcW w:w="592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4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left="270"/>
              <w:spacing w:after="0" w:line="209" w:lineRule="exact"/>
              <w:rPr>
                <w:sz w:val="20"/>
                <w:szCs w:val="20"/>
                <w:color w:val="auto"/>
              </w:rPr>
            </w:pPr>
            <w:r>
              <w:rPr>
                <w:rFonts w:ascii="Calibri" w:cs="Calibri" w:eastAsia="Calibri" w:hAnsi="Calibri"/>
                <w:sz w:val="18"/>
                <w:szCs w:val="18"/>
                <w:b w:val="1"/>
                <w:bCs w:val="1"/>
                <w:color w:val="auto"/>
                <w:w w:val="97"/>
              </w:rPr>
              <w:t>3,585</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90"/>
              <w:spacing w:after="0" w:line="209" w:lineRule="exact"/>
              <w:rPr>
                <w:sz w:val="20"/>
                <w:szCs w:val="20"/>
                <w:color w:val="auto"/>
              </w:rPr>
            </w:pPr>
            <w:r>
              <w:rPr>
                <w:rFonts w:ascii="Calibri" w:cs="Calibri" w:eastAsia="Calibri" w:hAnsi="Calibri"/>
                <w:sz w:val="18"/>
                <w:szCs w:val="18"/>
                <w:color w:val="auto"/>
              </w:rPr>
              <w:t>$</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ind w:left="20"/>
              <w:spacing w:after="0" w:line="209" w:lineRule="exact"/>
              <w:rPr>
                <w:sz w:val="20"/>
                <w:szCs w:val="20"/>
                <w:color w:val="auto"/>
              </w:rPr>
            </w:pPr>
            <w:r>
              <w:rPr>
                <w:rFonts w:ascii="Calibri" w:cs="Calibri" w:eastAsia="Calibri" w:hAnsi="Calibri"/>
                <w:sz w:val="18"/>
                <w:szCs w:val="18"/>
                <w:color w:val="auto"/>
              </w:rPr>
              <w:t>—</w:t>
            </w:r>
          </w:p>
        </w:tc>
        <w:tc>
          <w:tcPr>
            <w:tcW w:w="38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3</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205740</wp:posOffset>
            </wp:positionV>
            <wp:extent cx="325755" cy="1968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-3012440</wp:posOffset>
            </wp:positionV>
            <wp:extent cx="34290" cy="1708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-3012440</wp:posOffset>
            </wp:positionV>
            <wp:extent cx="34290" cy="1708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-3012440</wp:posOffset>
            </wp:positionV>
            <wp:extent cx="33655" cy="1708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-2729865</wp:posOffset>
            </wp:positionV>
            <wp:extent cx="34290" cy="33401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-2729865</wp:posOffset>
            </wp:positionV>
            <wp:extent cx="34290" cy="33401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-2729865</wp:posOffset>
            </wp:positionV>
            <wp:extent cx="33655" cy="33401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-1598295</wp:posOffset>
            </wp:positionV>
            <wp:extent cx="34290" cy="1714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-1598295</wp:posOffset>
            </wp:positionV>
            <wp:extent cx="34290" cy="1714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-1598295</wp:posOffset>
            </wp:positionV>
            <wp:extent cx="34290" cy="1714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-1315085</wp:posOffset>
            </wp:positionV>
            <wp:extent cx="34290" cy="33401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-1315085</wp:posOffset>
            </wp:positionV>
            <wp:extent cx="34290" cy="3340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-1315085</wp:posOffset>
            </wp:positionV>
            <wp:extent cx="34290" cy="3340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-183515</wp:posOffset>
            </wp:positionV>
            <wp:extent cx="33655" cy="1968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-183515</wp:posOffset>
            </wp:positionV>
            <wp:extent cx="33655" cy="1968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33655" cy="19685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-183515</wp:posOffset>
            </wp:positionV>
            <wp:extent cx="33655" cy="1968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33655" cy="19685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2" w:name="page103"/>
    <w:bookmarkEnd w:id="102"/>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40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P: Revenues and Gross Proft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tables, which are reconciled to consolidated amounts, provide revenues and gross proft (loss) by line of business: Building Materials (further divided by product line) and Magnesia Specialtes. Interproduct revenues represent sales from the aggregates product line to the cement and ready mixed concrete and asphalt and paving product lines and sales from the cement product line to the ready mixed concrete product line. Efectve January 1, 2024, the Company combined the cement and ready mixed concrete product lines. This change was driven by the reduced signifcance of each of these product lines relatve to the Building Materials business and consolidated operatng results from recent divesttures. Additonally, there is a signifcant relatonship between these product lines, as the ready mixed concrete product line is a signifcant customer of the cement product line. Revenues and gross proft (loss) refect contnuing operatons only.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15"/>
        </w:trPr>
        <w:tc>
          <w:tcPr>
            <w:tcW w:w="638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9"/>
        </w:trPr>
        <w:tc>
          <w:tcPr>
            <w:tcW w:w="638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Revenues</w:t>
            </w:r>
          </w:p>
        </w:tc>
        <w:tc>
          <w:tcPr>
            <w:tcW w:w="46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b w:val="1"/>
                <w:bCs w:val="1"/>
                <w:color w:val="FFFFFF"/>
              </w:rPr>
              <w:t>2024</w:t>
            </w:r>
          </w:p>
        </w:tc>
        <w:tc>
          <w:tcPr>
            <w:tcW w:w="46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2023</w:t>
            </w:r>
          </w:p>
        </w:tc>
        <w:tc>
          <w:tcPr>
            <w:tcW w:w="46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2022</w:t>
            </w:r>
          </w:p>
        </w:tc>
      </w:tr>
      <w:tr>
        <w:trPr>
          <w:trHeight w:val="215"/>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46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38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Aggregates</w:t>
            </w:r>
          </w:p>
        </w:tc>
        <w:tc>
          <w:tcPr>
            <w:tcW w:w="460" w:type="dxa"/>
            <w:vAlign w:val="bottom"/>
            <w:shd w:val="clear" w:color="auto" w:fill="E5F1F8"/>
          </w:tcPr>
          <w:p>
            <w:pPr>
              <w:jc w:val="right"/>
              <w:ind w:right="110"/>
              <w:spacing w:after="0" w:line="216"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4,514</w:t>
            </w:r>
          </w:p>
        </w:tc>
        <w:tc>
          <w:tcPr>
            <w:tcW w:w="460" w:type="dxa"/>
            <w:vAlign w:val="bottom"/>
            <w:shd w:val="clear" w:color="auto" w:fill="E5F1F8"/>
          </w:tcPr>
          <w:p>
            <w:pPr>
              <w:jc w:val="right"/>
              <w:ind w:right="11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4,302</w:t>
            </w:r>
          </w:p>
        </w:tc>
        <w:tc>
          <w:tcPr>
            <w:tcW w:w="460" w:type="dxa"/>
            <w:vAlign w:val="bottom"/>
            <w:shd w:val="clear" w:color="auto" w:fill="E5F1F8"/>
          </w:tcPr>
          <w:p>
            <w:pPr>
              <w:jc w:val="right"/>
              <w:ind w:right="11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3,879</w:t>
            </w:r>
          </w:p>
        </w:tc>
      </w:tr>
      <w:tr>
        <w:trPr>
          <w:trHeight w:val="215"/>
        </w:trPr>
        <w:tc>
          <w:tcPr>
            <w:tcW w:w="638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Cement and ready mixed concrete</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1,083</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1,518</w:t>
            </w:r>
          </w:p>
        </w:tc>
        <w:tc>
          <w:tcPr>
            <w:tcW w:w="46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1,395</w:t>
            </w:r>
          </w:p>
        </w:tc>
      </w:tr>
      <w:tr>
        <w:trPr>
          <w:trHeight w:val="217"/>
        </w:trPr>
        <w:tc>
          <w:tcPr>
            <w:tcW w:w="638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Asphalt and paving</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869</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887</w:t>
            </w: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788</w:t>
            </w:r>
          </w:p>
        </w:tc>
      </w:tr>
      <w:tr>
        <w:trPr>
          <w:trHeight w:val="215"/>
        </w:trPr>
        <w:tc>
          <w:tcPr>
            <w:tcW w:w="6380" w:type="dxa"/>
            <w:vAlign w:val="bottom"/>
            <w:tcBorders>
              <w:bottom w:val="single" w:sz="8" w:color="auto"/>
            </w:tcBorders>
          </w:tcPr>
          <w:p>
            <w:pPr>
              <w:ind w:left="300"/>
              <w:spacing w:after="0" w:line="215" w:lineRule="exact"/>
              <w:rPr>
                <w:sz w:val="20"/>
                <w:szCs w:val="20"/>
                <w:color w:val="auto"/>
              </w:rPr>
            </w:pPr>
            <w:r>
              <w:rPr>
                <w:rFonts w:ascii="Calibri" w:cs="Calibri" w:eastAsia="Calibri" w:hAnsi="Calibri"/>
                <w:sz w:val="18"/>
                <w:szCs w:val="18"/>
                <w:color w:val="auto"/>
              </w:rPr>
              <w:t>Less: interproduct revenues</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(250 )</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(245 )</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(205 )</w:t>
            </w:r>
          </w:p>
        </w:tc>
      </w:tr>
      <w:tr>
        <w:trPr>
          <w:trHeight w:val="210"/>
        </w:trPr>
        <w:tc>
          <w:tcPr>
            <w:tcW w:w="6380" w:type="dxa"/>
            <w:vAlign w:val="bottom"/>
            <w:tcBorders>
              <w:right w:val="single" w:sz="8" w:color="007CBA"/>
            </w:tcBorders>
            <w:shd w:val="clear" w:color="auto" w:fill="E5F1F8"/>
          </w:tcPr>
          <w:p>
            <w:pPr>
              <w:ind w:left="120"/>
              <w:spacing w:after="0" w:line="210" w:lineRule="exact"/>
              <w:rPr>
                <w:sz w:val="20"/>
                <w:szCs w:val="20"/>
                <w:color w:val="auto"/>
              </w:rPr>
            </w:pPr>
            <w:r>
              <w:rPr>
                <w:rFonts w:ascii="Calibri" w:cs="Calibri" w:eastAsia="Calibri" w:hAnsi="Calibri"/>
                <w:sz w:val="18"/>
                <w:szCs w:val="18"/>
                <w:color w:val="auto"/>
              </w:rPr>
              <w:t>Total Building Materials business</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b w:val="1"/>
                <w:bCs w:val="1"/>
                <w:color w:val="auto"/>
              </w:rPr>
              <w:t>6,216</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6,462</w:t>
            </w: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jc w:val="right"/>
              <w:ind w:right="50"/>
              <w:spacing w:after="0" w:line="210" w:lineRule="exact"/>
              <w:rPr>
                <w:sz w:val="20"/>
                <w:szCs w:val="20"/>
                <w:color w:val="auto"/>
              </w:rPr>
            </w:pPr>
            <w:r>
              <w:rPr>
                <w:rFonts w:ascii="Calibri" w:cs="Calibri" w:eastAsia="Calibri" w:hAnsi="Calibri"/>
                <w:sz w:val="18"/>
                <w:szCs w:val="18"/>
                <w:color w:val="auto"/>
              </w:rPr>
              <w:t>5,857</w:t>
            </w:r>
          </w:p>
        </w:tc>
      </w:tr>
      <w:tr>
        <w:trPr>
          <w:trHeight w:val="215"/>
        </w:trPr>
        <w:tc>
          <w:tcPr>
            <w:tcW w:w="638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320</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315</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304</w:t>
            </w:r>
          </w:p>
        </w:tc>
      </w:tr>
      <w:tr>
        <w:trPr>
          <w:trHeight w:val="250"/>
        </w:trPr>
        <w:tc>
          <w:tcPr>
            <w:tcW w:w="638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w:t>
            </w:r>
          </w:p>
        </w:tc>
        <w:tc>
          <w:tcPr>
            <w:tcW w:w="46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6,536</w:t>
            </w:r>
          </w:p>
        </w:tc>
        <w:tc>
          <w:tcPr>
            <w:tcW w:w="46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6,777</w:t>
            </w:r>
          </w:p>
        </w:tc>
        <w:tc>
          <w:tcPr>
            <w:tcW w:w="46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6,161</w:t>
            </w:r>
          </w:p>
        </w:tc>
      </w:tr>
      <w:tr>
        <w:trPr>
          <w:trHeight w:val="197"/>
        </w:trPr>
        <w:tc>
          <w:tcPr>
            <w:tcW w:w="6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638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1160" w:type="dxa"/>
            <w:vAlign w:val="bottom"/>
            <w:shd w:val="clear" w:color="auto" w:fill="007CBA"/>
          </w:tcPr>
          <w:p>
            <w:pPr>
              <w:spacing w:after="0"/>
              <w:rPr>
                <w:sz w:val="16"/>
                <w:szCs w:val="16"/>
                <w:color w:val="auto"/>
              </w:rPr>
            </w:pPr>
          </w:p>
        </w:tc>
      </w:tr>
      <w:tr>
        <w:trPr>
          <w:trHeight w:val="215"/>
        </w:trPr>
        <w:tc>
          <w:tcPr>
            <w:tcW w:w="638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9"/>
        </w:trPr>
        <w:tc>
          <w:tcPr>
            <w:tcW w:w="638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Gross proft (loss)</w:t>
            </w:r>
          </w:p>
        </w:tc>
        <w:tc>
          <w:tcPr>
            <w:tcW w:w="46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b w:val="1"/>
                <w:bCs w:val="1"/>
                <w:color w:val="FFFFFF"/>
              </w:rPr>
              <w:t>2024</w:t>
            </w:r>
          </w:p>
        </w:tc>
        <w:tc>
          <w:tcPr>
            <w:tcW w:w="46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2023</w:t>
            </w:r>
          </w:p>
        </w:tc>
        <w:tc>
          <w:tcPr>
            <w:tcW w:w="46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2022</w:t>
            </w:r>
          </w:p>
        </w:tc>
      </w:tr>
      <w:tr>
        <w:trPr>
          <w:trHeight w:val="215"/>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46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380" w:type="dxa"/>
            <w:vAlign w:val="bottom"/>
            <w:tcBorders>
              <w:right w:val="single" w:sz="8" w:color="007CBA"/>
            </w:tcBorders>
            <w:shd w:val="clear" w:color="auto" w:fill="E5F1F8"/>
          </w:tcPr>
          <w:p>
            <w:pPr>
              <w:ind w:left="300"/>
              <w:spacing w:after="0" w:line="216" w:lineRule="exact"/>
              <w:rPr>
                <w:sz w:val="20"/>
                <w:szCs w:val="20"/>
                <w:color w:val="auto"/>
              </w:rPr>
            </w:pPr>
            <w:r>
              <w:rPr>
                <w:rFonts w:ascii="Calibri" w:cs="Calibri" w:eastAsia="Calibri" w:hAnsi="Calibri"/>
                <w:sz w:val="18"/>
                <w:szCs w:val="18"/>
                <w:color w:val="auto"/>
              </w:rPr>
              <w:t>Aggregates</w:t>
            </w:r>
          </w:p>
        </w:tc>
        <w:tc>
          <w:tcPr>
            <w:tcW w:w="460" w:type="dxa"/>
            <w:vAlign w:val="bottom"/>
            <w:shd w:val="clear" w:color="auto" w:fill="E5F1F8"/>
          </w:tcPr>
          <w:p>
            <w:pPr>
              <w:jc w:val="right"/>
              <w:ind w:right="110"/>
              <w:spacing w:after="0" w:line="216"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1,449</w:t>
            </w:r>
          </w:p>
        </w:tc>
        <w:tc>
          <w:tcPr>
            <w:tcW w:w="460" w:type="dxa"/>
            <w:vAlign w:val="bottom"/>
            <w:shd w:val="clear" w:color="auto" w:fill="E5F1F8"/>
          </w:tcPr>
          <w:p>
            <w:pPr>
              <w:jc w:val="right"/>
              <w:ind w:right="11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1,378</w:t>
            </w:r>
          </w:p>
        </w:tc>
        <w:tc>
          <w:tcPr>
            <w:tcW w:w="460" w:type="dxa"/>
            <w:vAlign w:val="bottom"/>
            <w:shd w:val="clear" w:color="auto" w:fill="E5F1F8"/>
          </w:tcPr>
          <w:p>
            <w:pPr>
              <w:jc w:val="right"/>
              <w:ind w:right="11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984</w:t>
            </w:r>
          </w:p>
        </w:tc>
      </w:tr>
      <w:tr>
        <w:trPr>
          <w:trHeight w:val="216"/>
        </w:trPr>
        <w:tc>
          <w:tcPr>
            <w:tcW w:w="638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Cement and ready mixed concrete</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260</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436</w:t>
            </w:r>
          </w:p>
        </w:tc>
        <w:tc>
          <w:tcPr>
            <w:tcW w:w="46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273</w:t>
            </w:r>
          </w:p>
        </w:tc>
      </w:tr>
      <w:tr>
        <w:trPr>
          <w:trHeight w:val="215"/>
        </w:trPr>
        <w:tc>
          <w:tcPr>
            <w:tcW w:w="6380" w:type="dxa"/>
            <w:vAlign w:val="bottom"/>
            <w:tcBorders>
              <w:bottom w:val="single" w:sz="8" w:color="auto"/>
              <w:right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Asphalt and paving</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101</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109</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81</w:t>
            </w:r>
          </w:p>
        </w:tc>
      </w:tr>
      <w:tr>
        <w:trPr>
          <w:trHeight w:val="209"/>
        </w:trPr>
        <w:tc>
          <w:tcPr>
            <w:tcW w:w="6380" w:type="dxa"/>
            <w:vAlign w:val="bottom"/>
            <w:tcBorders>
              <w:right w:val="single" w:sz="8" w:color="007CBA"/>
            </w:tcBorders>
          </w:tcPr>
          <w:p>
            <w:pPr>
              <w:ind w:left="120"/>
              <w:spacing w:after="0" w:line="209" w:lineRule="exact"/>
              <w:rPr>
                <w:sz w:val="20"/>
                <w:szCs w:val="20"/>
                <w:color w:val="auto"/>
              </w:rPr>
            </w:pPr>
            <w:r>
              <w:rPr>
                <w:rFonts w:ascii="Calibri" w:cs="Calibri" w:eastAsia="Calibri" w:hAnsi="Calibri"/>
                <w:sz w:val="18"/>
                <w:szCs w:val="18"/>
                <w:color w:val="auto"/>
              </w:rPr>
              <w:t>Total Building Materials business</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1,810</w:t>
            </w:r>
          </w:p>
        </w:tc>
        <w:tc>
          <w:tcPr>
            <w:tcW w:w="46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09" w:lineRule="exact"/>
              <w:rPr>
                <w:sz w:val="20"/>
                <w:szCs w:val="20"/>
                <w:color w:val="auto"/>
              </w:rPr>
            </w:pPr>
            <w:r>
              <w:rPr>
                <w:rFonts w:ascii="Calibri" w:cs="Calibri" w:eastAsia="Calibri" w:hAnsi="Calibri"/>
                <w:sz w:val="18"/>
                <w:szCs w:val="18"/>
                <w:color w:val="auto"/>
              </w:rPr>
              <w:t>1,923</w:t>
            </w:r>
          </w:p>
        </w:tc>
        <w:tc>
          <w:tcPr>
            <w:tcW w:w="460" w:type="dxa"/>
            <w:vAlign w:val="bottom"/>
          </w:tcPr>
          <w:p>
            <w:pPr>
              <w:spacing w:after="0"/>
              <w:rPr>
                <w:sz w:val="18"/>
                <w:szCs w:val="18"/>
                <w:color w:val="auto"/>
              </w:rPr>
            </w:pPr>
          </w:p>
        </w:tc>
        <w:tc>
          <w:tcPr>
            <w:tcW w:w="1160" w:type="dxa"/>
            <w:vAlign w:val="bottom"/>
          </w:tcPr>
          <w:p>
            <w:pPr>
              <w:jc w:val="right"/>
              <w:ind w:right="50"/>
              <w:spacing w:after="0" w:line="209" w:lineRule="exact"/>
              <w:rPr>
                <w:sz w:val="20"/>
                <w:szCs w:val="20"/>
                <w:color w:val="auto"/>
              </w:rPr>
            </w:pPr>
            <w:r>
              <w:rPr>
                <w:rFonts w:ascii="Calibri" w:cs="Calibri" w:eastAsia="Calibri" w:hAnsi="Calibri"/>
                <w:sz w:val="18"/>
                <w:szCs w:val="18"/>
                <w:color w:val="auto"/>
              </w:rPr>
              <w:t>1,338</w:t>
            </w:r>
          </w:p>
        </w:tc>
      </w:tr>
      <w:tr>
        <w:trPr>
          <w:trHeight w:val="217"/>
        </w:trPr>
        <w:tc>
          <w:tcPr>
            <w:tcW w:w="638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Magnesia Specialtes:</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107</w:t>
            </w:r>
          </w:p>
        </w:tc>
        <w:tc>
          <w:tcPr>
            <w:tcW w:w="46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97</w:t>
            </w: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91</w:t>
            </w:r>
          </w:p>
        </w:tc>
      </w:tr>
      <w:tr>
        <w:trPr>
          <w:trHeight w:val="215"/>
        </w:trPr>
        <w:tc>
          <w:tcPr>
            <w:tcW w:w="6380" w:type="dxa"/>
            <w:vAlign w:val="bottom"/>
            <w:tcBorders>
              <w:bottom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(39 )</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3</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(6 )</w:t>
            </w:r>
          </w:p>
        </w:tc>
      </w:tr>
      <w:tr>
        <w:trPr>
          <w:trHeight w:val="250"/>
        </w:trPr>
        <w:tc>
          <w:tcPr>
            <w:tcW w:w="6380" w:type="dxa"/>
            <w:vAlign w:val="bottom"/>
            <w:tcBorders>
              <w:bottom w:val="single" w:sz="8" w:color="auto"/>
              <w:right w:val="single" w:sz="8" w:color="E5F1F8"/>
            </w:tcBorders>
            <w:shd w:val="clear" w:color="auto" w:fill="E5F1F8"/>
          </w:tcPr>
          <w:p>
            <w:pPr>
              <w:ind w:left="120"/>
              <w:spacing w:after="0" w:line="209" w:lineRule="exact"/>
              <w:rPr>
                <w:sz w:val="20"/>
                <w:szCs w:val="20"/>
                <w:color w:val="auto"/>
              </w:rPr>
            </w:pPr>
            <w:r>
              <w:rPr>
                <w:rFonts w:ascii="Calibri" w:cs="Calibri" w:eastAsia="Calibri" w:hAnsi="Calibri"/>
                <w:sz w:val="18"/>
                <w:szCs w:val="18"/>
                <w:color w:val="auto"/>
              </w:rPr>
              <w:t>Total</w:t>
            </w:r>
          </w:p>
        </w:tc>
        <w:tc>
          <w:tcPr>
            <w:tcW w:w="46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b w:val="1"/>
                <w:bCs w:val="1"/>
                <w:color w:val="auto"/>
              </w:rPr>
              <w:t>1,878</w:t>
            </w:r>
          </w:p>
        </w:tc>
        <w:tc>
          <w:tcPr>
            <w:tcW w:w="46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2,023</w:t>
            </w:r>
          </w:p>
        </w:tc>
        <w:tc>
          <w:tcPr>
            <w:tcW w:w="460" w:type="dxa"/>
            <w:vAlign w:val="bottom"/>
            <w:tcBorders>
              <w:bottom w:val="single" w:sz="8" w:color="auto"/>
            </w:tcBorders>
            <w:shd w:val="clear" w:color="auto" w:fill="E5F1F8"/>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E5F1F8"/>
          </w:tcPr>
          <w:p>
            <w:pPr>
              <w:jc w:val="right"/>
              <w:ind w:right="50"/>
              <w:spacing w:after="0" w:line="209" w:lineRule="exact"/>
              <w:rPr>
                <w:sz w:val="20"/>
                <w:szCs w:val="20"/>
                <w:color w:val="auto"/>
              </w:rPr>
            </w:pPr>
            <w:r>
              <w:rPr>
                <w:rFonts w:ascii="Calibri" w:cs="Calibri" w:eastAsia="Calibri" w:hAnsi="Calibri"/>
                <w:sz w:val="18"/>
                <w:szCs w:val="18"/>
                <w:color w:val="auto"/>
              </w:rPr>
              <w:t>1,423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-2292350</wp:posOffset>
            </wp:positionV>
            <wp:extent cx="34290" cy="1708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34290" cy="17081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-2292350</wp:posOffset>
            </wp:positionV>
            <wp:extent cx="33655" cy="1708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-2292350</wp:posOffset>
            </wp:positionV>
            <wp:extent cx="33655" cy="1708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-2009140</wp:posOffset>
            </wp:positionV>
            <wp:extent cx="34290" cy="33401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-2009140</wp:posOffset>
            </wp:positionV>
            <wp:extent cx="33655" cy="33401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-2009140</wp:posOffset>
            </wp:positionV>
            <wp:extent cx="33655" cy="33401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-741045</wp:posOffset>
            </wp:positionV>
            <wp:extent cx="34290" cy="1714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-741045</wp:posOffset>
            </wp:positionV>
            <wp:extent cx="33655" cy="1714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-741045</wp:posOffset>
            </wp:positionV>
            <wp:extent cx="33655" cy="1714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-320675</wp:posOffset>
            </wp:positionV>
            <wp:extent cx="34290" cy="3340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-320675</wp:posOffset>
            </wp:positionV>
            <wp:extent cx="33655" cy="3340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-320675</wp:posOffset>
            </wp:positionV>
            <wp:extent cx="33655" cy="3340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14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above informaton for 2023 and 2022 has been reclassifed to conform to current-year presentaton. For the year ended December 31, 2023, the cement product line reported revenues of $726 million, inclusive of $217 million to the ready mixed concrete product line, and gross proft of $334 million. For the year ended December 31, 2023, the ready mixed concrete product line reported revenues of $1.0 billion and gross proft of $102 million. For the year ended December 31, 2022, the cement product line reported revenues of $620 million, inclusive of $178 million to the ready mixed concrete product line, and gross proft of $203 million. For the year ended December 31, 2022, the ready mixed concrete product line reported revenues of $953 million and gross proft of $70 million. Revenues from sales of cement to the ready mixed concrete product line were previously eliminated in the interproduct revenues line.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80" w:type="dxa"/>
            <w:vAlign w:val="bottom"/>
          </w:tcPr>
          <w:p>
            <w:pPr>
              <w:spacing w:after="0"/>
              <w:rPr>
                <w:sz w:val="20"/>
                <w:szCs w:val="20"/>
                <w:color w:val="auto"/>
              </w:rPr>
            </w:pPr>
            <w:r>
              <w:rPr>
                <w:rFonts w:ascii="Calibri" w:cs="Calibri" w:eastAsia="Calibri" w:hAnsi="Calibri"/>
                <w:sz w:val="18"/>
                <w:szCs w:val="18"/>
                <w:color w:val="auto"/>
              </w:rPr>
              <w:t>Domestc and foreign revenues are as follows:</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31"/>
        </w:trPr>
        <w:tc>
          <w:tcPr>
            <w:tcW w:w="6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4"/>
        </w:trPr>
        <w:tc>
          <w:tcPr>
            <w:tcW w:w="6380" w:type="dxa"/>
            <w:vAlign w:val="bottom"/>
            <w:tcBorders>
              <w:right w:val="single" w:sz="8" w:color="007CBA"/>
            </w:tcBorders>
            <w:shd w:val="clear" w:color="auto" w:fill="007CBA"/>
          </w:tcPr>
          <w:p>
            <w:pPr>
              <w:ind w:left="120"/>
              <w:spacing w:after="0" w:line="194" w:lineRule="exact"/>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1160" w:type="dxa"/>
            <w:vAlign w:val="bottom"/>
            <w:tcBorders>
              <w:right w:val="single" w:sz="8" w:color="007CBA"/>
            </w:tcBorders>
            <w:shd w:val="clear" w:color="auto" w:fill="007CBA"/>
          </w:tcPr>
          <w:p>
            <w:pPr>
              <w:spacing w:after="0"/>
              <w:rPr>
                <w:sz w:val="16"/>
                <w:szCs w:val="16"/>
                <w:color w:val="auto"/>
              </w:rPr>
            </w:pPr>
          </w:p>
        </w:tc>
        <w:tc>
          <w:tcPr>
            <w:tcW w:w="460" w:type="dxa"/>
            <w:vAlign w:val="bottom"/>
            <w:shd w:val="clear" w:color="auto" w:fill="007CBA"/>
          </w:tcPr>
          <w:p>
            <w:pPr>
              <w:spacing w:after="0"/>
              <w:rPr>
                <w:sz w:val="16"/>
                <w:szCs w:val="16"/>
                <w:color w:val="auto"/>
              </w:rPr>
            </w:pPr>
          </w:p>
        </w:tc>
        <w:tc>
          <w:tcPr>
            <w:tcW w:w="1160" w:type="dxa"/>
            <w:vAlign w:val="bottom"/>
            <w:shd w:val="clear" w:color="auto" w:fill="007CBA"/>
          </w:tcPr>
          <w:p>
            <w:pPr>
              <w:spacing w:after="0"/>
              <w:rPr>
                <w:sz w:val="16"/>
                <w:szCs w:val="16"/>
                <w:color w:val="auto"/>
              </w:rPr>
            </w:pPr>
          </w:p>
        </w:tc>
      </w:tr>
      <w:tr>
        <w:trPr>
          <w:trHeight w:val="218"/>
        </w:trPr>
        <w:tc>
          <w:tcPr>
            <w:tcW w:w="63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2024</w:t>
            </w:r>
          </w:p>
        </w:tc>
        <w:tc>
          <w:tcPr>
            <w:tcW w:w="46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2023</w:t>
            </w:r>
          </w:p>
        </w:tc>
        <w:tc>
          <w:tcPr>
            <w:tcW w:w="460" w:type="dxa"/>
            <w:vAlign w:val="bottom"/>
            <w:tcBorders>
              <w:bottom w:val="single" w:sz="8" w:color="007CBA"/>
            </w:tcBorders>
            <w:shd w:val="clear" w:color="auto" w:fill="007CBA"/>
          </w:tcPr>
          <w:p>
            <w:pPr>
              <w:spacing w:after="0"/>
              <w:rPr>
                <w:sz w:val="18"/>
                <w:szCs w:val="18"/>
                <w:color w:val="auto"/>
              </w:rPr>
            </w:pPr>
          </w:p>
        </w:tc>
        <w:tc>
          <w:tcPr>
            <w:tcW w:w="116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r>
      <w:tr>
        <w:trPr>
          <w:trHeight w:val="216"/>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Domestc</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6,487</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6,707</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6,078</w:t>
            </w:r>
          </w:p>
        </w:tc>
      </w:tr>
      <w:tr>
        <w:trPr>
          <w:trHeight w:val="215"/>
        </w:trPr>
        <w:tc>
          <w:tcPr>
            <w:tcW w:w="6380" w:type="dxa"/>
            <w:vAlign w:val="bottom"/>
            <w:tcBorders>
              <w:bottom w:val="single" w:sz="8" w:color="auto"/>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Foreign</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49</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70</w:t>
            </w:r>
          </w:p>
        </w:tc>
        <w:tc>
          <w:tcPr>
            <w:tcW w:w="46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83</w:t>
            </w:r>
          </w:p>
        </w:tc>
      </w:tr>
      <w:tr>
        <w:trPr>
          <w:trHeight w:val="210"/>
        </w:trPr>
        <w:tc>
          <w:tcPr>
            <w:tcW w:w="6380" w:type="dxa"/>
            <w:vAlign w:val="bottom"/>
            <w:tcBorders>
              <w:bottom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Total</w:t>
            </w:r>
          </w:p>
        </w:tc>
        <w:tc>
          <w:tcPr>
            <w:tcW w:w="46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6,536</w:t>
            </w:r>
          </w:p>
        </w:tc>
        <w:tc>
          <w:tcPr>
            <w:tcW w:w="46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6,777</w:t>
            </w:r>
          </w:p>
        </w:tc>
        <w:tc>
          <w:tcPr>
            <w:tcW w:w="460" w:type="dxa"/>
            <w:vAlign w:val="bottom"/>
            <w:tcBorders>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6,161</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74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-320675</wp:posOffset>
            </wp:positionV>
            <wp:extent cx="34290" cy="3340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-320675</wp:posOffset>
            </wp:positionV>
            <wp:extent cx="33655" cy="3340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-320675</wp:posOffset>
            </wp:positionV>
            <wp:extent cx="33655" cy="3340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3" w:name="page104"/>
    <w:bookmarkEnd w:id="103"/>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Performance Obligatons. </w:t>
      </w:r>
      <w:r>
        <w:rPr>
          <w:rFonts w:ascii="Calibri" w:cs="Calibri" w:eastAsia="Calibri" w:hAnsi="Calibri"/>
          <w:sz w:val="18"/>
          <w:szCs w:val="18"/>
          <w:color w:val="000000"/>
        </w:rPr>
        <w:t>Performance obligatons are contractual promises to transfer or provide a distnct good or service for a stated price. The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Company’s product sales agreements are single-performance obligatons that are satsfed at a point in tme. Performance obligatons within paving service agreements are satsfed over tme, primarily ranging from one day to two years. Customer payment terms are generally 30 days from invoice date. Customer payments for the paving operatons are based on a contractual billing schedule and are typically "paid-when-paid", meaning the Company is paid once the customer is paid.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Future revenues from unsatsfed performance obligatons at December 31, 2024, 2023 and 2022 were $255 million, $251 million and $239 million, respectvely, where the remaining periods to complete these obligatons ranged from one month to 36 months at December 31, 2024, one month to 22 months at December 31, 2023 and two months to 34 months at December 31, 2022.</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Service Revenues. </w:t>
      </w:r>
      <w:r>
        <w:rPr>
          <w:rFonts w:ascii="Calibri" w:cs="Calibri" w:eastAsia="Calibri" w:hAnsi="Calibri"/>
          <w:sz w:val="18"/>
          <w:szCs w:val="18"/>
          <w:color w:val="000000"/>
        </w:rPr>
        <w:t>Service revenues, which include paving operatons located in California and Colorado, were $411 million, $411 million and $354 million for</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years ended December 31, 2024, 2023 and 2022, respectvely.</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Q: Supplemental Cash Flow Informaton</w:t>
      </w:r>
    </w:p>
    <w:p>
      <w:pPr>
        <w:spacing w:after="0" w:line="56" w:lineRule="exact"/>
        <w:rPr>
          <w:sz w:val="20"/>
          <w:szCs w:val="20"/>
          <w:color w:val="auto"/>
        </w:rPr>
      </w:pPr>
    </w:p>
    <w:p>
      <w:pPr>
        <w:spacing w:after="0"/>
        <w:rPr>
          <w:sz w:val="20"/>
          <w:szCs w:val="20"/>
          <w:color w:val="auto"/>
        </w:rPr>
      </w:pPr>
      <w:r>
        <w:rPr>
          <w:rFonts w:ascii="Calibri" w:cs="Calibri" w:eastAsia="Calibri" w:hAnsi="Calibri"/>
          <w:sz w:val="18"/>
          <w:szCs w:val="18"/>
          <w:color w:val="auto"/>
        </w:rPr>
        <w:t>Noncash investng and fnancing actvites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060" w:type="dxa"/>
            <w:vAlign w:val="bottom"/>
            <w:shd w:val="clear" w:color="auto" w:fill="007CBA"/>
          </w:tcPr>
          <w:p>
            <w:pPr>
              <w:spacing w:after="0"/>
              <w:rPr>
                <w:sz w:val="19"/>
                <w:szCs w:val="19"/>
                <w:color w:val="auto"/>
              </w:rPr>
            </w:pPr>
          </w:p>
        </w:tc>
        <w:tc>
          <w:tcPr>
            <w:tcW w:w="52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16"/>
        </w:trPr>
        <w:tc>
          <w:tcPr>
            <w:tcW w:w="65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060" w:type="dxa"/>
            <w:vAlign w:val="bottom"/>
            <w:shd w:val="clear" w:color="auto" w:fill="007CBA"/>
          </w:tcPr>
          <w:p>
            <w:pPr>
              <w:jc w:val="right"/>
              <w:spacing w:after="0" w:line="215" w:lineRule="exact"/>
              <w:rPr>
                <w:sz w:val="20"/>
                <w:szCs w:val="20"/>
                <w:color w:val="auto"/>
              </w:rPr>
            </w:pPr>
            <w:r>
              <w:rPr>
                <w:rFonts w:ascii="Calibri" w:cs="Calibri" w:eastAsia="Calibri" w:hAnsi="Calibri"/>
                <w:sz w:val="18"/>
                <w:szCs w:val="18"/>
                <w:b w:val="1"/>
                <w:bCs w:val="1"/>
                <w:color w:val="FFFFFF"/>
              </w:rPr>
              <w:t>2024</w:t>
            </w:r>
          </w:p>
        </w:tc>
        <w:tc>
          <w:tcPr>
            <w:tcW w:w="52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2023</w:t>
            </w:r>
          </w:p>
        </w:tc>
        <w:tc>
          <w:tcPr>
            <w:tcW w:w="420" w:type="dxa"/>
            <w:vAlign w:val="bottom"/>
            <w:shd w:val="clear" w:color="auto" w:fill="007CBA"/>
          </w:tcPr>
          <w:p>
            <w:pPr>
              <w:spacing w:after="0"/>
              <w:rPr>
                <w:sz w:val="18"/>
                <w:szCs w:val="18"/>
                <w:color w:val="auto"/>
              </w:rPr>
            </w:pPr>
          </w:p>
        </w:tc>
        <w:tc>
          <w:tcPr>
            <w:tcW w:w="1160" w:type="dxa"/>
            <w:vAlign w:val="bottom"/>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65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Accrued liabilites for purchases of property, plant and equipment</w:t>
            </w:r>
          </w:p>
        </w:tc>
        <w:tc>
          <w:tcPr>
            <w:tcW w:w="1060" w:type="dxa"/>
            <w:vAlign w:val="bottom"/>
          </w:tcPr>
          <w:p>
            <w:pPr>
              <w:jc w:val="right"/>
              <w:ind w:right="73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143</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128</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152</w:t>
            </w:r>
          </w:p>
        </w:tc>
      </w:tr>
      <w:tr>
        <w:trPr>
          <w:trHeight w:val="194"/>
        </w:trPr>
        <w:tc>
          <w:tcPr>
            <w:tcW w:w="6500" w:type="dxa"/>
            <w:vAlign w:val="bottom"/>
            <w:tcBorders>
              <w:right w:val="single" w:sz="8" w:color="007CBA"/>
            </w:tcBorders>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Right-of-use assets obtained in exchange for new operatng lease</w:t>
            </w:r>
          </w:p>
        </w:tc>
        <w:tc>
          <w:tcPr>
            <w:tcW w:w="1060" w:type="dxa"/>
            <w:vAlign w:val="bottom"/>
            <w:shd w:val="clear" w:color="auto" w:fill="E5F1F8"/>
          </w:tcPr>
          <w:p>
            <w:pPr>
              <w:spacing w:after="0"/>
              <w:rPr>
                <w:sz w:val="16"/>
                <w:szCs w:val="16"/>
                <w:color w:val="auto"/>
              </w:rPr>
            </w:pPr>
          </w:p>
        </w:tc>
        <w:tc>
          <w:tcPr>
            <w:tcW w:w="520" w:type="dxa"/>
            <w:vAlign w:val="bottom"/>
            <w:tcBorders>
              <w:right w:val="single" w:sz="8" w:color="007CBA"/>
            </w:tcBorders>
            <w:shd w:val="clear" w:color="auto" w:fill="E5F1F8"/>
          </w:tcPr>
          <w:p>
            <w:pPr>
              <w:spacing w:after="0"/>
              <w:rPr>
                <w:sz w:val="16"/>
                <w:szCs w:val="16"/>
                <w:color w:val="auto"/>
              </w:rPr>
            </w:pPr>
          </w:p>
        </w:tc>
        <w:tc>
          <w:tcPr>
            <w:tcW w:w="420" w:type="dxa"/>
            <w:vAlign w:val="bottom"/>
            <w:shd w:val="clear" w:color="auto" w:fill="E5F1F8"/>
          </w:tcPr>
          <w:p>
            <w:pPr>
              <w:spacing w:after="0"/>
              <w:rPr>
                <w:sz w:val="16"/>
                <w:szCs w:val="16"/>
                <w:color w:val="auto"/>
              </w:rPr>
            </w:pPr>
          </w:p>
        </w:tc>
        <w:tc>
          <w:tcPr>
            <w:tcW w:w="1160" w:type="dxa"/>
            <w:vAlign w:val="bottom"/>
            <w:tcBorders>
              <w:right w:val="single" w:sz="8" w:color="007CBA"/>
            </w:tcBorders>
            <w:shd w:val="clear" w:color="auto" w:fill="E5F1F8"/>
          </w:tcPr>
          <w:p>
            <w:pPr>
              <w:spacing w:after="0"/>
              <w:rPr>
                <w:sz w:val="16"/>
                <w:szCs w:val="16"/>
                <w:color w:val="auto"/>
              </w:rPr>
            </w:pPr>
          </w:p>
        </w:tc>
        <w:tc>
          <w:tcPr>
            <w:tcW w:w="420" w:type="dxa"/>
            <w:vAlign w:val="bottom"/>
            <w:shd w:val="clear" w:color="auto" w:fill="E5F1F8"/>
          </w:tcPr>
          <w:p>
            <w:pPr>
              <w:spacing w:after="0"/>
              <w:rPr>
                <w:sz w:val="16"/>
                <w:szCs w:val="16"/>
                <w:color w:val="auto"/>
              </w:rPr>
            </w:pPr>
          </w:p>
        </w:tc>
        <w:tc>
          <w:tcPr>
            <w:tcW w:w="1160" w:type="dxa"/>
            <w:vAlign w:val="bottom"/>
            <w:shd w:val="clear" w:color="auto" w:fill="E5F1F8"/>
          </w:tcPr>
          <w:p>
            <w:pPr>
              <w:spacing w:after="0"/>
              <w:rPr>
                <w:sz w:val="16"/>
                <w:szCs w:val="16"/>
                <w:color w:val="auto"/>
              </w:rPr>
            </w:pPr>
          </w:p>
        </w:tc>
      </w:tr>
      <w:tr>
        <w:trPr>
          <w:trHeight w:val="218"/>
        </w:trPr>
        <w:tc>
          <w:tcPr>
            <w:tcW w:w="650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liabilites</w:t>
            </w:r>
          </w:p>
        </w:tc>
        <w:tc>
          <w:tcPr>
            <w:tcW w:w="1060" w:type="dxa"/>
            <w:vAlign w:val="bottom"/>
            <w:tcBorders>
              <w:bottom w:val="single" w:sz="8" w:color="E5F1F8"/>
            </w:tcBorders>
            <w:shd w:val="clear" w:color="auto" w:fill="E5F1F8"/>
          </w:tcPr>
          <w:p>
            <w:pPr>
              <w:jc w:val="right"/>
              <w:ind w:right="73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68</w:t>
            </w:r>
          </w:p>
        </w:tc>
        <w:tc>
          <w:tcPr>
            <w:tcW w:w="42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63</w:t>
            </w:r>
          </w:p>
        </w:tc>
        <w:tc>
          <w:tcPr>
            <w:tcW w:w="42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27</w:t>
            </w:r>
          </w:p>
        </w:tc>
      </w:tr>
      <w:tr>
        <w:trPr>
          <w:trHeight w:val="194"/>
        </w:trPr>
        <w:tc>
          <w:tcPr>
            <w:tcW w:w="6500" w:type="dxa"/>
            <w:vAlign w:val="bottom"/>
            <w:tcBorders>
              <w:right w:val="single" w:sz="8" w:color="007CBA"/>
            </w:tcBorders>
          </w:tcPr>
          <w:p>
            <w:pPr>
              <w:ind w:left="120"/>
              <w:spacing w:after="0" w:line="194" w:lineRule="exact"/>
              <w:rPr>
                <w:sz w:val="20"/>
                <w:szCs w:val="20"/>
                <w:color w:val="auto"/>
              </w:rPr>
            </w:pPr>
            <w:r>
              <w:rPr>
                <w:rFonts w:ascii="Calibri" w:cs="Calibri" w:eastAsia="Calibri" w:hAnsi="Calibri"/>
                <w:sz w:val="18"/>
                <w:szCs w:val="18"/>
                <w:color w:val="auto"/>
              </w:rPr>
              <w:t>Right-of-use assets obtained in exchange for new fnance lease</w:t>
            </w:r>
          </w:p>
        </w:tc>
        <w:tc>
          <w:tcPr>
            <w:tcW w:w="1060" w:type="dxa"/>
            <w:vAlign w:val="bottom"/>
          </w:tcPr>
          <w:p>
            <w:pPr>
              <w:spacing w:after="0"/>
              <w:rPr>
                <w:sz w:val="16"/>
                <w:szCs w:val="16"/>
                <w:color w:val="auto"/>
              </w:rPr>
            </w:pPr>
          </w:p>
        </w:tc>
        <w:tc>
          <w:tcPr>
            <w:tcW w:w="520" w:type="dxa"/>
            <w:vAlign w:val="bottom"/>
            <w:tcBorders>
              <w:right w:val="single" w:sz="8" w:color="007CBA"/>
            </w:tcBorders>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Borders>
              <w:right w:val="single" w:sz="8" w:color="007CBA"/>
            </w:tcBorders>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5"/>
        </w:trPr>
        <w:tc>
          <w:tcPr>
            <w:tcW w:w="650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color w:val="auto"/>
              </w:rPr>
              <w:t>liabilites</w:t>
            </w:r>
          </w:p>
        </w:tc>
        <w:tc>
          <w:tcPr>
            <w:tcW w:w="1060" w:type="dxa"/>
            <w:vAlign w:val="bottom"/>
          </w:tcPr>
          <w:p>
            <w:pPr>
              <w:jc w:val="right"/>
              <w:ind w:right="73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17</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22</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12</w:t>
            </w:r>
          </w:p>
        </w:tc>
      </w:tr>
      <w:tr>
        <w:trPr>
          <w:trHeight w:val="23"/>
        </w:trPr>
        <w:tc>
          <w:tcPr>
            <w:tcW w:w="6500" w:type="dxa"/>
            <w:vAlign w:val="bottom"/>
            <w:tcBorders>
              <w:right w:val="single" w:sz="8" w:color="007CBA"/>
            </w:tcBorders>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Borders>
              <w:right w:val="single" w:sz="8" w:color="007CBA"/>
            </w:tcBorders>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6500" w:type="dxa"/>
            <w:vAlign w:val="bottom"/>
            <w:tcBorders>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Remeasurement of operatng lease right-of-use assets</w:t>
            </w:r>
          </w:p>
        </w:tc>
        <w:tc>
          <w:tcPr>
            <w:tcW w:w="1060" w:type="dxa"/>
            <w:vAlign w:val="bottom"/>
            <w:shd w:val="clear" w:color="auto" w:fill="E5F1F8"/>
          </w:tcPr>
          <w:p>
            <w:pPr>
              <w:jc w:val="right"/>
              <w:ind w:right="73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7</w:t>
            </w:r>
          </w:p>
        </w:tc>
        <w:tc>
          <w:tcPr>
            <w:tcW w:w="420" w:type="dxa"/>
            <w:vAlign w:val="bottom"/>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10</w:t>
            </w:r>
          </w:p>
        </w:tc>
        <w:tc>
          <w:tcPr>
            <w:tcW w:w="420" w:type="dxa"/>
            <w:vAlign w:val="bottom"/>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(3 )</w:t>
            </w:r>
          </w:p>
        </w:tc>
      </w:tr>
      <w:tr>
        <w:trPr>
          <w:trHeight w:val="215"/>
        </w:trPr>
        <w:tc>
          <w:tcPr>
            <w:tcW w:w="65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Remeasurement of fnance lease right-of-use assets</w:t>
            </w:r>
          </w:p>
        </w:tc>
        <w:tc>
          <w:tcPr>
            <w:tcW w:w="1060" w:type="dxa"/>
            <w:vAlign w:val="bottom"/>
          </w:tcPr>
          <w:p>
            <w:pPr>
              <w:jc w:val="right"/>
              <w:ind w:right="73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27</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(13 )</w:t>
            </w:r>
          </w:p>
        </w:tc>
      </w:tr>
      <w:tr>
        <w:trPr>
          <w:trHeight w:val="217"/>
        </w:trPr>
        <w:tc>
          <w:tcPr>
            <w:tcW w:w="650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Acquisiton of assets through asset exchange</w:t>
            </w:r>
          </w:p>
        </w:tc>
        <w:tc>
          <w:tcPr>
            <w:tcW w:w="1060" w:type="dxa"/>
            <w:vAlign w:val="bottom"/>
            <w:shd w:val="clear" w:color="auto" w:fill="E5F1F8"/>
          </w:tcPr>
          <w:p>
            <w:pPr>
              <w:jc w:val="right"/>
              <w:ind w:right="730"/>
              <w:spacing w:after="0" w:line="216"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w:t>
            </w:r>
          </w:p>
        </w:tc>
        <w:tc>
          <w:tcPr>
            <w:tcW w:w="420" w:type="dxa"/>
            <w:vAlign w:val="bottom"/>
            <w:shd w:val="clear" w:color="auto" w:fill="E5F1F8"/>
          </w:tcPr>
          <w:p>
            <w:pPr>
              <w:jc w:val="right"/>
              <w:ind w:right="9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5</w:t>
            </w:r>
          </w:p>
        </w:tc>
        <w:tc>
          <w:tcPr>
            <w:tcW w:w="420" w:type="dxa"/>
            <w:vAlign w:val="bottom"/>
            <w:shd w:val="clear" w:color="auto" w:fill="E5F1F8"/>
          </w:tcPr>
          <w:p>
            <w:pPr>
              <w:jc w:val="right"/>
              <w:ind w:right="9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E5F1F8"/>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382"/>
        </w:trPr>
        <w:tc>
          <w:tcPr>
            <w:tcW w:w="6500" w:type="dxa"/>
            <w:vAlign w:val="bottom"/>
          </w:tcPr>
          <w:p>
            <w:pPr>
              <w:spacing w:after="0"/>
              <w:rPr>
                <w:sz w:val="20"/>
                <w:szCs w:val="20"/>
                <w:color w:val="auto"/>
              </w:rPr>
            </w:pPr>
            <w:r>
              <w:rPr>
                <w:rFonts w:ascii="Calibri" w:cs="Calibri" w:eastAsia="Calibri" w:hAnsi="Calibri"/>
                <w:sz w:val="18"/>
                <w:szCs w:val="18"/>
                <w:color w:val="auto"/>
              </w:rPr>
              <w:t>Supplemental disclosures of cash fow informaton are as follows: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1"/>
        </w:trPr>
        <w:tc>
          <w:tcPr>
            <w:tcW w:w="6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5"/>
        </w:trPr>
        <w:tc>
          <w:tcPr>
            <w:tcW w:w="65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1060" w:type="dxa"/>
            <w:vAlign w:val="bottom"/>
            <w:shd w:val="clear" w:color="auto" w:fill="007CBA"/>
          </w:tcPr>
          <w:p>
            <w:pPr>
              <w:spacing w:after="0"/>
              <w:rPr>
                <w:sz w:val="18"/>
                <w:szCs w:val="18"/>
                <w:color w:val="auto"/>
              </w:rPr>
            </w:pPr>
          </w:p>
        </w:tc>
        <w:tc>
          <w:tcPr>
            <w:tcW w:w="52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7"/>
        </w:trPr>
        <w:tc>
          <w:tcPr>
            <w:tcW w:w="65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060" w:type="dxa"/>
            <w:vAlign w:val="bottom"/>
            <w:shd w:val="clear" w:color="auto" w:fill="007CBA"/>
          </w:tcPr>
          <w:p>
            <w:pPr>
              <w:jc w:val="right"/>
              <w:spacing w:after="0" w:line="215" w:lineRule="exact"/>
              <w:rPr>
                <w:sz w:val="20"/>
                <w:szCs w:val="20"/>
                <w:color w:val="auto"/>
              </w:rPr>
            </w:pPr>
            <w:r>
              <w:rPr>
                <w:rFonts w:ascii="Calibri" w:cs="Calibri" w:eastAsia="Calibri" w:hAnsi="Calibri"/>
                <w:sz w:val="18"/>
                <w:szCs w:val="18"/>
                <w:b w:val="1"/>
                <w:bCs w:val="1"/>
                <w:color w:val="FFFFFF"/>
              </w:rPr>
              <w:t>2024</w:t>
            </w:r>
          </w:p>
        </w:tc>
        <w:tc>
          <w:tcPr>
            <w:tcW w:w="52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2023</w:t>
            </w:r>
          </w:p>
        </w:tc>
        <w:tc>
          <w:tcPr>
            <w:tcW w:w="420" w:type="dxa"/>
            <w:vAlign w:val="bottom"/>
            <w:shd w:val="clear" w:color="auto" w:fill="007CBA"/>
          </w:tcPr>
          <w:p>
            <w:pPr>
              <w:spacing w:after="0"/>
              <w:rPr>
                <w:sz w:val="18"/>
                <w:szCs w:val="18"/>
                <w:color w:val="auto"/>
              </w:rPr>
            </w:pPr>
          </w:p>
        </w:tc>
        <w:tc>
          <w:tcPr>
            <w:tcW w:w="1160" w:type="dxa"/>
            <w:vAlign w:val="bottom"/>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65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Cash paid for interest, net of amount capitalized</w:t>
            </w:r>
          </w:p>
        </w:tc>
        <w:tc>
          <w:tcPr>
            <w:tcW w:w="1060" w:type="dxa"/>
            <w:vAlign w:val="bottom"/>
          </w:tcPr>
          <w:p>
            <w:pPr>
              <w:jc w:val="right"/>
              <w:ind w:right="73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158</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159</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165</w:t>
            </w:r>
          </w:p>
        </w:tc>
      </w:tr>
      <w:tr>
        <w:trPr>
          <w:trHeight w:val="217"/>
        </w:trPr>
        <w:tc>
          <w:tcPr>
            <w:tcW w:w="6500" w:type="dxa"/>
            <w:vAlign w:val="bottom"/>
            <w:tcBorders>
              <w:right w:val="single" w:sz="8" w:color="007CBA"/>
            </w:tcBorders>
            <w:shd w:val="clear" w:color="auto" w:fill="E5F1F8"/>
          </w:tcPr>
          <w:p>
            <w:pPr>
              <w:ind w:left="120"/>
              <w:spacing w:after="0" w:line="216" w:lineRule="exact"/>
              <w:rPr>
                <w:sz w:val="20"/>
                <w:szCs w:val="20"/>
                <w:color w:val="auto"/>
              </w:rPr>
            </w:pPr>
            <w:r>
              <w:rPr>
                <w:rFonts w:ascii="Calibri" w:cs="Calibri" w:eastAsia="Calibri" w:hAnsi="Calibri"/>
                <w:sz w:val="18"/>
                <w:szCs w:val="18"/>
                <w:color w:val="auto"/>
              </w:rPr>
              <w:t>Cash paid for income taxes</w:t>
            </w:r>
          </w:p>
        </w:tc>
        <w:tc>
          <w:tcPr>
            <w:tcW w:w="1060" w:type="dxa"/>
            <w:vAlign w:val="bottom"/>
            <w:shd w:val="clear" w:color="auto" w:fill="E5F1F8"/>
          </w:tcPr>
          <w:p>
            <w:pPr>
              <w:jc w:val="right"/>
              <w:ind w:right="730"/>
              <w:spacing w:after="0" w:line="216"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b w:val="1"/>
                <w:bCs w:val="1"/>
                <w:color w:val="auto"/>
              </w:rPr>
              <w:t>382</w:t>
            </w:r>
          </w:p>
        </w:tc>
        <w:tc>
          <w:tcPr>
            <w:tcW w:w="420" w:type="dxa"/>
            <w:vAlign w:val="bottom"/>
            <w:shd w:val="clear" w:color="auto" w:fill="E5F1F8"/>
          </w:tcPr>
          <w:p>
            <w:pPr>
              <w:jc w:val="right"/>
              <w:ind w:right="9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292</w:t>
            </w:r>
          </w:p>
        </w:tc>
        <w:tc>
          <w:tcPr>
            <w:tcW w:w="420" w:type="dxa"/>
            <w:vAlign w:val="bottom"/>
            <w:shd w:val="clear" w:color="auto" w:fill="E5F1F8"/>
          </w:tcPr>
          <w:p>
            <w:pPr>
              <w:jc w:val="right"/>
              <w:ind w:right="9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E5F1F8"/>
          </w:tcPr>
          <w:p>
            <w:pPr>
              <w:jc w:val="right"/>
              <w:ind w:right="50"/>
              <w:spacing w:after="0" w:line="216" w:lineRule="exact"/>
              <w:rPr>
                <w:sz w:val="20"/>
                <w:szCs w:val="20"/>
                <w:color w:val="auto"/>
              </w:rPr>
            </w:pPr>
            <w:r>
              <w:rPr>
                <w:rFonts w:ascii="Calibri" w:cs="Calibri" w:eastAsia="Calibri" w:hAnsi="Calibri"/>
                <w:sz w:val="18"/>
                <w:szCs w:val="18"/>
                <w:color w:val="auto"/>
              </w:rPr>
              <w:t>201</w:t>
            </w:r>
          </w:p>
        </w:tc>
      </w:tr>
      <w:tr>
        <w:trPr>
          <w:trHeight w:val="194"/>
        </w:trPr>
        <w:tc>
          <w:tcPr>
            <w:tcW w:w="6500" w:type="dxa"/>
            <w:vAlign w:val="bottom"/>
            <w:tcBorders>
              <w:right w:val="single" w:sz="8" w:color="007CBA"/>
            </w:tcBorders>
          </w:tcPr>
          <w:p>
            <w:pPr>
              <w:ind w:left="120"/>
              <w:spacing w:after="0" w:line="194" w:lineRule="exact"/>
              <w:rPr>
                <w:sz w:val="20"/>
                <w:szCs w:val="20"/>
                <w:color w:val="auto"/>
              </w:rPr>
            </w:pPr>
            <w:r>
              <w:rPr>
                <w:rFonts w:ascii="Calibri" w:cs="Calibri" w:eastAsia="Calibri" w:hAnsi="Calibri"/>
                <w:sz w:val="18"/>
                <w:szCs w:val="18"/>
                <w:color w:val="auto"/>
              </w:rPr>
              <w:t>Cash paid for amounts included in the measurement of</w:t>
            </w:r>
          </w:p>
        </w:tc>
        <w:tc>
          <w:tcPr>
            <w:tcW w:w="1060" w:type="dxa"/>
            <w:vAlign w:val="bottom"/>
          </w:tcPr>
          <w:p>
            <w:pPr>
              <w:spacing w:after="0"/>
              <w:rPr>
                <w:sz w:val="16"/>
                <w:szCs w:val="16"/>
                <w:color w:val="auto"/>
              </w:rPr>
            </w:pPr>
          </w:p>
        </w:tc>
        <w:tc>
          <w:tcPr>
            <w:tcW w:w="520" w:type="dxa"/>
            <w:vAlign w:val="bottom"/>
            <w:tcBorders>
              <w:right w:val="single" w:sz="8" w:color="007CBA"/>
            </w:tcBorders>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Borders>
              <w:right w:val="single" w:sz="8" w:color="007CBA"/>
            </w:tcBorders>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5"/>
        </w:trPr>
        <w:tc>
          <w:tcPr>
            <w:tcW w:w="650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color w:val="auto"/>
              </w:rPr>
              <w:t>lease liabilites:</w:t>
            </w:r>
          </w:p>
        </w:tc>
        <w:tc>
          <w:tcPr>
            <w:tcW w:w="1060" w:type="dxa"/>
            <w:vAlign w:val="bottom"/>
          </w:tcPr>
          <w:p>
            <w:pPr>
              <w:spacing w:after="0"/>
              <w:rPr>
                <w:sz w:val="18"/>
                <w:szCs w:val="18"/>
                <w:color w:val="auto"/>
              </w:rPr>
            </w:pPr>
          </w:p>
        </w:tc>
        <w:tc>
          <w:tcPr>
            <w:tcW w:w="520" w:type="dxa"/>
            <w:vAlign w:val="bottom"/>
            <w:tcBorders>
              <w:right w:val="single" w:sz="8" w:color="007CBA"/>
            </w:tcBorders>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
        </w:trPr>
        <w:tc>
          <w:tcPr>
            <w:tcW w:w="6500" w:type="dxa"/>
            <w:vAlign w:val="bottom"/>
            <w:tcBorders>
              <w:right w:val="single" w:sz="8" w:color="007CBA"/>
            </w:tcBorders>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Borders>
              <w:right w:val="single" w:sz="8" w:color="007CBA"/>
            </w:tcBorders>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6500" w:type="dxa"/>
            <w:vAlign w:val="bottom"/>
            <w:tcBorders>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Operatng cash fows used for operatng leases</w:t>
            </w:r>
          </w:p>
        </w:tc>
        <w:tc>
          <w:tcPr>
            <w:tcW w:w="1060" w:type="dxa"/>
            <w:vAlign w:val="bottom"/>
            <w:shd w:val="clear" w:color="auto" w:fill="E5F1F8"/>
          </w:tcPr>
          <w:p>
            <w:pPr>
              <w:jc w:val="right"/>
              <w:ind w:right="73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77</w:t>
            </w:r>
          </w:p>
        </w:tc>
        <w:tc>
          <w:tcPr>
            <w:tcW w:w="420" w:type="dxa"/>
            <w:vAlign w:val="bottom"/>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77</w:t>
            </w:r>
          </w:p>
        </w:tc>
        <w:tc>
          <w:tcPr>
            <w:tcW w:w="420" w:type="dxa"/>
            <w:vAlign w:val="bottom"/>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79</w:t>
            </w:r>
          </w:p>
        </w:tc>
      </w:tr>
      <w:tr>
        <w:trPr>
          <w:trHeight w:val="216"/>
        </w:trPr>
        <w:tc>
          <w:tcPr>
            <w:tcW w:w="65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Operatng cash fows used for fnance leases</w:t>
            </w:r>
          </w:p>
        </w:tc>
        <w:tc>
          <w:tcPr>
            <w:tcW w:w="1060" w:type="dxa"/>
            <w:vAlign w:val="bottom"/>
          </w:tcPr>
          <w:p>
            <w:pPr>
              <w:jc w:val="right"/>
              <w:ind w:right="73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5</w:t>
            </w:r>
          </w:p>
        </w:tc>
        <w:tc>
          <w:tcPr>
            <w:tcW w:w="42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5</w:t>
            </w:r>
          </w:p>
        </w:tc>
      </w:tr>
      <w:tr>
        <w:trPr>
          <w:trHeight w:val="215"/>
        </w:trPr>
        <w:tc>
          <w:tcPr>
            <w:tcW w:w="6500" w:type="dxa"/>
            <w:vAlign w:val="bottom"/>
            <w:tcBorders>
              <w:bottom w:val="single" w:sz="8" w:color="auto"/>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Financing cash fows used for fnance leases</w:t>
            </w:r>
          </w:p>
        </w:tc>
        <w:tc>
          <w:tcPr>
            <w:tcW w:w="1060" w:type="dxa"/>
            <w:vAlign w:val="bottom"/>
            <w:tcBorders>
              <w:bottom w:val="single" w:sz="8" w:color="auto"/>
            </w:tcBorders>
            <w:shd w:val="clear" w:color="auto" w:fill="E5F1F8"/>
          </w:tcPr>
          <w:p>
            <w:pPr>
              <w:jc w:val="right"/>
              <w:ind w:right="730"/>
              <w:spacing w:after="0" w:line="215"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w:t>
            </w:r>
          </w:p>
        </w:tc>
        <w:tc>
          <w:tcPr>
            <w:tcW w:w="420" w:type="dxa"/>
            <w:vAlign w:val="bottom"/>
            <w:tcBorders>
              <w:bottom w:val="single" w:sz="8" w:color="auto"/>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17</w:t>
            </w:r>
          </w:p>
        </w:tc>
        <w:tc>
          <w:tcPr>
            <w:tcW w:w="420" w:type="dxa"/>
            <w:vAlign w:val="bottom"/>
            <w:tcBorders>
              <w:bottom w:val="single" w:sz="8" w:color="auto"/>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-158115</wp:posOffset>
            </wp:positionV>
            <wp:extent cx="33655" cy="1714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-158115</wp:posOffset>
            </wp:positionV>
            <wp:extent cx="33655" cy="1714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-158115</wp:posOffset>
            </wp:positionV>
            <wp:extent cx="33655" cy="1714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33655" cy="17145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R: Other Operatng Income, Net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operatng income, net, is comprised generally of gains and losses on divesttures and the sale of assets; asset and portolio ratonalizaton charges; recoveries and losses related to certain customer accounts receivable; recoveries and losses on the resoluton of contngency accruals; rental, royalty and services income; and accreton expense, depreciaton expense, and gains and losses related to asset retrement obligatons. These net amounts represented income of $1.3 billion, $28 million and $190 million in 2024, 2023 and 2022, respectvely.</w:t>
      </w:r>
    </w:p>
    <w:p>
      <w:pPr>
        <w:spacing w:after="0" w:line="5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2024, other operatng income, net, included a $1.3 billion pretax gain on the divestture of the South Texas cement business and certain of its related ready mixed concrete operatons and $28 million of gains on land sales, which were partally ofset by a $50 million pretax, noncash asset and portolio ratonalizaton charge. The 2024 noncash asset and portolio ratonalizaton charge relates to the Company's decision to discontnue usage of certain long-haul distributon facilites to transport aggregates products into Colorado because the AFS acquisiton completed in January 2024 provides more economical, local aggregates supply. This charge, which is reported in the West Group, refects the Company's evaluaton of the recoverability of certain long-lived assets, including property, plant and equipment and operatng lease right-of-use assets, for the cessaton of these railroad operatons.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In 2023, other operatng income, net, included $20 million of gains on land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83185</wp:posOffset>
            </wp:positionV>
            <wp:extent cx="325755" cy="1968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4" w:name="page105"/>
    <w:bookmarkEnd w:id="104"/>
    <w:p>
      <w:pPr>
        <w:ind w:left="662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2022, other operatng income, net, included a $152 million pretax gain on the divestture of the Colorado and Central Texas ready mixed concrete operatons.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S: Other Nonoperatng Income, Net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nonoperatng income, net, is comprised generally of interest income; foreign currency transacton gains and losses; pension and postretrement beneft cost (excluding service cost); net equity earnings from nonconsolidated investments and other miscellaneous income and expenses. Other nonoperatng income, net, was $58 million, $62 million and $53 million in 2024, 2023 and 2022, respectvely. In 2024, other nonoperatng income, net, included $40 million of interest income and $10 million of third-party railroad track maintenance expense. In 2023, other nonoperatng income, net, included $47 million of interest income and $9 million of third-party railroad track maintenance expense. In 2022, other nonoperatng income, net, included $14 million of interest income, a $12 million pretax gain related to the repurchase of the Company's debt and $8 million of third-party railroad track maintenance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86360</wp:posOffset>
            </wp:positionV>
            <wp:extent cx="325755" cy="1968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5" w:name="page106"/>
    <w:bookmarkEnd w:id="105"/>
    <w:p>
      <w:pPr>
        <w:ind w:left="8060"/>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9A – Controls and Procedures</w:t>
      </w:r>
    </w:p>
    <w:p>
      <w:pPr>
        <w:spacing w:after="0" w:line="214" w:lineRule="exact"/>
        <w:rPr>
          <w:sz w:val="20"/>
          <w:szCs w:val="20"/>
          <w:color w:val="auto"/>
        </w:rPr>
      </w:pPr>
    </w:p>
    <w:p>
      <w:pPr>
        <w:jc w:val="both"/>
        <w:ind w:right="20"/>
        <w:spacing w:after="0"/>
        <w:rPr>
          <w:sz w:val="20"/>
          <w:szCs w:val="20"/>
          <w:color w:val="auto"/>
        </w:rPr>
      </w:pPr>
      <w:r>
        <w:rPr>
          <w:rFonts w:ascii="Calibri" w:cs="Calibri" w:eastAsia="Calibri" w:hAnsi="Calibri"/>
          <w:sz w:val="25"/>
          <w:szCs w:val="25"/>
          <w:b w:val="1"/>
          <w:bCs w:val="1"/>
          <w:color w:val="auto"/>
        </w:rPr>
        <w:t>ITEM 9 – CHANGES IN AND DISAGREEMENTS WITH ACCOUNTANTS ON ACCOUNTING AND FINANCIAL DISCLOSURE</w:t>
      </w:r>
    </w:p>
    <w:p>
      <w:pPr>
        <w:spacing w:after="0" w:line="60"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9A – CONTROLS AND PROCEDURES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Evaluaton of Disclosure Controls and Procedures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an evaluaton was performed under the supervision and with the partcipaton of the Company’s management, including the Chief Executve Ofcer (CEO) and Chief Financial Ofcer (CFO), of the efectveness of the design and operaton of the Company’s disclosure controls and procedures. Based on that evaluaton, the Company’s CEO and CFO concluded that the Company’s disclosure controls and procedures were efectve at the reasonable assurance level.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foregoing evaluaton of the Company’s disclosure controls and procedures was based on the defniton in Exchange Act Rule 13a-15(e), which requires that disclosure controls and procedures are efectvely designed to provide reasonable assurance that informaton required to be disclosed by an issuer in the reports that it fles or submits with the SEC under the Exchange Act is recorded, processed, summarized and reported, within the tme periods specifed in the SEC’s rules and forms, and is accumulated and communicated to the issuer’s management, including its principal executve and principal fnancial ofcers, or persons performing similar functons, as appropriate to allow tmely decisions regarding required disclosure.</w:t>
      </w:r>
    </w:p>
    <w:p>
      <w:pPr>
        <w:spacing w:after="0" w:line="17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Management’s Report on Internal Control over Financial Reportng</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management’s report on internal control over fnancial reportng is included as the </w:t>
      </w:r>
      <w:r>
        <w:rPr>
          <w:rFonts w:ascii="Calibri" w:cs="Calibri" w:eastAsia="Calibri" w:hAnsi="Calibri"/>
          <w:sz w:val="18"/>
          <w:szCs w:val="18"/>
          <w:u w:val="single" w:color="auto"/>
          <w:color w:val="007DC6"/>
        </w:rPr>
        <w:t>Statement of Financial Responsibility and Management’s Report on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Internal Controls over Financial Reportng</w:t>
      </w:r>
      <w:r>
        <w:rPr>
          <w:rFonts w:ascii="Calibri" w:cs="Calibri" w:eastAsia="Calibri" w:hAnsi="Calibri"/>
          <w:sz w:val="18"/>
          <w:szCs w:val="18"/>
          <w:color w:val="007DC6"/>
        </w:rPr>
        <w:t xml:space="preserve"> </w:t>
      </w:r>
      <w:r>
        <w:rPr>
          <w:rFonts w:ascii="Calibri" w:cs="Calibri" w:eastAsia="Calibri" w:hAnsi="Calibri"/>
          <w:sz w:val="18"/>
          <w:szCs w:val="18"/>
          <w:color w:val="000000"/>
        </w:rPr>
        <w:t>in</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8, Financial Statements and Supplemental Data</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The Company’s management concluded</w:t>
      </w:r>
      <w:r>
        <w:rPr>
          <w:rFonts w:ascii="Calibri" w:cs="Calibri" w:eastAsia="Calibri" w:hAnsi="Calibri"/>
          <w:sz w:val="18"/>
          <w:szCs w:val="18"/>
          <w:color w:val="007DC6"/>
        </w:rPr>
        <w:t xml:space="preserve"> </w:t>
      </w:r>
      <w:r>
        <w:rPr>
          <w:rFonts w:ascii="Calibri" w:cs="Calibri" w:eastAsia="Calibri" w:hAnsi="Calibri"/>
          <w:sz w:val="18"/>
          <w:szCs w:val="18"/>
          <w:color w:val="000000"/>
        </w:rPr>
        <w:t xml:space="preserve">that the Company’s internal control over fnancial reportng was efectve in providing reasonable assurance regarding the reliability of fnancial reportng and the preparaton of the Company’s fnancial statements for external purposes in accordance with U.S. generally accepted accountng principles as of December 31, 2024. PricewaterhouseCoopers LLP, the independent registered public accountng frm that audited the Company’s consolidated fnancial statements contained herein, also audited the Company’s internal control over fnancial reportng as of December 31, 2024. The audit report is included in </w:t>
      </w:r>
      <w:r>
        <w:rPr>
          <w:rFonts w:ascii="Calibri" w:cs="Calibri" w:eastAsia="Calibri" w:hAnsi="Calibri"/>
          <w:sz w:val="18"/>
          <w:szCs w:val="18"/>
          <w:u w:val="single" w:color="auto"/>
          <w:color w:val="007DC6"/>
        </w:rPr>
        <w:t>Item 8, Financial Statements and Supplementary Data</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-838835</wp:posOffset>
            </wp:positionV>
            <wp:extent cx="30911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3091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442658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44265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243713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243713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Changes in Internal Control over Financial Reportng</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were no changes in the Company’s internal control over fnancial reportng during the most recently completed fscal quarter ended December 31, 2024 that materially afected, or are reasonably likely to materially afect, the Company’s internal control over fnancial reportng.</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Limitatons on the Efectveness of Controls</w:t>
      </w:r>
    </w:p>
    <w:p>
      <w:pPr>
        <w:spacing w:after="0" w:line="64"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Company's management, including the CEO and CFO, does not expect that the Company’s control system will prevent all error and all fraud. A control system, no mater how well conceived and operated, can provide only reasonable, not absolute, assurance that the objectves of the control system are met. Further, the design of a control system must refect the fact that there are resource constraints, and the benefts of controls must be considered relatve to their costs. Because of the inherent limitatons in all control systems, no evaluaton of controls can provide absolute assurance that all control issues and instances of fraud, if any, within the Company have been detected. These inherent limitatons include the realites that judgments in decision making can be faulty and that breakdowns can occur because of simple error or mistake. Additonally, controls can be circumvented by the individual acts of some persons, by collusion of two or more people, or by management override of the control. The design of any system of controls is based in part upon certain assumptons about the likelihood of future events, and there can be no assurance that any design will succeed in achieving its stated goals under all potental future conditons. Over tme, controls may become inadequate because of changes in conditons, or the degree of compliance with the policies or procedures may deteriorate. Because of the inherent limitatons in a cost-efectve control system, misstatements due to error or fraud may occur and not be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81915</wp:posOffset>
            </wp:positionV>
            <wp:extent cx="325755" cy="1968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6" w:name="page107"/>
    <w:bookmarkEnd w:id="106"/>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9A – Controls and Procedures</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CEO and CFO Certfcatons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Included among the exhibits to this Form 10-K are forms of “Certfcatons” of the Company’s CEO and CFO as required in accordance with Secton 302 of the Sarbanes-Oxley Act of 2002 (the “Secton 302 Certfcaton”). The Secton 302 Certfcatons refer to this evaluaton of the Company’s disclosure policies and procedures and internal control over fnancial reportng. The informaton in this secton should be read in conjuncton with the Secton 302 Certfcatons for a more complete understanding of the topics presented.</w:t>
      </w:r>
    </w:p>
    <w:p>
      <w:pPr>
        <w:spacing w:after="0" w:line="21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9B – OTHER INFORMATION</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three months ended December 31, 2024, no director or ofcer of the Company adopted or terminated a "Rule 10b5-1 trading arrangement" or adopted or terminated a "non-Rule 10b5-1 trading arrangement," as each term is defned in Item 408(a) of Regulaton S-K.</w:t>
      </w:r>
    </w:p>
    <w:p>
      <w:pPr>
        <w:spacing w:after="0" w:line="2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9C – DISCLOSURE REGARDING FOREIGN JURISDICTIONS THAT PREVENT INSPECTIONS</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83185</wp:posOffset>
            </wp:positionV>
            <wp:extent cx="325755" cy="1974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3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7" w:name="page108"/>
    <w:bookmarkEnd w:id="107"/>
    <w:p>
      <w:pPr>
        <w:ind w:left="5800"/>
        <w:spacing w:after="0"/>
        <w:rPr>
          <w:sz w:val="20"/>
          <w:szCs w:val="20"/>
          <w:color w:val="auto"/>
        </w:rPr>
      </w:pPr>
      <w:r>
        <w:rPr>
          <w:rFonts w:ascii="MS PGothic" w:cs="MS PGothic" w:eastAsia="MS PGothic" w:hAnsi="MS PGothic"/>
          <w:sz w:val="17"/>
          <w:szCs w:val="17"/>
          <w:color w:val="auto"/>
        </w:rPr>
        <w:t xml:space="preserve">Part III </w:t>
      </w:r>
      <w:r>
        <w:rPr>
          <w:rFonts w:ascii="Arial" w:cs="Arial" w:eastAsia="Arial" w:hAnsi="Arial"/>
          <w:sz w:val="22"/>
          <w:szCs w:val="22"/>
          <w:color w:val="0070C0"/>
        </w:rPr>
        <w:t>♦</w:t>
      </w:r>
      <w:r>
        <w:rPr>
          <w:rFonts w:ascii="MS PGothic" w:cs="MS PGothic" w:eastAsia="MS PGothic" w:hAnsi="MS PGothic"/>
          <w:sz w:val="17"/>
          <w:szCs w:val="17"/>
          <w:color w:val="auto"/>
        </w:rPr>
        <w:t xml:space="preserve"> Item 10 – Directors, Executve Ofcers and Corporate Governance</w:t>
      </w:r>
    </w:p>
    <w:p>
      <w:pPr>
        <w:spacing w:after="0" w:line="183" w:lineRule="exact"/>
        <w:rPr>
          <w:sz w:val="20"/>
          <w:szCs w:val="20"/>
          <w:color w:val="auto"/>
        </w:rPr>
      </w:pPr>
    </w:p>
    <w:p>
      <w:pPr>
        <w:jc w:val="center"/>
        <w:ind w:right="80"/>
        <w:spacing w:after="0"/>
        <w:rPr>
          <w:sz w:val="20"/>
          <w:szCs w:val="20"/>
          <w:color w:val="auto"/>
        </w:rPr>
      </w:pPr>
      <w:r>
        <w:rPr>
          <w:rFonts w:ascii="Calibri" w:cs="Calibri" w:eastAsia="Calibri" w:hAnsi="Calibri"/>
          <w:sz w:val="36"/>
          <w:szCs w:val="36"/>
          <w:color w:val="auto"/>
        </w:rPr>
        <w:t>PART III</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10 – DIRECTORS, EXECUTIVE OFFICERS AND CORPORATE GOVERNANCE</w:t>
      </w:r>
    </w:p>
    <w:p>
      <w:pPr>
        <w:spacing w:after="0" w:line="64" w:lineRule="exact"/>
        <w:rPr>
          <w:sz w:val="20"/>
          <w:szCs w:val="20"/>
          <w:color w:val="auto"/>
        </w:rPr>
      </w:pPr>
    </w:p>
    <w:p>
      <w:pPr>
        <w:jc w:val="both"/>
        <w:spacing w:after="0" w:line="314" w:lineRule="auto"/>
        <w:rPr>
          <w:sz w:val="20"/>
          <w:szCs w:val="20"/>
          <w:color w:val="auto"/>
        </w:rPr>
      </w:pPr>
      <w:r>
        <w:rPr>
          <w:rFonts w:ascii="MS PGothic" w:cs="MS PGothic" w:eastAsia="MS PGothic" w:hAnsi="MS PGothic"/>
          <w:sz w:val="17"/>
          <w:szCs w:val="17"/>
          <w:color w:val="auto"/>
        </w:rPr>
        <w:t xml:space="preserve">The informaton concerning directors of the Company, the Audit Commitee of the Board of Directors, and the Audit Commitee fnancial expert serving on the Audit Commitee, all as required in response to this Item 10, is included under the captons "The Board of Directors," "Proposal 1: Electon of Directors" and “Corporate Governance Maters” in the Company’s defnitve proxy statement to be fled with the SEC pursuant to Regulaton 14A within 120 days afer the close of the Company’s fscal year ended December 31, 2024 (the “2025 Proxy Statement”), and that informaton is hereby incorporated by reference in this Form 10-K. Informaton concerning Secton 16(a) reportng compliance is incorporated by reference to the informaton appearing under the capton “Secton 16(a) Reports” in the 2025 Proxy Statement. Informaton concerning executve ofcers of the Company required in response to this Item 10 is included in Part I, under the heading </w:t>
      </w:r>
      <w:r>
        <w:rPr>
          <w:rFonts w:ascii="MS PGothic" w:cs="MS PGothic" w:eastAsia="MS PGothic" w:hAnsi="MS PGothic"/>
          <w:sz w:val="17"/>
          <w:szCs w:val="17"/>
          <w:u w:val="single" w:color="auto"/>
          <w:color w:val="007DC6"/>
        </w:rPr>
        <w:t>Informaton about our Executve Ofcers</w:t>
      </w:r>
      <w:r>
        <w:rPr>
          <w:rFonts w:ascii="MS PGothic" w:cs="MS PGothic" w:eastAsia="MS PGothic" w:hAnsi="MS PGothic"/>
          <w:sz w:val="17"/>
          <w:szCs w:val="17"/>
          <w:color w:val="auto"/>
        </w:rPr>
        <w:t xml:space="preserve"> of this Form 10-K. The informaton concerning the Company’s code of ethics required in response to this Item 10 is included in Part I, under the heading </w:t>
      </w:r>
      <w:r>
        <w:rPr>
          <w:rFonts w:ascii="MS PGothic" w:cs="MS PGothic" w:eastAsia="MS PGothic" w:hAnsi="MS PGothic"/>
          <w:sz w:val="17"/>
          <w:szCs w:val="17"/>
          <w:u w:val="single" w:color="auto"/>
          <w:color w:val="007DC6"/>
        </w:rPr>
        <w:t>Available Informaton</w:t>
      </w:r>
      <w:r>
        <w:rPr>
          <w:rFonts w:ascii="MS PGothic" w:cs="MS PGothic" w:eastAsia="MS PGothic" w:hAnsi="MS PGothic"/>
          <w:sz w:val="17"/>
          <w:szCs w:val="17"/>
          <w:color w:val="auto"/>
        </w:rPr>
        <w:t xml:space="preserve">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1722755</wp:posOffset>
            </wp:positionH>
            <wp:positionV relativeFrom="paragraph">
              <wp:posOffset>-189230</wp:posOffset>
            </wp:positionV>
            <wp:extent cx="186118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1861185" cy="8255"/>
                    </a:xfrm>
                    <a:prstGeom prst="rect">
                      <a:avLst/>
                    </a:prstGeom>
                    <a:noFill/>
                  </pic:spPr>
                </pic:pic>
              </a:graphicData>
            </a:graphic>
          </wp:anchor>
        </w:drawing>
        <w:drawing>
          <wp:anchor simplePos="0" relativeHeight="251657728" behindDoc="1" locked="0" layoutInCell="0" allowOverlap="1">
            <wp:simplePos x="0" y="0"/>
            <wp:positionH relativeFrom="column">
              <wp:posOffset>3422015</wp:posOffset>
            </wp:positionH>
            <wp:positionV relativeFrom="paragraph">
              <wp:posOffset>-52070</wp:posOffset>
            </wp:positionV>
            <wp:extent cx="97726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jc w:val="both"/>
        <w:spacing w:after="0" w:line="299" w:lineRule="auto"/>
        <w:rPr>
          <w:sz w:val="20"/>
          <w:szCs w:val="20"/>
          <w:color w:val="auto"/>
        </w:rPr>
      </w:pPr>
      <w:r>
        <w:rPr>
          <w:rFonts w:ascii="MS PGothic" w:cs="MS PGothic" w:eastAsia="MS PGothic" w:hAnsi="MS PGothic"/>
          <w:sz w:val="18"/>
          <w:szCs w:val="18"/>
          <w:color w:val="auto"/>
        </w:rPr>
        <w:t xml:space="preserve">The Company has adopted an insider trading policy governing the purchase, sale and other dispositons of the Company’s securites that applies to all Company personnel, including directors, ofcers, employees, and other covered persons. The Company also follows procedures for the repurchase of its securites. The Company believes that its insider trading policy and repurchase procedures are reasonably designed to promote compliance with insider trading laws, rules and regulatons, and listng standards applicable to the Company. A copy of the Company’s insider trading policy is fled as </w:t>
      </w:r>
      <w:r>
        <w:rPr>
          <w:rFonts w:ascii="MS PGothic" w:cs="MS PGothic" w:eastAsia="MS PGothic" w:hAnsi="MS PGothic"/>
          <w:sz w:val="18"/>
          <w:szCs w:val="18"/>
          <w:u w:val="single" w:color="auto"/>
          <w:color w:val="007DC6"/>
        </w:rPr>
        <w:t>Exhibit 19.01</w:t>
      </w:r>
      <w:r>
        <w:rPr>
          <w:rFonts w:ascii="MS PGothic" w:cs="MS PGothic" w:eastAsia="MS PGothic" w:hAnsi="MS PGothic"/>
          <w:sz w:val="18"/>
          <w:szCs w:val="18"/>
          <w:color w:val="auto"/>
        </w:rPr>
        <w:t xml:space="preserve">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-182880</wp:posOffset>
            </wp:positionV>
            <wp:extent cx="58737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58737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11 – EXECUTIVE COMPENSATION</w:t>
      </w:r>
    </w:p>
    <w:p>
      <w:pPr>
        <w:spacing w:after="0" w:line="118"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auto"/>
        </w:rPr>
        <w:t>The informaton required in response to this Item 11 is included under the captons “Executve Compensaton,” “Compensaton Discussion and Analysis,” “Required Pay Disclosures,” “Corporate Governance Maters,” “Management Development and Compensaton Commitee Report,” and “Compensaton Commitee Interlocks and Insider Partcipaton” in the Company’s 2025 Proxy Statement, and that informaton is hereby incorporated by reference in this Form 10-K.</w:t>
      </w:r>
    </w:p>
    <w:p>
      <w:pPr>
        <w:spacing w:after="0" w:line="171" w:lineRule="exact"/>
        <w:rPr>
          <w:sz w:val="20"/>
          <w:szCs w:val="20"/>
          <w:color w:val="auto"/>
        </w:rPr>
      </w:pPr>
    </w:p>
    <w:p>
      <w:pPr>
        <w:jc w:val="both"/>
        <w:ind w:right="20"/>
        <w:spacing w:after="0"/>
        <w:rPr>
          <w:sz w:val="20"/>
          <w:szCs w:val="20"/>
          <w:color w:val="auto"/>
        </w:rPr>
      </w:pPr>
      <w:r>
        <w:rPr>
          <w:rFonts w:ascii="Calibri" w:cs="Calibri" w:eastAsia="Calibri" w:hAnsi="Calibri"/>
          <w:sz w:val="25"/>
          <w:szCs w:val="25"/>
          <w:b w:val="1"/>
          <w:bCs w:val="1"/>
          <w:color w:val="auto"/>
        </w:rPr>
        <w:t>ITEM 12 – SECURITY OWNERSHIP OF CERTAIN BENEFICIAL OWNERS AND MANAGEMENT AND RELATED STOCKHOLDER MATTERS</w:t>
      </w:r>
    </w:p>
    <w:p>
      <w:pPr>
        <w:spacing w:after="0" w:line="65"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auto"/>
        </w:rPr>
        <w:t>The informaton required in response to this Item 12 is included under the captons “General Informaton,” “Security Ownership of Certain Benefcial Owners and Management,” and “Securites Authorized for Issuance Under Equity Compensaton Plans” in the Company’s 2025 Proxy Statement, and that informaton is hereby incorporated by reference in this Form 10-K.</w:t>
      </w:r>
    </w:p>
    <w:p>
      <w:pPr>
        <w:spacing w:after="0" w:line="16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13 – CERTAIN RELATIONSHIPS AND RELATED TRANSACTIONS, AND DIRECTOR INDEPENDENCE</w:t>
      </w:r>
    </w:p>
    <w:p>
      <w:pPr>
        <w:spacing w:after="0" w:line="64"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auto"/>
        </w:rPr>
        <w:t>The informaton required in response to this Item 13 is included under the captons “Compensaton Commitee Interlocks and Insider Partcipaton in Compensaton Decisions” and “Corporate Governance Maters” in the Company’s 2025 Proxy Statement, and that informaton is hereby incorporated by reference in this Form 10-K.</w:t>
      </w:r>
    </w:p>
    <w:p>
      <w:pPr>
        <w:spacing w:after="0" w:line="16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14 – PRINCIPAL ACCOUNTANT FEES AND SERVICES</w:t>
      </w:r>
    </w:p>
    <w:p>
      <w:pPr>
        <w:spacing w:after="0" w:line="64"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auto"/>
        </w:rPr>
        <w:t>The informaton required in response to this Item 14 is included under the capton “Independent Auditors” in the Company’s 2025 Proxy Statement, and that informaton is hereby incorporated by reference in this Form 10-K.</w:t>
      </w:r>
    </w:p>
    <w:p>
      <w:pPr>
        <w:spacing w:after="0" w:line="57"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-164465</wp:posOffset>
            </wp:positionV>
            <wp:extent cx="325755" cy="1968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8" w:name="page109"/>
    <w:bookmarkEnd w:id="108"/>
    <w:p>
      <w:pPr>
        <w:jc w:val="right"/>
        <w:spacing w:after="0"/>
        <w:rPr>
          <w:sz w:val="20"/>
          <w:szCs w:val="20"/>
          <w:color w:val="auto"/>
        </w:rPr>
      </w:pPr>
      <w:r>
        <w:rPr>
          <w:rFonts w:ascii="Calibri" w:cs="Calibri" w:eastAsia="Calibri" w:hAnsi="Calibri"/>
          <w:sz w:val="18"/>
          <w:szCs w:val="18"/>
          <w:color w:val="auto"/>
        </w:rPr>
        <w:t xml:space="preserve">Part IV </w:t>
      </w:r>
      <w:r>
        <w:rPr>
          <w:rFonts w:ascii="Arial" w:cs="Arial" w:eastAsia="Arial" w:hAnsi="Arial"/>
          <w:sz w:val="23"/>
          <w:szCs w:val="23"/>
          <w:color w:val="0070C0"/>
        </w:rPr>
        <w:t>♦</w:t>
      </w:r>
      <w:r>
        <w:rPr>
          <w:rFonts w:ascii="Calibri" w:cs="Calibri" w:eastAsia="Calibri" w:hAnsi="Calibri"/>
          <w:sz w:val="18"/>
          <w:szCs w:val="18"/>
          <w:color w:val="auto"/>
        </w:rPr>
        <w:t xml:space="preserve"> Item 15 – Exhibits and Financial Statement Schedules</w:t>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36"/>
          <w:szCs w:val="36"/>
          <w:color w:val="auto"/>
        </w:rPr>
        <w:t>PART IV</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15 – EXHIBITS AND FINANCIAL STATEMENT SCHEDULES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(a) (1) List of fnancial statements fled as part of this Form 10-K</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consolidated fnancial statements of Martn Marieta and consolidated subsidiaries, and related notes, appear in </w:t>
      </w:r>
      <w:r>
        <w:rPr>
          <w:rFonts w:ascii="Calibri" w:cs="Calibri" w:eastAsia="Calibri" w:hAnsi="Calibri"/>
          <w:sz w:val="18"/>
          <w:szCs w:val="18"/>
          <w:u w:val="single" w:color="auto"/>
          <w:color w:val="0563C1"/>
        </w:rPr>
        <w:t>Item 8, Financial Statements and</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563C1"/>
        </w:rPr>
        <w:t>Supplemental Data</w:t>
      </w:r>
      <w:r>
        <w:rPr>
          <w:rFonts w:ascii="Calibri" w:cs="Calibri" w:eastAsia="Calibri" w:hAnsi="Calibri"/>
          <w:sz w:val="18"/>
          <w:szCs w:val="18"/>
          <w:color w:val="0563C1"/>
        </w:rPr>
        <w:t xml:space="preserve"> </w:t>
      </w:r>
      <w:r>
        <w:rPr>
          <w:rFonts w:ascii="Calibri" w:cs="Calibri" w:eastAsia="Calibri" w:hAnsi="Calibri"/>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-155575</wp:posOffset>
            </wp:positionV>
            <wp:extent cx="156019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1560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86487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(a) (2) List of fnancial statement schedules fled as part of this Form 10-K</w:t>
      </w:r>
    </w:p>
    <w:p>
      <w:pPr>
        <w:spacing w:after="0" w:line="64" w:lineRule="exact"/>
        <w:rPr>
          <w:sz w:val="20"/>
          <w:szCs w:val="20"/>
          <w:color w:val="auto"/>
        </w:rPr>
      </w:pPr>
    </w:p>
    <w:p>
      <w:pPr>
        <w:ind w:right="1620"/>
        <w:spacing w:after="0" w:line="348" w:lineRule="auto"/>
        <w:rPr>
          <w:sz w:val="20"/>
          <w:szCs w:val="20"/>
          <w:color w:val="auto"/>
        </w:rPr>
      </w:pPr>
      <w:r>
        <w:rPr>
          <w:rFonts w:ascii="Calibri" w:cs="Calibri" w:eastAsia="Calibri" w:hAnsi="Calibri"/>
          <w:sz w:val="18"/>
          <w:szCs w:val="18"/>
          <w:color w:val="auto"/>
        </w:rPr>
        <w:t>The following fnancial statement schedule of Martn Marieta and consolidated subsidiaries is included in Item 15(c) of this Form 10-K. Schedule II - Valuaton and Qualifying Accounts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other schedules have been omited because they are not applicable, not required, or the informaton has been otherwise supplied in the fnancial statements or notes to the fnancial statements.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report of the Company’s independent registered public accountng frm with respect to the above-referenced fnancial statements is included in </w:t>
      </w:r>
      <w:r>
        <w:rPr>
          <w:rFonts w:ascii="Calibri" w:cs="Calibri" w:eastAsia="Calibri" w:hAnsi="Calibri"/>
          <w:sz w:val="18"/>
          <w:szCs w:val="18"/>
          <w:u w:val="single" w:color="auto"/>
          <w:color w:val="0563C1"/>
        </w:rPr>
        <w:t>Item 8,</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563C1"/>
        </w:rPr>
        <w:t>Financial Statements and Supplemental Data</w:t>
      </w:r>
      <w:r>
        <w:rPr>
          <w:rFonts w:ascii="Calibri" w:cs="Calibri" w:eastAsia="Calibri" w:hAnsi="Calibri"/>
          <w:sz w:val="18"/>
          <w:szCs w:val="18"/>
          <w:color w:val="0563C1"/>
        </w:rPr>
        <w:t xml:space="preserve"> </w:t>
      </w:r>
      <w:r>
        <w:rPr>
          <w:rFonts w:ascii="Calibri" w:cs="Calibri" w:eastAsia="Calibri" w:hAnsi="Calibri"/>
          <w:sz w:val="18"/>
          <w:szCs w:val="18"/>
          <w:color w:val="000000"/>
        </w:rPr>
        <w:t>of this Form 10-K. The consent of the Company’s independent registered public accountng frm is atached as</w:t>
      </w:r>
      <w:r>
        <w:rPr>
          <w:rFonts w:ascii="Calibri" w:cs="Calibri" w:eastAsia="Calibri" w:hAnsi="Calibri"/>
          <w:sz w:val="18"/>
          <w:szCs w:val="18"/>
          <w:color w:val="0563C1"/>
        </w:rPr>
        <w:t xml:space="preserve"> </w:t>
      </w:r>
      <w:r>
        <w:rPr>
          <w:rFonts w:ascii="Calibri" w:cs="Calibri" w:eastAsia="Calibri" w:hAnsi="Calibri"/>
          <w:sz w:val="18"/>
          <w:szCs w:val="18"/>
          <w:u w:val="single" w:color="auto"/>
          <w:color w:val="0563C1"/>
        </w:rPr>
        <w:t>Exhibit 23.01</w:t>
      </w:r>
      <w:r>
        <w:rPr>
          <w:rFonts w:ascii="Calibri" w:cs="Calibri" w:eastAsia="Calibri" w:hAnsi="Calibri"/>
          <w:sz w:val="18"/>
          <w:szCs w:val="18"/>
          <w:color w:val="0563C1"/>
        </w:rPr>
        <w:t xml:space="preserve"> </w:t>
      </w:r>
      <w:r>
        <w:rPr>
          <w:rFonts w:ascii="Calibri" w:cs="Calibri" w:eastAsia="Calibri" w:hAnsi="Calibri"/>
          <w:sz w:val="18"/>
          <w:szCs w:val="18"/>
          <w:color w:val="000000"/>
        </w:rPr>
        <w:t>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-292100</wp:posOffset>
            </wp:positionV>
            <wp:extent cx="31940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319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204597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20459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58737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58737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(a) (3) Exhibits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list of Exhibits on the accompanying Index of Exhibits included in Item 15(b) of this Form 10-K is hereby incorporated by reference. Each management contract or compensatory plan or arrangement required to be fled as an exhibit is indicated by asterisks.</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(b) Index of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474"/>
        </w:trPr>
        <w:tc>
          <w:tcPr>
            <w:tcW w:w="220" w:type="dxa"/>
            <w:vAlign w:val="bottom"/>
            <w:tcBorders>
              <w:right w:val="single" w:sz="8" w:color="91BBD3"/>
            </w:tcBorders>
          </w:tcPr>
          <w:p>
            <w:pPr>
              <w:spacing w:after="0"/>
              <w:rPr>
                <w:sz w:val="24"/>
                <w:szCs w:val="24"/>
                <w:color w:val="auto"/>
              </w:rPr>
            </w:pPr>
          </w:p>
        </w:tc>
        <w:tc>
          <w:tcPr>
            <w:tcW w:w="1640" w:type="dxa"/>
            <w:vAlign w:val="bottom"/>
            <w:tcBorders>
              <w:top w:val="single" w:sz="8" w:color="91BBD3"/>
              <w:bottom w:val="single" w:sz="8" w:color="007DC6"/>
              <w:right w:val="single" w:sz="8" w:color="91BBD3"/>
            </w:tcBorders>
            <w:shd w:val="clear" w:color="auto" w:fill="007DC6"/>
          </w:tcPr>
          <w:p>
            <w:pPr>
              <w:jc w:val="right"/>
              <w:ind w:right="358"/>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top w:val="single" w:sz="8" w:color="007DC6"/>
              <w:bottom w:val="single" w:sz="8" w:color="007DC6"/>
            </w:tcBorders>
            <w:shd w:val="clear" w:color="auto" w:fill="007DC6"/>
          </w:tcPr>
          <w:p>
            <w:pPr>
              <w:spacing w:after="0"/>
              <w:rPr>
                <w:sz w:val="24"/>
                <w:szCs w:val="24"/>
                <w:color w:val="auto"/>
              </w:rPr>
            </w:pPr>
          </w:p>
        </w:tc>
        <w:tc>
          <w:tcPr>
            <w:tcW w:w="2180" w:type="dxa"/>
            <w:vAlign w:val="bottom"/>
            <w:tcBorders>
              <w:top w:val="single" w:sz="8" w:color="007DC6"/>
              <w:bottom w:val="single" w:sz="8" w:color="007DC6"/>
            </w:tcBorders>
            <w:shd w:val="clear" w:color="auto" w:fill="007DC6"/>
          </w:tcPr>
          <w:p>
            <w:pPr>
              <w:spacing w:after="0"/>
              <w:rPr>
                <w:sz w:val="24"/>
                <w:szCs w:val="24"/>
                <w:color w:val="auto"/>
              </w:rPr>
            </w:pPr>
          </w:p>
        </w:tc>
        <w:tc>
          <w:tcPr>
            <w:tcW w:w="700" w:type="dxa"/>
            <w:vAlign w:val="bottom"/>
            <w:tcBorders>
              <w:top w:val="single" w:sz="8" w:color="007DC6"/>
              <w:bottom w:val="single" w:sz="8" w:color="007DC6"/>
            </w:tcBorders>
            <w:shd w:val="clear" w:color="auto" w:fill="007DC6"/>
          </w:tcPr>
          <w:p>
            <w:pPr>
              <w:spacing w:after="0"/>
              <w:rPr>
                <w:sz w:val="24"/>
                <w:szCs w:val="24"/>
                <w:color w:val="auto"/>
              </w:rPr>
            </w:pPr>
          </w:p>
        </w:tc>
        <w:tc>
          <w:tcPr>
            <w:tcW w:w="2060" w:type="dxa"/>
            <w:vAlign w:val="bottom"/>
            <w:tcBorders>
              <w:top w:val="single" w:sz="8" w:color="007DC6"/>
              <w:bottom w:val="single" w:sz="8" w:color="007DC6"/>
            </w:tcBorders>
            <w:shd w:val="clear" w:color="auto" w:fill="007DC6"/>
          </w:tcPr>
          <w:p>
            <w:pPr>
              <w:spacing w:after="0"/>
              <w:rPr>
                <w:sz w:val="24"/>
                <w:szCs w:val="24"/>
                <w:color w:val="auto"/>
              </w:rPr>
            </w:pPr>
          </w:p>
        </w:tc>
        <w:tc>
          <w:tcPr>
            <w:tcW w:w="800" w:type="dxa"/>
            <w:vAlign w:val="bottom"/>
            <w:tcBorders>
              <w:top w:val="single" w:sz="8" w:color="007DC6"/>
              <w:bottom w:val="single" w:sz="8" w:color="007DC6"/>
            </w:tcBorders>
            <w:shd w:val="clear" w:color="auto" w:fill="007DC6"/>
          </w:tcPr>
          <w:p>
            <w:pPr>
              <w:spacing w:after="0"/>
              <w:rPr>
                <w:sz w:val="24"/>
                <w:szCs w:val="24"/>
                <w:color w:val="auto"/>
              </w:rPr>
            </w:pPr>
          </w:p>
        </w:tc>
        <w:tc>
          <w:tcPr>
            <w:tcW w:w="1640" w:type="dxa"/>
            <w:vAlign w:val="bottom"/>
            <w:tcBorders>
              <w:top w:val="single" w:sz="8" w:color="007DC6"/>
              <w:bottom w:val="single" w:sz="8" w:color="007DC6"/>
            </w:tcBorders>
            <w:shd w:val="clear" w:color="auto" w:fill="007DC6"/>
          </w:tcPr>
          <w:p>
            <w:pPr>
              <w:spacing w:after="0"/>
              <w:rPr>
                <w:sz w:val="24"/>
                <w:szCs w:val="24"/>
                <w:color w:val="auto"/>
              </w:rPr>
            </w:pPr>
          </w:p>
        </w:tc>
        <w:tc>
          <w:tcPr>
            <w:tcW w:w="1600" w:type="dxa"/>
            <w:vAlign w:val="bottom"/>
            <w:tcBorders>
              <w:top w:val="single" w:sz="8" w:color="007DC6"/>
              <w:bottom w:val="single" w:sz="8" w:color="007DC6"/>
            </w:tcBorders>
            <w:shd w:val="clear" w:color="auto" w:fill="007DC6"/>
          </w:tcPr>
          <w:p>
            <w:pPr>
              <w:spacing w:after="0"/>
              <w:rPr>
                <w:sz w:val="24"/>
                <w:szCs w:val="24"/>
                <w:color w:val="auto"/>
              </w:rPr>
            </w:pPr>
          </w:p>
        </w:tc>
        <w:tc>
          <w:tcPr>
            <w:tcW w:w="140" w:type="dxa"/>
            <w:vAlign w:val="bottom"/>
            <w:tcBorders>
              <w:top w:val="single" w:sz="8" w:color="007DC6"/>
              <w:left w:val="single" w:sz="8" w:color="007DC6"/>
              <w:bottom w:val="single" w:sz="8" w:color="007DC6"/>
              <w:right w:val="single" w:sz="8" w:color="91BBD3"/>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r>
      <w:tr>
        <w:trPr>
          <w:trHeight w:val="135"/>
        </w:trPr>
        <w:tc>
          <w:tcPr>
            <w:tcW w:w="220" w:type="dxa"/>
            <w:vAlign w:val="bottom"/>
            <w:tcBorders>
              <w:right w:val="single" w:sz="8" w:color="91BBD3"/>
            </w:tcBorders>
          </w:tcPr>
          <w:p>
            <w:pPr>
              <w:spacing w:after="0"/>
              <w:rPr>
                <w:sz w:val="11"/>
                <w:szCs w:val="11"/>
                <w:color w:val="auto"/>
              </w:rPr>
            </w:pPr>
          </w:p>
        </w:tc>
        <w:tc>
          <w:tcPr>
            <w:tcW w:w="1640" w:type="dxa"/>
            <w:vAlign w:val="bottom"/>
            <w:tcBorders>
              <w:top w:val="single" w:sz="8" w:color="91BBD3"/>
              <w:right w:val="single" w:sz="8" w:color="91BBD3"/>
            </w:tcBorders>
          </w:tcPr>
          <w:p>
            <w:pPr>
              <w:jc w:val="right"/>
              <w:ind w:right="1178"/>
              <w:spacing w:after="0" w:line="135" w:lineRule="exact"/>
              <w:rPr>
                <w:sz w:val="20"/>
                <w:szCs w:val="20"/>
                <w:color w:val="auto"/>
              </w:rPr>
            </w:pPr>
            <w:r>
              <w:rPr>
                <w:rFonts w:ascii="Calibri" w:cs="Calibri" w:eastAsia="Calibri" w:hAnsi="Calibri"/>
                <w:sz w:val="13"/>
                <w:szCs w:val="13"/>
                <w:b w:val="1"/>
                <w:bCs w:val="1"/>
                <w:color w:val="auto"/>
              </w:rPr>
              <w:t>2.01</w:t>
            </w:r>
          </w:p>
        </w:tc>
        <w:tc>
          <w:tcPr>
            <w:tcW w:w="100" w:type="dxa"/>
            <w:vAlign w:val="bottom"/>
            <w:tcBorders>
              <w:top w:val="single" w:sz="8" w:color="91BBD3"/>
            </w:tcBorders>
          </w:tcPr>
          <w:p>
            <w:pPr>
              <w:spacing w:after="0"/>
              <w:rPr>
                <w:sz w:val="11"/>
                <w:szCs w:val="11"/>
                <w:color w:val="auto"/>
              </w:rPr>
            </w:pPr>
          </w:p>
        </w:tc>
        <w:tc>
          <w:tcPr>
            <w:tcW w:w="9120" w:type="dxa"/>
            <w:vAlign w:val="bottom"/>
            <w:tcBorders>
              <w:top w:val="single" w:sz="8" w:color="91BBD3"/>
              <w:right w:val="single" w:sz="8" w:color="91BBD3"/>
            </w:tcBorders>
            <w:gridSpan w:val="7"/>
          </w:tcPr>
          <w:p>
            <w:pPr>
              <w:spacing w:after="0" w:line="135" w:lineRule="exact"/>
              <w:rPr>
                <w:rFonts w:ascii="Calibri" w:cs="Calibri" w:eastAsia="Calibri" w:hAnsi="Calibri"/>
                <w:sz w:val="13"/>
                <w:szCs w:val="13"/>
                <w:color w:val="0563C1"/>
              </w:rPr>
            </w:pPr>
            <w:hyperlink r:id="rId661">
              <w:r>
                <w:rPr>
                  <w:rFonts w:ascii="Calibri" w:cs="Calibri" w:eastAsia="Calibri" w:hAnsi="Calibri"/>
                  <w:sz w:val="13"/>
                  <w:szCs w:val="13"/>
                  <w:color w:val="0563C1"/>
                </w:rPr>
                <w:t>Equity and Asset Purchase Agreement, dated as of November 20, 2023, among Martn Marieta Materials, Inc., CRH Americas</w:t>
              </w:r>
            </w:hyperlink>
          </w:p>
        </w:tc>
        <w:tc>
          <w:tcPr>
            <w:tcW w:w="160" w:type="dxa"/>
            <w:vAlign w:val="bottom"/>
          </w:tcPr>
          <w:p>
            <w:pPr>
              <w:spacing w:after="0"/>
              <w:rPr>
                <w:sz w:val="11"/>
                <w:szCs w:val="1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06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160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7"/>
          </w:tcPr>
          <w:p>
            <w:pPr>
              <w:spacing w:after="0" w:line="196" w:lineRule="exact"/>
              <w:rPr>
                <w:rFonts w:ascii="Calibri" w:cs="Calibri" w:eastAsia="Calibri" w:hAnsi="Calibri"/>
                <w:sz w:val="18"/>
                <w:szCs w:val="18"/>
                <w:color w:val="0563C1"/>
              </w:rPr>
            </w:pPr>
            <w:hyperlink r:id="rId661">
              <w:r>
                <w:rPr>
                  <w:rFonts w:ascii="Calibri" w:cs="Calibri" w:eastAsia="Calibri" w:hAnsi="Calibri"/>
                  <w:sz w:val="18"/>
                  <w:szCs w:val="18"/>
                  <w:color w:val="0563C1"/>
                </w:rPr>
                <w:t>Materials, Inc. and CRH plc (incorporated by reference to Exhibit 2.1 to the Martn Marieta Materials, Inc., Current Report on</w:t>
              </w:r>
            </w:hyperlink>
          </w:p>
        </w:tc>
        <w:tc>
          <w:tcPr>
            <w:tcW w:w="160" w:type="dxa"/>
            <w:vAlign w:val="bottom"/>
          </w:tcPr>
          <w:p>
            <w:pPr>
              <w:spacing w:after="0"/>
              <w:rPr>
                <w:sz w:val="17"/>
                <w:szCs w:val="17"/>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6"/>
          </w:tcPr>
          <w:p>
            <w:pPr>
              <w:spacing w:after="0" w:line="196" w:lineRule="exact"/>
              <w:rPr>
                <w:rFonts w:ascii="Calibri" w:cs="Calibri" w:eastAsia="Calibri" w:hAnsi="Calibri"/>
                <w:sz w:val="18"/>
                <w:szCs w:val="18"/>
                <w:color w:val="0563C1"/>
              </w:rPr>
            </w:pPr>
            <w:hyperlink r:id="rId661">
              <w:r>
                <w:rPr>
                  <w:rFonts w:ascii="Calibri" w:cs="Calibri" w:eastAsia="Calibri" w:hAnsi="Calibri"/>
                  <w:sz w:val="18"/>
                  <w:szCs w:val="18"/>
                  <w:color w:val="0563C1"/>
                </w:rPr>
                <w:t>Form 8-K fled on November 24, 2023)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r>
      <w:tr>
        <w:trPr>
          <w:trHeight w:val="34"/>
        </w:trPr>
        <w:tc>
          <w:tcPr>
            <w:tcW w:w="220" w:type="dxa"/>
            <w:vAlign w:val="bottom"/>
            <w:tcBorders>
              <w:right w:val="single" w:sz="8" w:color="91BBD3"/>
            </w:tcBorders>
          </w:tcPr>
          <w:p>
            <w:pPr>
              <w:spacing w:after="0"/>
              <w:rPr>
                <w:sz w:val="2"/>
                <w:szCs w:val="2"/>
                <w:color w:val="auto"/>
              </w:rPr>
            </w:pPr>
          </w:p>
        </w:tc>
        <w:tc>
          <w:tcPr>
            <w:tcW w:w="164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2180" w:type="dxa"/>
            <w:vAlign w:val="bottom"/>
            <w:tcBorders>
              <w:top w:val="single" w:sz="8" w:color="0563C1"/>
              <w:bottom w:val="single" w:sz="8" w:color="91BBD3"/>
            </w:tcBorders>
          </w:tcPr>
          <w:p>
            <w:pPr>
              <w:spacing w:after="0"/>
              <w:rPr>
                <w:sz w:val="2"/>
                <w:szCs w:val="2"/>
                <w:color w:val="auto"/>
              </w:rPr>
            </w:pPr>
          </w:p>
        </w:tc>
        <w:tc>
          <w:tcPr>
            <w:tcW w:w="700" w:type="dxa"/>
            <w:vAlign w:val="bottom"/>
            <w:tcBorders>
              <w:top w:val="single" w:sz="8" w:color="0563C1"/>
              <w:bottom w:val="single" w:sz="8" w:color="91BBD3"/>
            </w:tcBorders>
          </w:tcPr>
          <w:p>
            <w:pPr>
              <w:spacing w:after="0"/>
              <w:rPr>
                <w:sz w:val="2"/>
                <w:szCs w:val="2"/>
                <w:color w:val="auto"/>
              </w:rPr>
            </w:pPr>
          </w:p>
        </w:tc>
        <w:tc>
          <w:tcPr>
            <w:tcW w:w="2060" w:type="dxa"/>
            <w:vAlign w:val="bottom"/>
            <w:tcBorders>
              <w:top w:val="single" w:sz="8" w:color="0563C1"/>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1640" w:type="dxa"/>
            <w:vAlign w:val="bottom"/>
            <w:tcBorders>
              <w:bottom w:val="single" w:sz="8" w:color="91BBD3"/>
            </w:tcBorders>
          </w:tcPr>
          <w:p>
            <w:pPr>
              <w:spacing w:after="0"/>
              <w:rPr>
                <w:sz w:val="2"/>
                <w:szCs w:val="2"/>
                <w:color w:val="auto"/>
              </w:rPr>
            </w:pPr>
          </w:p>
        </w:tc>
        <w:tc>
          <w:tcPr>
            <w:tcW w:w="16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r>
      <w:tr>
        <w:trPr>
          <w:trHeight w:val="155"/>
        </w:trPr>
        <w:tc>
          <w:tcPr>
            <w:tcW w:w="220" w:type="dxa"/>
            <w:vAlign w:val="bottom"/>
            <w:tcBorders>
              <w:right w:val="single" w:sz="8" w:color="91BBD3"/>
            </w:tcBorders>
          </w:tcPr>
          <w:p>
            <w:pPr>
              <w:spacing w:after="0"/>
              <w:rPr>
                <w:sz w:val="13"/>
                <w:szCs w:val="13"/>
                <w:color w:val="auto"/>
              </w:rPr>
            </w:pPr>
          </w:p>
        </w:tc>
        <w:tc>
          <w:tcPr>
            <w:tcW w:w="1640" w:type="dxa"/>
            <w:vAlign w:val="bottom"/>
            <w:tcBorders>
              <w:right w:val="single" w:sz="8" w:color="91BBD3"/>
            </w:tcBorders>
            <w:shd w:val="clear" w:color="auto" w:fill="DAE8F0"/>
          </w:tcPr>
          <w:p>
            <w:pPr>
              <w:jc w:val="right"/>
              <w:ind w:right="1178"/>
              <w:spacing w:after="0" w:line="156" w:lineRule="exact"/>
              <w:rPr>
                <w:sz w:val="20"/>
                <w:szCs w:val="20"/>
                <w:color w:val="auto"/>
              </w:rPr>
            </w:pPr>
            <w:r>
              <w:rPr>
                <w:rFonts w:ascii="Calibri" w:cs="Calibri" w:eastAsia="Calibri" w:hAnsi="Calibri"/>
                <w:sz w:val="16"/>
                <w:szCs w:val="16"/>
                <w:b w:val="1"/>
                <w:bCs w:val="1"/>
                <w:color w:val="auto"/>
              </w:rPr>
              <w:t>3.01</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7"/>
            <w:shd w:val="clear" w:color="auto" w:fill="DAE8F0"/>
          </w:tcPr>
          <w:p>
            <w:pPr>
              <w:spacing w:after="0" w:line="156" w:lineRule="exact"/>
              <w:rPr>
                <w:rFonts w:ascii="Calibri" w:cs="Calibri" w:eastAsia="Calibri" w:hAnsi="Calibri"/>
                <w:sz w:val="16"/>
                <w:szCs w:val="16"/>
                <w:color w:val="0563C1"/>
              </w:rPr>
            </w:pPr>
            <w:hyperlink r:id="rId662">
              <w:r>
                <w:rPr>
                  <w:rFonts w:ascii="Calibri" w:cs="Calibri" w:eastAsia="Calibri" w:hAnsi="Calibri"/>
                  <w:sz w:val="16"/>
                  <w:szCs w:val="16"/>
                  <w:color w:val="0563C1"/>
                </w:rPr>
                <w:t>Restated Artcles of Incorporaton of the Company, as amended (incorporated by reference to Exhibit 3.01 to the Martn</w:t>
              </w:r>
            </w:hyperlink>
          </w:p>
        </w:tc>
        <w:tc>
          <w:tcPr>
            <w:tcW w:w="160" w:type="dxa"/>
            <w:vAlign w:val="bottom"/>
          </w:tcPr>
          <w:p>
            <w:pPr>
              <w:spacing w:after="0"/>
              <w:rPr>
                <w:sz w:val="13"/>
                <w:szCs w:val="13"/>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218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860" w:type="dxa"/>
            <w:vAlign w:val="bottom"/>
            <w:gridSpan w:val="2"/>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1600" w:type="dxa"/>
            <w:vAlign w:val="bottom"/>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7"/>
            <w:shd w:val="clear" w:color="auto" w:fill="DAE8F0"/>
          </w:tcPr>
          <w:p>
            <w:pPr>
              <w:spacing w:after="0" w:line="196" w:lineRule="exact"/>
              <w:rPr>
                <w:rFonts w:ascii="Calibri" w:cs="Calibri" w:eastAsia="Calibri" w:hAnsi="Calibri"/>
                <w:sz w:val="18"/>
                <w:szCs w:val="18"/>
                <w:color w:val="0563C1"/>
              </w:rPr>
            </w:pPr>
            <w:hyperlink r:id="rId662">
              <w:r>
                <w:rPr>
                  <w:rFonts w:ascii="Calibri" w:cs="Calibri" w:eastAsia="Calibri" w:hAnsi="Calibri"/>
                  <w:sz w:val="18"/>
                  <w:szCs w:val="18"/>
                  <w:color w:val="0563C1"/>
                </w:rPr>
                <w:t>Marieta Materials, Inc. Annual Report on Form 10-K for the fscal year ended December 31, 2016, fled on February 24, 2017)</w:t>
              </w:r>
            </w:hyperlink>
          </w:p>
        </w:tc>
        <w:tc>
          <w:tcPr>
            <w:tcW w:w="160" w:type="dxa"/>
            <w:vAlign w:val="bottom"/>
          </w:tcPr>
          <w:p>
            <w:pPr>
              <w:spacing w:after="0"/>
              <w:rPr>
                <w:sz w:val="17"/>
                <w:szCs w:val="17"/>
                <w:color w:val="auto"/>
              </w:rPr>
            </w:pPr>
          </w:p>
        </w:tc>
      </w:tr>
      <w:tr>
        <w:trPr>
          <w:trHeight w:val="250"/>
        </w:trPr>
        <w:tc>
          <w:tcPr>
            <w:tcW w:w="220" w:type="dxa"/>
            <w:vAlign w:val="bottom"/>
            <w:tcBorders>
              <w:right w:val="single" w:sz="8" w:color="91BBD3"/>
            </w:tcBorders>
          </w:tcPr>
          <w:p>
            <w:pPr>
              <w:spacing w:after="0"/>
              <w:rPr>
                <w:sz w:val="21"/>
                <w:szCs w:val="21"/>
                <w:color w:val="auto"/>
              </w:rPr>
            </w:pPr>
          </w:p>
        </w:tc>
        <w:tc>
          <w:tcPr>
            <w:tcW w:w="1640" w:type="dxa"/>
            <w:vAlign w:val="bottom"/>
            <w:tcBorders>
              <w:top w:val="single" w:sz="8" w:color="DAE8F0"/>
              <w:bottom w:val="single" w:sz="8" w:color="91BBD3"/>
              <w:right w:val="single" w:sz="8" w:color="91BBD3"/>
            </w:tcBorders>
            <w:shd w:val="clear" w:color="auto" w:fill="DAE8F0"/>
          </w:tcPr>
          <w:p>
            <w:pPr>
              <w:spacing w:after="0"/>
              <w:rPr>
                <w:sz w:val="21"/>
                <w:szCs w:val="21"/>
                <w:color w:val="auto"/>
              </w:rPr>
            </w:pPr>
          </w:p>
        </w:tc>
        <w:tc>
          <w:tcPr>
            <w:tcW w:w="100" w:type="dxa"/>
            <w:vAlign w:val="bottom"/>
            <w:tcBorders>
              <w:top w:val="single" w:sz="8" w:color="DAE8F0"/>
              <w:bottom w:val="single" w:sz="8" w:color="91BBD3"/>
            </w:tcBorders>
            <w:shd w:val="clear" w:color="auto" w:fill="DAE8F0"/>
          </w:tcPr>
          <w:p>
            <w:pPr>
              <w:spacing w:after="0"/>
              <w:rPr>
                <w:sz w:val="21"/>
                <w:szCs w:val="21"/>
                <w:color w:val="auto"/>
              </w:rPr>
            </w:pPr>
          </w:p>
        </w:tc>
        <w:tc>
          <w:tcPr>
            <w:tcW w:w="2180" w:type="dxa"/>
            <w:vAlign w:val="bottom"/>
            <w:tcBorders>
              <w:top w:val="single" w:sz="8" w:color="0563C1"/>
              <w:bottom w:val="single" w:sz="8" w:color="0563C1"/>
            </w:tcBorders>
            <w:shd w:val="clear" w:color="auto" w:fill="DAE8F0"/>
          </w:tcPr>
          <w:p>
            <w:pPr>
              <w:spacing w:after="0" w:line="196" w:lineRule="exact"/>
              <w:rPr>
                <w:rFonts w:ascii="Calibri" w:cs="Calibri" w:eastAsia="Calibri" w:hAnsi="Calibri"/>
                <w:sz w:val="18"/>
                <w:szCs w:val="18"/>
                <w:color w:val="0563C1"/>
                <w:w w:val="96"/>
              </w:rPr>
            </w:pPr>
            <w:hyperlink r:id="rId662">
              <w:r>
                <w:rPr>
                  <w:rFonts w:ascii="Calibri" w:cs="Calibri" w:eastAsia="Calibri" w:hAnsi="Calibri"/>
                  <w:sz w:val="18"/>
                  <w:szCs w:val="18"/>
                  <w:color w:val="0563C1"/>
                  <w:w w:val="96"/>
                </w:rPr>
                <w:t>(Commission File No. 1-12744)</w:t>
              </w:r>
            </w:hyperlink>
          </w:p>
        </w:tc>
        <w:tc>
          <w:tcPr>
            <w:tcW w:w="6800" w:type="dxa"/>
            <w:vAlign w:val="bottom"/>
            <w:tcBorders>
              <w:top w:val="single" w:sz="8" w:color="0563C1"/>
              <w:bottom w:val="single" w:sz="8" w:color="91BBD3"/>
            </w:tcBorders>
            <w:gridSpan w:val="5"/>
            <w:shd w:val="clear" w:color="auto" w:fill="DAE8F0"/>
          </w:tcPr>
          <w:p>
            <w:pPr>
              <w:spacing w:after="0"/>
              <w:rPr>
                <w:sz w:val="21"/>
                <w:szCs w:val="21"/>
                <w:color w:val="auto"/>
              </w:rPr>
            </w:pPr>
          </w:p>
        </w:tc>
        <w:tc>
          <w:tcPr>
            <w:tcW w:w="140" w:type="dxa"/>
            <w:vAlign w:val="bottom"/>
            <w:tcBorders>
              <w:top w:val="single" w:sz="8" w:color="DAE8F0"/>
              <w:left w:val="single" w:sz="8" w:color="DAE8F0"/>
              <w:bottom w:val="single" w:sz="8" w:color="91BBD3"/>
              <w:right w:val="single" w:sz="8" w:color="91BBD3"/>
            </w:tcBorders>
            <w:shd w:val="clear" w:color="auto" w:fill="DAE8F0"/>
          </w:tcPr>
          <w:p>
            <w:pPr>
              <w:spacing w:after="0"/>
              <w:rPr>
                <w:sz w:val="21"/>
                <w:szCs w:val="21"/>
                <w:color w:val="auto"/>
              </w:rPr>
            </w:pPr>
          </w:p>
        </w:tc>
        <w:tc>
          <w:tcPr>
            <w:tcW w:w="160" w:type="dxa"/>
            <w:vAlign w:val="bottom"/>
          </w:tcPr>
          <w:p>
            <w:pPr>
              <w:spacing w:after="0"/>
              <w:rPr>
                <w:sz w:val="21"/>
                <w:szCs w:val="21"/>
                <w:color w:val="auto"/>
              </w:rPr>
            </w:pPr>
          </w:p>
        </w:tc>
      </w:tr>
      <w:tr>
        <w:trPr>
          <w:trHeight w:val="155"/>
        </w:trPr>
        <w:tc>
          <w:tcPr>
            <w:tcW w:w="220" w:type="dxa"/>
            <w:vAlign w:val="bottom"/>
            <w:tcBorders>
              <w:right w:val="single" w:sz="8" w:color="91BBD3"/>
            </w:tcBorders>
          </w:tcPr>
          <w:p>
            <w:pPr>
              <w:spacing w:after="0"/>
              <w:rPr>
                <w:sz w:val="13"/>
                <w:szCs w:val="13"/>
                <w:color w:val="auto"/>
              </w:rPr>
            </w:pPr>
          </w:p>
        </w:tc>
        <w:tc>
          <w:tcPr>
            <w:tcW w:w="1640" w:type="dxa"/>
            <w:vAlign w:val="bottom"/>
            <w:tcBorders>
              <w:right w:val="single" w:sz="8" w:color="91BBD3"/>
            </w:tcBorders>
          </w:tcPr>
          <w:p>
            <w:pPr>
              <w:jc w:val="right"/>
              <w:ind w:right="1178"/>
              <w:spacing w:after="0" w:line="156" w:lineRule="exact"/>
              <w:rPr>
                <w:sz w:val="20"/>
                <w:szCs w:val="20"/>
                <w:color w:val="auto"/>
              </w:rPr>
            </w:pPr>
            <w:r>
              <w:rPr>
                <w:rFonts w:ascii="Calibri" w:cs="Calibri" w:eastAsia="Calibri" w:hAnsi="Calibri"/>
                <w:sz w:val="16"/>
                <w:szCs w:val="16"/>
                <w:b w:val="1"/>
                <w:bCs w:val="1"/>
                <w:color w:val="auto"/>
              </w:rPr>
              <w:t>3.02</w:t>
            </w:r>
          </w:p>
        </w:tc>
        <w:tc>
          <w:tcPr>
            <w:tcW w:w="100" w:type="dxa"/>
            <w:vAlign w:val="bottom"/>
          </w:tcPr>
          <w:p>
            <w:pPr>
              <w:spacing w:after="0"/>
              <w:rPr>
                <w:sz w:val="13"/>
                <w:szCs w:val="13"/>
                <w:color w:val="auto"/>
              </w:rPr>
            </w:pPr>
          </w:p>
        </w:tc>
        <w:tc>
          <w:tcPr>
            <w:tcW w:w="8980" w:type="dxa"/>
            <w:vAlign w:val="bottom"/>
            <w:tcBorders>
              <w:bottom w:val="single" w:sz="8" w:color="0563C1"/>
            </w:tcBorders>
            <w:gridSpan w:val="6"/>
          </w:tcPr>
          <w:p>
            <w:pPr>
              <w:spacing w:after="0" w:line="156" w:lineRule="exact"/>
              <w:rPr>
                <w:rFonts w:ascii="Calibri" w:cs="Calibri" w:eastAsia="Calibri" w:hAnsi="Calibri"/>
                <w:sz w:val="16"/>
                <w:szCs w:val="16"/>
                <w:color w:val="0563C1"/>
              </w:rPr>
            </w:pPr>
            <w:hyperlink r:id="rId663">
              <w:r>
                <w:rPr>
                  <w:rFonts w:ascii="Calibri" w:cs="Calibri" w:eastAsia="Calibri" w:hAnsi="Calibri"/>
                  <w:sz w:val="16"/>
                  <w:szCs w:val="16"/>
                  <w:color w:val="0563C1"/>
                </w:rPr>
                <w:t>Restated Bylaws of the Company (incorporated by reference to Exhibit 3.1 to the Martn Marieta Materials, Inc. Current</w:t>
              </w:r>
            </w:hyperlink>
          </w:p>
        </w:tc>
        <w:tc>
          <w:tcPr>
            <w:tcW w:w="140" w:type="dxa"/>
            <w:vAlign w:val="bottom"/>
            <w:tcBorders>
              <w:right w:val="single" w:sz="8" w:color="91BBD3"/>
            </w:tcBorders>
          </w:tcPr>
          <w:p>
            <w:pPr>
              <w:spacing w:after="0"/>
              <w:rPr>
                <w:sz w:val="13"/>
                <w:szCs w:val="13"/>
                <w:color w:val="auto"/>
              </w:rPr>
            </w:pPr>
          </w:p>
        </w:tc>
        <w:tc>
          <w:tcPr>
            <w:tcW w:w="160" w:type="dxa"/>
            <w:vAlign w:val="bottom"/>
          </w:tcPr>
          <w:p>
            <w:pPr>
              <w:spacing w:after="0"/>
              <w:rPr>
                <w:sz w:val="13"/>
                <w:szCs w:val="13"/>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7"/>
          </w:tcPr>
          <w:p>
            <w:pPr>
              <w:spacing w:after="0" w:line="196" w:lineRule="exact"/>
              <w:rPr>
                <w:rFonts w:ascii="Calibri" w:cs="Calibri" w:eastAsia="Calibri" w:hAnsi="Calibri"/>
                <w:sz w:val="18"/>
                <w:szCs w:val="18"/>
                <w:color w:val="0563C1"/>
              </w:rPr>
            </w:pPr>
            <w:hyperlink r:id="rId663">
              <w:r>
                <w:rPr>
                  <w:rFonts w:ascii="Calibri" w:cs="Calibri" w:eastAsia="Calibri" w:hAnsi="Calibri"/>
                  <w:sz w:val="18"/>
                  <w:szCs w:val="18"/>
                  <w:color w:val="0563C1"/>
                </w:rPr>
                <w:t>Report on Form 8-K, fled on November 14, 2022) (Commission File No. 1-12744)</w:t>
              </w:r>
            </w:hyperlink>
          </w:p>
        </w:tc>
        <w:tc>
          <w:tcPr>
            <w:tcW w:w="160" w:type="dxa"/>
            <w:vAlign w:val="bottom"/>
          </w:tcPr>
          <w:p>
            <w:pPr>
              <w:spacing w:after="0"/>
              <w:rPr>
                <w:sz w:val="17"/>
                <w:szCs w:val="17"/>
                <w:color w:val="auto"/>
              </w:rPr>
            </w:pPr>
          </w:p>
        </w:tc>
      </w:tr>
      <w:tr>
        <w:trPr>
          <w:trHeight w:val="34"/>
        </w:trPr>
        <w:tc>
          <w:tcPr>
            <w:tcW w:w="220" w:type="dxa"/>
            <w:vAlign w:val="bottom"/>
            <w:tcBorders>
              <w:right w:val="single" w:sz="8" w:color="91BBD3"/>
            </w:tcBorders>
          </w:tcPr>
          <w:p>
            <w:pPr>
              <w:spacing w:after="0"/>
              <w:rPr>
                <w:sz w:val="2"/>
                <w:szCs w:val="2"/>
                <w:color w:val="auto"/>
              </w:rPr>
            </w:pPr>
          </w:p>
        </w:tc>
        <w:tc>
          <w:tcPr>
            <w:tcW w:w="164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2180" w:type="dxa"/>
            <w:vAlign w:val="bottom"/>
            <w:tcBorders>
              <w:top w:val="single" w:sz="8" w:color="0563C1"/>
              <w:bottom w:val="single" w:sz="8" w:color="91BBD3"/>
            </w:tcBorders>
          </w:tcPr>
          <w:p>
            <w:pPr>
              <w:spacing w:after="0"/>
              <w:rPr>
                <w:sz w:val="2"/>
                <w:szCs w:val="2"/>
                <w:color w:val="auto"/>
              </w:rPr>
            </w:pPr>
          </w:p>
        </w:tc>
        <w:tc>
          <w:tcPr>
            <w:tcW w:w="700" w:type="dxa"/>
            <w:vAlign w:val="bottom"/>
            <w:tcBorders>
              <w:top w:val="single" w:sz="8" w:color="0563C1"/>
              <w:bottom w:val="single" w:sz="8" w:color="91BBD3"/>
            </w:tcBorders>
          </w:tcPr>
          <w:p>
            <w:pPr>
              <w:spacing w:after="0"/>
              <w:rPr>
                <w:sz w:val="2"/>
                <w:szCs w:val="2"/>
                <w:color w:val="auto"/>
              </w:rPr>
            </w:pPr>
          </w:p>
        </w:tc>
        <w:tc>
          <w:tcPr>
            <w:tcW w:w="2060" w:type="dxa"/>
            <w:vAlign w:val="bottom"/>
            <w:tcBorders>
              <w:top w:val="single" w:sz="8" w:color="0563C1"/>
              <w:bottom w:val="single" w:sz="8" w:color="91BBD3"/>
            </w:tcBorders>
          </w:tcPr>
          <w:p>
            <w:pPr>
              <w:spacing w:after="0"/>
              <w:rPr>
                <w:sz w:val="2"/>
                <w:szCs w:val="2"/>
                <w:color w:val="auto"/>
              </w:rPr>
            </w:pPr>
          </w:p>
        </w:tc>
        <w:tc>
          <w:tcPr>
            <w:tcW w:w="800" w:type="dxa"/>
            <w:vAlign w:val="bottom"/>
            <w:tcBorders>
              <w:top w:val="single" w:sz="8" w:color="0563C1"/>
              <w:bottom w:val="single" w:sz="8" w:color="91BBD3"/>
            </w:tcBorders>
          </w:tcPr>
          <w:p>
            <w:pPr>
              <w:spacing w:after="0"/>
              <w:rPr>
                <w:sz w:val="2"/>
                <w:szCs w:val="2"/>
                <w:color w:val="auto"/>
              </w:rPr>
            </w:pPr>
          </w:p>
        </w:tc>
        <w:tc>
          <w:tcPr>
            <w:tcW w:w="1640" w:type="dxa"/>
            <w:vAlign w:val="bottom"/>
            <w:tcBorders>
              <w:bottom w:val="single" w:sz="8" w:color="91BBD3"/>
            </w:tcBorders>
          </w:tcPr>
          <w:p>
            <w:pPr>
              <w:spacing w:after="0"/>
              <w:rPr>
                <w:sz w:val="2"/>
                <w:szCs w:val="2"/>
                <w:color w:val="auto"/>
              </w:rPr>
            </w:pPr>
          </w:p>
        </w:tc>
        <w:tc>
          <w:tcPr>
            <w:tcW w:w="16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r>
      <w:tr>
        <w:trPr>
          <w:trHeight w:val="187"/>
        </w:trPr>
        <w:tc>
          <w:tcPr>
            <w:tcW w:w="220" w:type="dxa"/>
            <w:vAlign w:val="bottom"/>
            <w:tcBorders>
              <w:right w:val="single" w:sz="8" w:color="91BBD3"/>
            </w:tcBorders>
          </w:tcPr>
          <w:p>
            <w:pPr>
              <w:spacing w:after="0"/>
              <w:rPr>
                <w:sz w:val="16"/>
                <w:szCs w:val="16"/>
                <w:color w:val="auto"/>
              </w:rPr>
            </w:pPr>
          </w:p>
        </w:tc>
        <w:tc>
          <w:tcPr>
            <w:tcW w:w="1640" w:type="dxa"/>
            <w:vAlign w:val="bottom"/>
            <w:tcBorders>
              <w:right w:val="single" w:sz="8" w:color="91BBD3"/>
            </w:tcBorders>
            <w:shd w:val="clear" w:color="auto" w:fill="DAE8F0"/>
          </w:tcPr>
          <w:p>
            <w:pPr>
              <w:jc w:val="right"/>
              <w:ind w:right="1178"/>
              <w:spacing w:after="0" w:line="187" w:lineRule="exact"/>
              <w:rPr>
                <w:sz w:val="20"/>
                <w:szCs w:val="20"/>
                <w:color w:val="auto"/>
              </w:rPr>
            </w:pPr>
            <w:r>
              <w:rPr>
                <w:rFonts w:ascii="Calibri" w:cs="Calibri" w:eastAsia="Calibri" w:hAnsi="Calibri"/>
                <w:sz w:val="18"/>
                <w:szCs w:val="18"/>
                <w:b w:val="1"/>
                <w:bCs w:val="1"/>
                <w:color w:val="auto"/>
              </w:rPr>
              <w:t>4.01</w:t>
            </w:r>
          </w:p>
        </w:tc>
        <w:tc>
          <w:tcPr>
            <w:tcW w:w="100" w:type="dxa"/>
            <w:vAlign w:val="bottom"/>
            <w:shd w:val="clear" w:color="auto" w:fill="DAE8F0"/>
          </w:tcPr>
          <w:p>
            <w:pPr>
              <w:spacing w:after="0"/>
              <w:rPr>
                <w:sz w:val="16"/>
                <w:szCs w:val="16"/>
                <w:color w:val="auto"/>
              </w:rPr>
            </w:pPr>
          </w:p>
        </w:tc>
        <w:tc>
          <w:tcPr>
            <w:tcW w:w="9120" w:type="dxa"/>
            <w:vAlign w:val="bottom"/>
            <w:tcBorders>
              <w:right w:val="single" w:sz="8" w:color="91BBD3"/>
            </w:tcBorders>
            <w:gridSpan w:val="7"/>
            <w:shd w:val="clear" w:color="auto" w:fill="DAE8F0"/>
          </w:tcPr>
          <w:p>
            <w:pPr>
              <w:spacing w:after="0" w:line="187" w:lineRule="exact"/>
              <w:rPr>
                <w:sz w:val="20"/>
                <w:szCs w:val="20"/>
                <w:color w:val="auto"/>
              </w:rPr>
            </w:pPr>
            <w:r>
              <w:rPr>
                <w:rFonts w:ascii="Calibri" w:cs="Calibri" w:eastAsia="Calibri" w:hAnsi="Calibri"/>
                <w:sz w:val="18"/>
                <w:szCs w:val="18"/>
                <w:color w:val="auto"/>
              </w:rPr>
              <w:t>Specimen Common Stock Certfcate (incorporated by reference to Exhibit 4.01 to the Martn Marieta Materials, Inc.</w:t>
            </w:r>
          </w:p>
        </w:tc>
        <w:tc>
          <w:tcPr>
            <w:tcW w:w="160" w:type="dxa"/>
            <w:vAlign w:val="bottom"/>
          </w:tcPr>
          <w:p>
            <w:pPr>
              <w:spacing w:after="0"/>
              <w:rPr>
                <w:sz w:val="16"/>
                <w:szCs w:val="16"/>
                <w:color w:val="auto"/>
              </w:rPr>
            </w:pPr>
          </w:p>
        </w:tc>
      </w:tr>
      <w:tr>
        <w:trPr>
          <w:trHeight w:val="243"/>
        </w:trPr>
        <w:tc>
          <w:tcPr>
            <w:tcW w:w="220" w:type="dxa"/>
            <w:vAlign w:val="bottom"/>
            <w:tcBorders>
              <w:right w:val="single" w:sz="8" w:color="91BBD3"/>
            </w:tcBorders>
          </w:tcPr>
          <w:p>
            <w:pPr>
              <w:spacing w:after="0"/>
              <w:rPr>
                <w:sz w:val="20"/>
                <w:szCs w:val="20"/>
                <w:color w:val="auto"/>
              </w:rPr>
            </w:pPr>
          </w:p>
        </w:tc>
        <w:tc>
          <w:tcPr>
            <w:tcW w:w="1640" w:type="dxa"/>
            <w:vAlign w:val="bottom"/>
            <w:tcBorders>
              <w:bottom w:val="single" w:sz="8" w:color="DAE8F0"/>
              <w:right w:val="single" w:sz="8" w:color="91BBD3"/>
            </w:tcBorders>
            <w:shd w:val="clear" w:color="auto" w:fill="DAE8F0"/>
          </w:tcPr>
          <w:p>
            <w:pPr>
              <w:spacing w:after="0"/>
              <w:rPr>
                <w:sz w:val="20"/>
                <w:szCs w:val="20"/>
                <w:color w:val="auto"/>
              </w:rPr>
            </w:pPr>
          </w:p>
        </w:tc>
        <w:tc>
          <w:tcPr>
            <w:tcW w:w="100" w:type="dxa"/>
            <w:vAlign w:val="bottom"/>
            <w:tcBorders>
              <w:bottom w:val="single" w:sz="8" w:color="DAE8F0"/>
            </w:tcBorders>
            <w:shd w:val="clear" w:color="auto" w:fill="DAE8F0"/>
          </w:tcPr>
          <w:p>
            <w:pPr>
              <w:spacing w:after="0"/>
              <w:rPr>
                <w:sz w:val="20"/>
                <w:szCs w:val="20"/>
                <w:color w:val="auto"/>
              </w:rPr>
            </w:pPr>
          </w:p>
        </w:tc>
        <w:tc>
          <w:tcPr>
            <w:tcW w:w="9120" w:type="dxa"/>
            <w:vAlign w:val="bottom"/>
            <w:tcBorders>
              <w:bottom w:val="single" w:sz="8" w:color="DAE8F0"/>
              <w:right w:val="single" w:sz="8" w:color="91BBD3"/>
            </w:tcBorders>
            <w:gridSpan w:val="7"/>
            <w:shd w:val="clear" w:color="auto" w:fill="DAE8F0"/>
          </w:tcPr>
          <w:p>
            <w:pPr>
              <w:spacing w:after="0" w:line="215" w:lineRule="exact"/>
              <w:rPr>
                <w:sz w:val="20"/>
                <w:szCs w:val="20"/>
                <w:color w:val="auto"/>
              </w:rPr>
            </w:pPr>
            <w:r>
              <w:rPr>
                <w:rFonts w:ascii="Calibri" w:cs="Calibri" w:eastAsia="Calibri" w:hAnsi="Calibri"/>
                <w:sz w:val="18"/>
                <w:szCs w:val="18"/>
                <w:color w:val="auto"/>
              </w:rPr>
              <w:t>registraton statement on Form S-1, fled on December 8, 1993 (SEC Registraton No. 33-72648) (P)</w:t>
            </w:r>
          </w:p>
        </w:tc>
        <w:tc>
          <w:tcPr>
            <w:tcW w:w="160" w:type="dxa"/>
            <w:vAlign w:val="bottom"/>
          </w:tcPr>
          <w:p>
            <w:pPr>
              <w:spacing w:after="0"/>
              <w:rPr>
                <w:sz w:val="20"/>
                <w:szCs w:val="20"/>
                <w:color w:val="auto"/>
              </w:rPr>
            </w:pPr>
          </w:p>
        </w:tc>
      </w:tr>
      <w:tr>
        <w:trPr>
          <w:trHeight w:val="156"/>
        </w:trPr>
        <w:tc>
          <w:tcPr>
            <w:tcW w:w="220" w:type="dxa"/>
            <w:vAlign w:val="bottom"/>
            <w:tcBorders>
              <w:right w:val="single" w:sz="8" w:color="91BBD3"/>
            </w:tcBorders>
          </w:tcPr>
          <w:p>
            <w:pPr>
              <w:spacing w:after="0"/>
              <w:rPr>
                <w:sz w:val="13"/>
                <w:szCs w:val="13"/>
                <w:color w:val="auto"/>
              </w:rPr>
            </w:pPr>
          </w:p>
        </w:tc>
        <w:tc>
          <w:tcPr>
            <w:tcW w:w="1640" w:type="dxa"/>
            <w:vAlign w:val="bottom"/>
            <w:tcBorders>
              <w:top w:val="single" w:sz="8" w:color="91BBD3"/>
              <w:right w:val="single" w:sz="8" w:color="91BBD3"/>
            </w:tcBorders>
          </w:tcPr>
          <w:p>
            <w:pPr>
              <w:jc w:val="right"/>
              <w:ind w:right="1178"/>
              <w:spacing w:after="0" w:line="156" w:lineRule="exact"/>
              <w:rPr>
                <w:sz w:val="20"/>
                <w:szCs w:val="20"/>
                <w:color w:val="auto"/>
              </w:rPr>
            </w:pPr>
            <w:r>
              <w:rPr>
                <w:rFonts w:ascii="Calibri" w:cs="Calibri" w:eastAsia="Calibri" w:hAnsi="Calibri"/>
                <w:sz w:val="16"/>
                <w:szCs w:val="16"/>
                <w:b w:val="1"/>
                <w:bCs w:val="1"/>
                <w:color w:val="auto"/>
              </w:rPr>
              <w:t>4.02</w:t>
            </w:r>
          </w:p>
        </w:tc>
        <w:tc>
          <w:tcPr>
            <w:tcW w:w="100" w:type="dxa"/>
            <w:vAlign w:val="bottom"/>
            <w:tcBorders>
              <w:top w:val="single" w:sz="8" w:color="91BBD3"/>
            </w:tcBorders>
          </w:tcPr>
          <w:p>
            <w:pPr>
              <w:spacing w:after="0"/>
              <w:rPr>
                <w:sz w:val="13"/>
                <w:szCs w:val="13"/>
                <w:color w:val="auto"/>
              </w:rPr>
            </w:pPr>
          </w:p>
        </w:tc>
        <w:tc>
          <w:tcPr>
            <w:tcW w:w="9120" w:type="dxa"/>
            <w:vAlign w:val="bottom"/>
            <w:tcBorders>
              <w:top w:val="single" w:sz="8" w:color="91BBD3"/>
              <w:right w:val="single" w:sz="8" w:color="91BBD3"/>
            </w:tcBorders>
            <w:gridSpan w:val="7"/>
          </w:tcPr>
          <w:p>
            <w:pPr>
              <w:spacing w:after="0" w:line="156" w:lineRule="exact"/>
              <w:rPr>
                <w:rFonts w:ascii="Calibri" w:cs="Calibri" w:eastAsia="Calibri" w:hAnsi="Calibri"/>
                <w:sz w:val="16"/>
                <w:szCs w:val="16"/>
                <w:color w:val="0563C1"/>
              </w:rPr>
            </w:pPr>
            <w:hyperlink r:id="rId662">
              <w:r>
                <w:rPr>
                  <w:rFonts w:ascii="Calibri" w:cs="Calibri" w:eastAsia="Calibri" w:hAnsi="Calibri"/>
                  <w:sz w:val="16"/>
                  <w:szCs w:val="16"/>
                  <w:color w:val="0563C1"/>
                </w:rPr>
                <w:t>Artcle 5 of the Company’s Restated Artcles of Incorporaton, as amended (incorporated by reference to Exhibit 3.01 to the</w:t>
              </w:r>
            </w:hyperlink>
          </w:p>
        </w:tc>
        <w:tc>
          <w:tcPr>
            <w:tcW w:w="160" w:type="dxa"/>
            <w:vAlign w:val="bottom"/>
          </w:tcPr>
          <w:p>
            <w:pPr>
              <w:spacing w:after="0"/>
              <w:rPr>
                <w:sz w:val="13"/>
                <w:szCs w:val="13"/>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2"/>
            <w:shd w:val="clear" w:color="auto" w:fill="0563C1"/>
          </w:tcPr>
          <w:p>
            <w:pPr>
              <w:spacing w:after="0" w:line="20" w:lineRule="exact"/>
              <w:rPr>
                <w:sz w:val="1"/>
                <w:szCs w:val="1"/>
                <w:color w:val="auto"/>
              </w:rPr>
            </w:pPr>
          </w:p>
        </w:tc>
        <w:tc>
          <w:tcPr>
            <w:tcW w:w="4500" w:type="dxa"/>
            <w:vAlign w:val="bottom"/>
            <w:gridSpan w:val="3"/>
            <w:shd w:val="clear" w:color="auto" w:fill="0563C1"/>
          </w:tcPr>
          <w:p>
            <w:pPr>
              <w:spacing w:after="0" w:line="20" w:lineRule="exact"/>
              <w:rPr>
                <w:sz w:val="1"/>
                <w:szCs w:val="1"/>
                <w:color w:val="auto"/>
              </w:rPr>
            </w:pPr>
          </w:p>
        </w:tc>
        <w:tc>
          <w:tcPr>
            <w:tcW w:w="1600" w:type="dxa"/>
            <w:vAlign w:val="bottom"/>
            <w:shd w:val="clear" w:color="auto" w:fill="0563C1"/>
          </w:tcPr>
          <w:p>
            <w:pPr>
              <w:spacing w:after="0" w:line="20" w:lineRule="exact"/>
              <w:rPr>
                <w:sz w:val="1"/>
                <w:szCs w:val="1"/>
                <w:color w:val="auto"/>
              </w:rPr>
            </w:pPr>
          </w:p>
        </w:tc>
        <w:tc>
          <w:tcPr>
            <w:tcW w:w="140" w:type="dxa"/>
            <w:vAlign w:val="bottom"/>
            <w:tcBorders>
              <w:left w:val="single" w:sz="8" w:color="0000EE"/>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6"/>
          </w:tcPr>
          <w:p>
            <w:pPr>
              <w:spacing w:after="0" w:line="196" w:lineRule="exact"/>
              <w:rPr>
                <w:rFonts w:ascii="Calibri" w:cs="Calibri" w:eastAsia="Calibri" w:hAnsi="Calibri"/>
                <w:sz w:val="18"/>
                <w:szCs w:val="18"/>
                <w:color w:val="0563C1"/>
              </w:rPr>
            </w:pPr>
            <w:hyperlink r:id="rId662">
              <w:r>
                <w:rPr>
                  <w:rFonts w:ascii="Calibri" w:cs="Calibri" w:eastAsia="Calibri" w:hAnsi="Calibri"/>
                  <w:sz w:val="18"/>
                  <w:szCs w:val="18"/>
                  <w:color w:val="0563C1"/>
                </w:rPr>
                <w:t>Martn Marieta Materials, Inc. Annual Report on Form 10-K for the fscal year ended December 31, 2016, fled on February</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7"/>
          </w:tcPr>
          <w:p>
            <w:pPr>
              <w:spacing w:after="0" w:line="196" w:lineRule="exact"/>
              <w:rPr>
                <w:rFonts w:ascii="Calibri" w:cs="Calibri" w:eastAsia="Calibri" w:hAnsi="Calibri"/>
                <w:sz w:val="18"/>
                <w:szCs w:val="18"/>
                <w:color w:val="0563C1"/>
              </w:rPr>
            </w:pPr>
            <w:hyperlink r:id="rId662">
              <w:r>
                <w:rPr>
                  <w:rFonts w:ascii="Calibri" w:cs="Calibri" w:eastAsia="Calibri" w:hAnsi="Calibri"/>
                  <w:sz w:val="18"/>
                  <w:szCs w:val="18"/>
                  <w:color w:val="0563C1"/>
                </w:rPr>
                <w:t>24, 2017) (Commission File No. 1-12744)</w:t>
              </w:r>
            </w:hyperlink>
          </w:p>
        </w:tc>
        <w:tc>
          <w:tcPr>
            <w:tcW w:w="160" w:type="dxa"/>
            <w:vAlign w:val="bottom"/>
          </w:tcPr>
          <w:p>
            <w:pPr>
              <w:spacing w:after="0"/>
              <w:rPr>
                <w:sz w:val="17"/>
                <w:szCs w:val="17"/>
                <w:color w:val="auto"/>
              </w:rPr>
            </w:pPr>
          </w:p>
        </w:tc>
      </w:tr>
      <w:tr>
        <w:trPr>
          <w:trHeight w:val="34"/>
        </w:trPr>
        <w:tc>
          <w:tcPr>
            <w:tcW w:w="220" w:type="dxa"/>
            <w:vAlign w:val="bottom"/>
            <w:tcBorders>
              <w:right w:val="single" w:sz="8" w:color="91BBD3"/>
            </w:tcBorders>
          </w:tcPr>
          <w:p>
            <w:pPr>
              <w:spacing w:after="0"/>
              <w:rPr>
                <w:sz w:val="2"/>
                <w:szCs w:val="2"/>
                <w:color w:val="auto"/>
              </w:rPr>
            </w:pPr>
          </w:p>
        </w:tc>
        <w:tc>
          <w:tcPr>
            <w:tcW w:w="164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2180" w:type="dxa"/>
            <w:vAlign w:val="bottom"/>
            <w:tcBorders>
              <w:top w:val="single" w:sz="8" w:color="0563C1"/>
              <w:bottom w:val="single" w:sz="8" w:color="91BBD3"/>
            </w:tcBorders>
          </w:tcPr>
          <w:p>
            <w:pPr>
              <w:spacing w:after="0"/>
              <w:rPr>
                <w:sz w:val="2"/>
                <w:szCs w:val="2"/>
                <w:color w:val="auto"/>
              </w:rPr>
            </w:pPr>
          </w:p>
        </w:tc>
        <w:tc>
          <w:tcPr>
            <w:tcW w:w="700" w:type="dxa"/>
            <w:vAlign w:val="bottom"/>
            <w:tcBorders>
              <w:top w:val="single" w:sz="8" w:color="0563C1"/>
              <w:bottom w:val="single" w:sz="8" w:color="91BBD3"/>
            </w:tcBorders>
          </w:tcPr>
          <w:p>
            <w:pPr>
              <w:spacing w:after="0"/>
              <w:rPr>
                <w:sz w:val="2"/>
                <w:szCs w:val="2"/>
                <w:color w:val="auto"/>
              </w:rPr>
            </w:pPr>
          </w:p>
        </w:tc>
        <w:tc>
          <w:tcPr>
            <w:tcW w:w="2060" w:type="dxa"/>
            <w:vAlign w:val="bottom"/>
            <w:tcBorders>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1640" w:type="dxa"/>
            <w:vAlign w:val="bottom"/>
            <w:tcBorders>
              <w:bottom w:val="single" w:sz="8" w:color="91BBD3"/>
            </w:tcBorders>
          </w:tcPr>
          <w:p>
            <w:pPr>
              <w:spacing w:after="0"/>
              <w:rPr>
                <w:sz w:val="2"/>
                <w:szCs w:val="2"/>
                <w:color w:val="auto"/>
              </w:rPr>
            </w:pPr>
          </w:p>
        </w:tc>
        <w:tc>
          <w:tcPr>
            <w:tcW w:w="16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r>
      <w:tr>
        <w:trPr>
          <w:trHeight w:val="155"/>
        </w:trPr>
        <w:tc>
          <w:tcPr>
            <w:tcW w:w="220" w:type="dxa"/>
            <w:vAlign w:val="bottom"/>
            <w:tcBorders>
              <w:right w:val="single" w:sz="8" w:color="91BBD3"/>
            </w:tcBorders>
          </w:tcPr>
          <w:p>
            <w:pPr>
              <w:spacing w:after="0"/>
              <w:rPr>
                <w:sz w:val="13"/>
                <w:szCs w:val="13"/>
                <w:color w:val="auto"/>
              </w:rPr>
            </w:pPr>
          </w:p>
        </w:tc>
        <w:tc>
          <w:tcPr>
            <w:tcW w:w="1640" w:type="dxa"/>
            <w:vAlign w:val="bottom"/>
            <w:tcBorders>
              <w:bottom w:val="single" w:sz="8" w:color="DAE8F0"/>
              <w:right w:val="single" w:sz="8" w:color="91BBD3"/>
            </w:tcBorders>
            <w:shd w:val="clear" w:color="auto" w:fill="DAE8F0"/>
          </w:tcPr>
          <w:p>
            <w:pPr>
              <w:jc w:val="right"/>
              <w:ind w:right="1178"/>
              <w:spacing w:after="0" w:line="156" w:lineRule="exact"/>
              <w:rPr>
                <w:sz w:val="20"/>
                <w:szCs w:val="20"/>
                <w:color w:val="auto"/>
              </w:rPr>
            </w:pPr>
            <w:r>
              <w:rPr>
                <w:rFonts w:ascii="Calibri" w:cs="Calibri" w:eastAsia="Calibri" w:hAnsi="Calibri"/>
                <w:sz w:val="16"/>
                <w:szCs w:val="16"/>
                <w:b w:val="1"/>
                <w:bCs w:val="1"/>
                <w:color w:val="auto"/>
              </w:rPr>
              <w:t>4.03</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6"/>
            <w:shd w:val="clear" w:color="auto" w:fill="DAE8F0"/>
          </w:tcPr>
          <w:p>
            <w:pPr>
              <w:spacing w:after="0" w:line="156" w:lineRule="exact"/>
              <w:rPr>
                <w:rFonts w:ascii="Calibri" w:cs="Calibri" w:eastAsia="Calibri" w:hAnsi="Calibri"/>
                <w:sz w:val="16"/>
                <w:szCs w:val="16"/>
                <w:color w:val="0563C1"/>
              </w:rPr>
            </w:pPr>
            <w:hyperlink r:id="rId663">
              <w:r>
                <w:rPr>
                  <w:rFonts w:ascii="Calibri" w:cs="Calibri" w:eastAsia="Calibri" w:hAnsi="Calibri"/>
                  <w:sz w:val="16"/>
                  <w:szCs w:val="16"/>
                  <w:color w:val="0563C1"/>
                </w:rPr>
                <w:t>Artcle 1 of the Company’s Restated Bylaws, as amended (incorporated by reference to Exhibit 3.1 to the Martn Marieta</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r>
      <w:tr>
        <w:trPr>
          <w:trHeight w:val="250"/>
        </w:trPr>
        <w:tc>
          <w:tcPr>
            <w:tcW w:w="220" w:type="dxa"/>
            <w:vAlign w:val="bottom"/>
            <w:tcBorders>
              <w:right w:val="single" w:sz="8" w:color="91BBD3"/>
            </w:tcBorders>
          </w:tcPr>
          <w:p>
            <w:pPr>
              <w:spacing w:after="0"/>
              <w:rPr>
                <w:sz w:val="21"/>
                <w:szCs w:val="21"/>
                <w:color w:val="auto"/>
              </w:rPr>
            </w:pPr>
          </w:p>
        </w:tc>
        <w:tc>
          <w:tcPr>
            <w:tcW w:w="1640" w:type="dxa"/>
            <w:vAlign w:val="bottom"/>
            <w:tcBorders>
              <w:bottom w:val="single" w:sz="8" w:color="91BBD3"/>
              <w:right w:val="single" w:sz="8" w:color="91BBD3"/>
            </w:tcBorders>
            <w:shd w:val="clear" w:color="auto" w:fill="DAE8F0"/>
          </w:tcPr>
          <w:p>
            <w:pPr>
              <w:spacing w:after="0"/>
              <w:rPr>
                <w:sz w:val="21"/>
                <w:szCs w:val="21"/>
                <w:color w:val="auto"/>
              </w:rPr>
            </w:pPr>
          </w:p>
        </w:tc>
        <w:tc>
          <w:tcPr>
            <w:tcW w:w="100" w:type="dxa"/>
            <w:vAlign w:val="bottom"/>
            <w:tcBorders>
              <w:bottom w:val="single" w:sz="8" w:color="91BBD3"/>
            </w:tcBorders>
            <w:shd w:val="clear" w:color="auto" w:fill="DAE8F0"/>
          </w:tcPr>
          <w:p>
            <w:pPr>
              <w:spacing w:after="0"/>
              <w:rPr>
                <w:sz w:val="21"/>
                <w:szCs w:val="21"/>
                <w:color w:val="auto"/>
              </w:rPr>
            </w:pPr>
          </w:p>
        </w:tc>
        <w:tc>
          <w:tcPr>
            <w:tcW w:w="7380" w:type="dxa"/>
            <w:vAlign w:val="bottom"/>
            <w:tcBorders>
              <w:bottom w:val="single" w:sz="8" w:color="0563C1"/>
            </w:tcBorders>
            <w:gridSpan w:val="5"/>
            <w:shd w:val="clear" w:color="auto" w:fill="DAE8F0"/>
          </w:tcPr>
          <w:p>
            <w:pPr>
              <w:spacing w:after="0" w:line="196" w:lineRule="exact"/>
              <w:rPr>
                <w:rFonts w:ascii="Calibri" w:cs="Calibri" w:eastAsia="Calibri" w:hAnsi="Calibri"/>
                <w:sz w:val="18"/>
                <w:szCs w:val="18"/>
                <w:color w:val="0563C1"/>
                <w:w w:val="97"/>
              </w:rPr>
            </w:pPr>
            <w:hyperlink r:id="rId663">
              <w:r>
                <w:rPr>
                  <w:rFonts w:ascii="Calibri" w:cs="Calibri" w:eastAsia="Calibri" w:hAnsi="Calibri"/>
                  <w:sz w:val="18"/>
                  <w:szCs w:val="18"/>
                  <w:color w:val="0563C1"/>
                  <w:w w:val="97"/>
                </w:rPr>
                <w:t>Materials, Inc. Current Report on Form 8-K, fled on November 14, 2022) (Commission File No. 1-12744)</w:t>
              </w:r>
            </w:hyperlink>
          </w:p>
        </w:tc>
        <w:tc>
          <w:tcPr>
            <w:tcW w:w="1740" w:type="dxa"/>
            <w:vAlign w:val="bottom"/>
            <w:tcBorders>
              <w:bottom w:val="single" w:sz="8" w:color="91BBD3"/>
              <w:right w:val="single" w:sz="8" w:color="91BBD3"/>
            </w:tcBorders>
            <w:gridSpan w:val="2"/>
            <w:shd w:val="clear" w:color="auto" w:fill="DAE8F0"/>
          </w:tcPr>
          <w:p>
            <w:pPr>
              <w:spacing w:after="0"/>
              <w:rPr>
                <w:sz w:val="21"/>
                <w:szCs w:val="21"/>
                <w:color w:val="auto"/>
              </w:rPr>
            </w:pPr>
          </w:p>
        </w:tc>
        <w:tc>
          <w:tcPr>
            <w:tcW w:w="160" w:type="dxa"/>
            <w:vAlign w:val="bottom"/>
          </w:tcPr>
          <w:p>
            <w:pPr>
              <w:spacing w:after="0"/>
              <w:rPr>
                <w:sz w:val="21"/>
                <w:szCs w:val="21"/>
                <w:color w:val="auto"/>
              </w:rPr>
            </w:pPr>
          </w:p>
        </w:tc>
      </w:tr>
      <w:tr>
        <w:trPr>
          <w:trHeight w:val="187"/>
        </w:trPr>
        <w:tc>
          <w:tcPr>
            <w:tcW w:w="220" w:type="dxa"/>
            <w:vAlign w:val="bottom"/>
            <w:tcBorders>
              <w:right w:val="single" w:sz="8" w:color="91BBD3"/>
            </w:tcBorders>
          </w:tcPr>
          <w:p>
            <w:pPr>
              <w:spacing w:after="0"/>
              <w:rPr>
                <w:sz w:val="16"/>
                <w:szCs w:val="16"/>
                <w:color w:val="auto"/>
              </w:rPr>
            </w:pPr>
          </w:p>
        </w:tc>
        <w:tc>
          <w:tcPr>
            <w:tcW w:w="1640" w:type="dxa"/>
            <w:vAlign w:val="bottom"/>
            <w:tcBorders>
              <w:right w:val="single" w:sz="8" w:color="91BBD3"/>
            </w:tcBorders>
          </w:tcPr>
          <w:p>
            <w:pPr>
              <w:jc w:val="right"/>
              <w:ind w:right="1178"/>
              <w:spacing w:after="0" w:line="187" w:lineRule="exact"/>
              <w:rPr>
                <w:sz w:val="20"/>
                <w:szCs w:val="20"/>
                <w:color w:val="auto"/>
              </w:rPr>
            </w:pPr>
            <w:r>
              <w:rPr>
                <w:rFonts w:ascii="Calibri" w:cs="Calibri" w:eastAsia="Calibri" w:hAnsi="Calibri"/>
                <w:sz w:val="18"/>
                <w:szCs w:val="18"/>
                <w:b w:val="1"/>
                <w:bCs w:val="1"/>
                <w:color w:val="auto"/>
              </w:rPr>
              <w:t>4.04</w:t>
            </w:r>
          </w:p>
        </w:tc>
        <w:tc>
          <w:tcPr>
            <w:tcW w:w="100" w:type="dxa"/>
            <w:vAlign w:val="bottom"/>
          </w:tcPr>
          <w:p>
            <w:pPr>
              <w:spacing w:after="0"/>
              <w:rPr>
                <w:sz w:val="16"/>
                <w:szCs w:val="16"/>
                <w:color w:val="auto"/>
              </w:rPr>
            </w:pPr>
          </w:p>
        </w:tc>
        <w:tc>
          <w:tcPr>
            <w:tcW w:w="9120" w:type="dxa"/>
            <w:vAlign w:val="bottom"/>
            <w:tcBorders>
              <w:right w:val="single" w:sz="8" w:color="91BBD3"/>
            </w:tcBorders>
            <w:gridSpan w:val="7"/>
          </w:tcPr>
          <w:p>
            <w:pPr>
              <w:spacing w:after="0" w:line="187" w:lineRule="exact"/>
              <w:rPr>
                <w:sz w:val="20"/>
                <w:szCs w:val="20"/>
                <w:color w:val="auto"/>
              </w:rPr>
            </w:pPr>
            <w:r>
              <w:rPr>
                <w:rFonts w:ascii="Calibri" w:cs="Calibri" w:eastAsia="Calibri" w:hAnsi="Calibri"/>
                <w:sz w:val="18"/>
                <w:szCs w:val="18"/>
                <w:color w:val="auto"/>
              </w:rPr>
              <w:t>Indenture dated as of December 1, 1995 between Martn Marieta Materials, Inc. and First Union Natonal Bank of North</w:t>
            </w:r>
          </w:p>
        </w:tc>
        <w:tc>
          <w:tcPr>
            <w:tcW w:w="160" w:type="dxa"/>
            <w:vAlign w:val="bottom"/>
          </w:tcPr>
          <w:p>
            <w:pPr>
              <w:spacing w:after="0"/>
              <w:rPr>
                <w:sz w:val="16"/>
                <w:szCs w:val="16"/>
                <w:color w:val="auto"/>
              </w:rPr>
            </w:pPr>
          </w:p>
        </w:tc>
      </w:tr>
      <w:tr>
        <w:trPr>
          <w:trHeight w:val="215"/>
        </w:trPr>
        <w:tc>
          <w:tcPr>
            <w:tcW w:w="220" w:type="dxa"/>
            <w:vAlign w:val="bottom"/>
            <w:tcBorders>
              <w:right w:val="single" w:sz="8" w:color="91BBD3"/>
            </w:tcBorders>
          </w:tcPr>
          <w:p>
            <w:pPr>
              <w:spacing w:after="0"/>
              <w:rPr>
                <w:sz w:val="18"/>
                <w:szCs w:val="18"/>
                <w:color w:val="auto"/>
              </w:rPr>
            </w:pPr>
          </w:p>
        </w:tc>
        <w:tc>
          <w:tcPr>
            <w:tcW w:w="1640" w:type="dxa"/>
            <w:vAlign w:val="bottom"/>
            <w:tcBorders>
              <w:right w:val="single" w:sz="8" w:color="91BBD3"/>
            </w:tcBorders>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tcBorders>
              <w:right w:val="single" w:sz="8" w:color="91BBD3"/>
            </w:tcBorders>
            <w:gridSpan w:val="7"/>
          </w:tcPr>
          <w:p>
            <w:pPr>
              <w:spacing w:after="0" w:line="215" w:lineRule="exact"/>
              <w:rPr>
                <w:sz w:val="20"/>
                <w:szCs w:val="20"/>
                <w:color w:val="auto"/>
              </w:rPr>
            </w:pPr>
            <w:r>
              <w:rPr>
                <w:rFonts w:ascii="Calibri" w:cs="Calibri" w:eastAsia="Calibri" w:hAnsi="Calibri"/>
                <w:sz w:val="18"/>
                <w:szCs w:val="18"/>
                <w:color w:val="auto"/>
              </w:rPr>
              <w:t>Carolina (incorporated by reference to Exhibit 4(a) to the Martn Marieta Materials, Inc. registraton statement on Form S-3</w:t>
            </w:r>
          </w:p>
        </w:tc>
        <w:tc>
          <w:tcPr>
            <w:tcW w:w="160" w:type="dxa"/>
            <w:vAlign w:val="bottom"/>
          </w:tcPr>
          <w:p>
            <w:pPr>
              <w:spacing w:after="0"/>
              <w:rPr>
                <w:sz w:val="18"/>
                <w:szCs w:val="18"/>
                <w:color w:val="auto"/>
              </w:rPr>
            </w:pPr>
          </w:p>
        </w:tc>
      </w:tr>
      <w:tr>
        <w:trPr>
          <w:trHeight w:val="216"/>
        </w:trPr>
        <w:tc>
          <w:tcPr>
            <w:tcW w:w="220" w:type="dxa"/>
            <w:vAlign w:val="bottom"/>
            <w:tcBorders>
              <w:right w:val="single" w:sz="8" w:color="91BBD3"/>
            </w:tcBorders>
          </w:tcPr>
          <w:p>
            <w:pPr>
              <w:spacing w:after="0"/>
              <w:rPr>
                <w:sz w:val="18"/>
                <w:szCs w:val="18"/>
                <w:color w:val="auto"/>
              </w:rPr>
            </w:pPr>
          </w:p>
        </w:tc>
        <w:tc>
          <w:tcPr>
            <w:tcW w:w="1640" w:type="dxa"/>
            <w:vAlign w:val="bottom"/>
            <w:tcBorders>
              <w:right w:val="single" w:sz="8" w:color="91BBD3"/>
            </w:tcBorders>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tcBorders>
              <w:right w:val="single" w:sz="8" w:color="91BBD3"/>
            </w:tcBorders>
            <w:gridSpan w:val="7"/>
          </w:tcPr>
          <w:p>
            <w:pPr>
              <w:spacing w:after="0" w:line="216" w:lineRule="exact"/>
              <w:rPr>
                <w:sz w:val="20"/>
                <w:szCs w:val="20"/>
                <w:color w:val="auto"/>
              </w:rPr>
            </w:pPr>
            <w:r>
              <w:rPr>
                <w:rFonts w:ascii="Calibri" w:cs="Calibri" w:eastAsia="Calibri" w:hAnsi="Calibri"/>
                <w:sz w:val="18"/>
                <w:szCs w:val="18"/>
                <w:color w:val="auto"/>
              </w:rPr>
              <w:t>(SEC Registraton No. 33-99082)) (P)</w:t>
            </w:r>
          </w:p>
        </w:tc>
        <w:tc>
          <w:tcPr>
            <w:tcW w:w="160" w:type="dxa"/>
            <w:vAlign w:val="bottom"/>
          </w:tcPr>
          <w:p>
            <w:pPr>
              <w:spacing w:after="0"/>
              <w:rPr>
                <w:sz w:val="18"/>
                <w:szCs w:val="18"/>
                <w:color w:val="auto"/>
              </w:rPr>
            </w:pPr>
          </w:p>
        </w:tc>
      </w:tr>
      <w:tr>
        <w:trPr>
          <w:trHeight w:val="23"/>
        </w:trPr>
        <w:tc>
          <w:tcPr>
            <w:tcW w:w="220" w:type="dxa"/>
            <w:vAlign w:val="bottom"/>
            <w:tcBorders>
              <w:right w:val="single" w:sz="8" w:color="91BBD3"/>
            </w:tcBorders>
          </w:tcPr>
          <w:p>
            <w:pPr>
              <w:spacing w:after="0"/>
              <w:rPr>
                <w:sz w:val="2"/>
                <w:szCs w:val="2"/>
                <w:color w:val="auto"/>
              </w:rPr>
            </w:pPr>
          </w:p>
        </w:tc>
        <w:tc>
          <w:tcPr>
            <w:tcW w:w="164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2180" w:type="dxa"/>
            <w:vAlign w:val="bottom"/>
            <w:tcBorders>
              <w:bottom w:val="single" w:sz="8" w:color="91BBD3"/>
            </w:tcBorders>
          </w:tcPr>
          <w:p>
            <w:pPr>
              <w:spacing w:after="0"/>
              <w:rPr>
                <w:sz w:val="2"/>
                <w:szCs w:val="2"/>
                <w:color w:val="auto"/>
              </w:rPr>
            </w:pPr>
          </w:p>
        </w:tc>
        <w:tc>
          <w:tcPr>
            <w:tcW w:w="700" w:type="dxa"/>
            <w:vAlign w:val="bottom"/>
            <w:tcBorders>
              <w:bottom w:val="single" w:sz="8" w:color="91BBD3"/>
            </w:tcBorders>
          </w:tcPr>
          <w:p>
            <w:pPr>
              <w:spacing w:after="0"/>
              <w:rPr>
                <w:sz w:val="2"/>
                <w:szCs w:val="2"/>
                <w:color w:val="auto"/>
              </w:rPr>
            </w:pPr>
          </w:p>
        </w:tc>
        <w:tc>
          <w:tcPr>
            <w:tcW w:w="2060" w:type="dxa"/>
            <w:vAlign w:val="bottom"/>
            <w:tcBorders>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1640" w:type="dxa"/>
            <w:vAlign w:val="bottom"/>
            <w:tcBorders>
              <w:bottom w:val="single" w:sz="8" w:color="91BBD3"/>
            </w:tcBorders>
          </w:tcPr>
          <w:p>
            <w:pPr>
              <w:spacing w:after="0"/>
              <w:rPr>
                <w:sz w:val="2"/>
                <w:szCs w:val="2"/>
                <w:color w:val="auto"/>
              </w:rPr>
            </w:pPr>
          </w:p>
        </w:tc>
        <w:tc>
          <w:tcPr>
            <w:tcW w:w="16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r>
      <w:tr>
        <w:trPr>
          <w:trHeight w:val="405"/>
        </w:trPr>
        <w:tc>
          <w:tcPr>
            <w:tcW w:w="1860" w:type="dxa"/>
            <w:vAlign w:val="bottom"/>
            <w:gridSpan w:val="2"/>
          </w:tcPr>
          <w:p>
            <w:pPr>
              <w:jc w:val="right"/>
              <w:ind w:right="478"/>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107</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78"/>
        </w:trPr>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-762635</wp:posOffset>
            </wp:positionV>
            <wp:extent cx="325755" cy="1968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4">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9" w:name="page110"/>
    <w:bookmarkEnd w:id="109"/>
    <w:tbl>
      <w:tblPr>
        <w:tblLayout w:type="fixed"/>
        <w:tblInd w:w="170" w:type="dxa"/>
        <w:tblCellMar>
          <w:top w:w="0" w:type="dxa"/>
          <w:left w:w="0" w:type="dxa"/>
          <w:bottom w:w="0" w:type="dxa"/>
          <w:right w:w="0" w:type="dxa"/>
        </w:tblCellMar>
      </w:tblPr>
      <w:tr>
        <w:trPr>
          <w:trHeight w:val="308"/>
        </w:trPr>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6"/>
          </w:tcPr>
          <w:p>
            <w:pPr>
              <w:ind w:left="60"/>
              <w:spacing w:after="0"/>
              <w:rPr>
                <w:sz w:val="20"/>
                <w:szCs w:val="20"/>
                <w:color w:val="auto"/>
              </w:rPr>
            </w:pPr>
            <w:r>
              <w:rPr>
                <w:rFonts w:ascii="Calibri" w:cs="Calibri" w:eastAsia="Calibri" w:hAnsi="Calibri"/>
                <w:sz w:val="18"/>
                <w:szCs w:val="18"/>
                <w:color w:val="auto"/>
                <w:w w:val="98"/>
              </w:rPr>
              <w:t xml:space="preserve">Part IV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4"/>
        </w:trPr>
        <w:tc>
          <w:tcPr>
            <w:tcW w:w="440" w:type="dxa"/>
            <w:vAlign w:val="bottom"/>
            <w:tcBorders>
              <w:top w:val="single" w:sz="8" w:color="91BBD3"/>
              <w:left w:val="single" w:sz="8" w:color="91BBD3"/>
              <w:bottom w:val="single" w:sz="8" w:color="007DC6"/>
            </w:tcBorders>
            <w:shd w:val="clear" w:color="auto" w:fill="007DC6"/>
          </w:tcPr>
          <w:p>
            <w:pPr>
              <w:spacing w:after="0"/>
              <w:rPr>
                <w:sz w:val="24"/>
                <w:szCs w:val="24"/>
                <w:color w:val="auto"/>
              </w:rPr>
            </w:pPr>
          </w:p>
        </w:tc>
        <w:tc>
          <w:tcPr>
            <w:tcW w:w="1260" w:type="dxa"/>
            <w:vAlign w:val="bottom"/>
            <w:tcBorders>
              <w:top w:val="single" w:sz="8" w:color="91BBD3"/>
              <w:bottom w:val="single" w:sz="8" w:color="007DC6"/>
              <w:right w:val="single" w:sz="8" w:color="91BBD3"/>
            </w:tcBorders>
            <w:shd w:val="clear" w:color="auto" w:fill="007DC6"/>
          </w:tcPr>
          <w:p>
            <w:pPr>
              <w:spacing w:after="0"/>
              <w:rPr>
                <w:sz w:val="20"/>
                <w:szCs w:val="20"/>
                <w:color w:val="auto"/>
              </w:rPr>
            </w:pPr>
            <w:r>
              <w:rPr>
                <w:rFonts w:ascii="Calibri" w:cs="Calibri" w:eastAsia="Calibri" w:hAnsi="Calibri"/>
                <w:sz w:val="18"/>
                <w:szCs w:val="18"/>
                <w:b w:val="1"/>
                <w:bCs w:val="1"/>
                <w:color w:val="FFFFFF"/>
              </w:rPr>
              <w:t>Exhibit No.</w:t>
            </w:r>
          </w:p>
        </w:tc>
        <w:tc>
          <w:tcPr>
            <w:tcW w:w="80" w:type="dxa"/>
            <w:vAlign w:val="bottom"/>
            <w:tcBorders>
              <w:top w:val="single" w:sz="8" w:color="007DC6"/>
              <w:bottom w:val="single" w:sz="8" w:color="007DC6"/>
            </w:tcBorders>
            <w:shd w:val="clear" w:color="auto" w:fill="007DC6"/>
          </w:tcPr>
          <w:p>
            <w:pPr>
              <w:spacing w:after="0"/>
              <w:rPr>
                <w:sz w:val="24"/>
                <w:szCs w:val="24"/>
                <w:color w:val="auto"/>
              </w:rPr>
            </w:pPr>
          </w:p>
        </w:tc>
        <w:tc>
          <w:tcPr>
            <w:tcW w:w="540" w:type="dxa"/>
            <w:vAlign w:val="bottom"/>
            <w:tcBorders>
              <w:top w:val="single" w:sz="8" w:color="007DC6"/>
              <w:bottom w:val="single" w:sz="8" w:color="007DC6"/>
            </w:tcBorders>
            <w:shd w:val="clear" w:color="auto" w:fill="007DC6"/>
          </w:tcPr>
          <w:p>
            <w:pPr>
              <w:spacing w:after="0"/>
              <w:rPr>
                <w:sz w:val="24"/>
                <w:szCs w:val="24"/>
                <w:color w:val="auto"/>
              </w:rPr>
            </w:pPr>
          </w:p>
        </w:tc>
        <w:tc>
          <w:tcPr>
            <w:tcW w:w="1640" w:type="dxa"/>
            <w:vAlign w:val="bottom"/>
            <w:tcBorders>
              <w:top w:val="single" w:sz="8" w:color="007DC6"/>
              <w:bottom w:val="single" w:sz="8" w:color="007DC6"/>
            </w:tcBorders>
            <w:shd w:val="clear" w:color="auto" w:fill="007DC6"/>
          </w:tcPr>
          <w:p>
            <w:pPr>
              <w:spacing w:after="0"/>
              <w:rPr>
                <w:sz w:val="24"/>
                <w:szCs w:val="24"/>
                <w:color w:val="auto"/>
              </w:rPr>
            </w:pPr>
          </w:p>
        </w:tc>
        <w:tc>
          <w:tcPr>
            <w:tcW w:w="40" w:type="dxa"/>
            <w:vAlign w:val="bottom"/>
            <w:tcBorders>
              <w:top w:val="single" w:sz="8" w:color="007DC6"/>
              <w:bottom w:val="single" w:sz="8" w:color="007DC6"/>
            </w:tcBorders>
            <w:shd w:val="clear" w:color="auto" w:fill="007DC6"/>
          </w:tcPr>
          <w:p>
            <w:pPr>
              <w:spacing w:after="0"/>
              <w:rPr>
                <w:sz w:val="24"/>
                <w:szCs w:val="24"/>
                <w:color w:val="auto"/>
              </w:rPr>
            </w:pPr>
          </w:p>
        </w:tc>
        <w:tc>
          <w:tcPr>
            <w:tcW w:w="1020" w:type="dxa"/>
            <w:vAlign w:val="bottom"/>
            <w:tcBorders>
              <w:top w:val="single" w:sz="8" w:color="007DC6"/>
              <w:bottom w:val="single" w:sz="8" w:color="007DC6"/>
            </w:tcBorders>
            <w:shd w:val="clear" w:color="auto" w:fill="007DC6"/>
          </w:tcPr>
          <w:p>
            <w:pPr>
              <w:spacing w:after="0"/>
              <w:rPr>
                <w:sz w:val="24"/>
                <w:szCs w:val="24"/>
                <w:color w:val="auto"/>
              </w:rPr>
            </w:pPr>
          </w:p>
        </w:tc>
        <w:tc>
          <w:tcPr>
            <w:tcW w:w="1320" w:type="dxa"/>
            <w:vAlign w:val="bottom"/>
            <w:tcBorders>
              <w:top w:val="single" w:sz="8" w:color="007DC6"/>
              <w:bottom w:val="single" w:sz="8" w:color="007DC6"/>
            </w:tcBorders>
            <w:shd w:val="clear" w:color="auto" w:fill="007DC6"/>
          </w:tcPr>
          <w:p>
            <w:pPr>
              <w:spacing w:after="0"/>
              <w:rPr>
                <w:sz w:val="24"/>
                <w:szCs w:val="24"/>
                <w:color w:val="auto"/>
              </w:rPr>
            </w:pPr>
          </w:p>
        </w:tc>
        <w:tc>
          <w:tcPr>
            <w:tcW w:w="20" w:type="dxa"/>
            <w:vAlign w:val="bottom"/>
            <w:tcBorders>
              <w:top w:val="single" w:sz="8" w:color="007DC6"/>
              <w:bottom w:val="single" w:sz="8" w:color="007DC6"/>
            </w:tcBorders>
            <w:shd w:val="clear" w:color="auto" w:fill="007DC6"/>
          </w:tcPr>
          <w:p>
            <w:pPr>
              <w:spacing w:after="0"/>
              <w:rPr>
                <w:sz w:val="24"/>
                <w:szCs w:val="24"/>
                <w:color w:val="auto"/>
              </w:rPr>
            </w:pPr>
          </w:p>
        </w:tc>
        <w:tc>
          <w:tcPr>
            <w:tcW w:w="100" w:type="dxa"/>
            <w:vAlign w:val="bottom"/>
            <w:tcBorders>
              <w:top w:val="single" w:sz="8" w:color="007DC6"/>
              <w:bottom w:val="single" w:sz="8" w:color="007DC6"/>
            </w:tcBorders>
            <w:shd w:val="clear" w:color="auto" w:fill="007DC6"/>
          </w:tcPr>
          <w:p>
            <w:pPr>
              <w:spacing w:after="0"/>
              <w:rPr>
                <w:sz w:val="24"/>
                <w:szCs w:val="24"/>
                <w:color w:val="auto"/>
              </w:rPr>
            </w:pPr>
          </w:p>
        </w:tc>
        <w:tc>
          <w:tcPr>
            <w:tcW w:w="1640" w:type="dxa"/>
            <w:vAlign w:val="bottom"/>
            <w:tcBorders>
              <w:top w:val="single" w:sz="8" w:color="007DC6"/>
              <w:bottom w:val="single" w:sz="8" w:color="007DC6"/>
            </w:tcBorders>
            <w:shd w:val="clear" w:color="auto" w:fill="007DC6"/>
          </w:tcPr>
          <w:p>
            <w:pPr>
              <w:spacing w:after="0"/>
              <w:rPr>
                <w:sz w:val="24"/>
                <w:szCs w:val="24"/>
                <w:color w:val="auto"/>
              </w:rPr>
            </w:pPr>
          </w:p>
        </w:tc>
        <w:tc>
          <w:tcPr>
            <w:tcW w:w="2420" w:type="dxa"/>
            <w:vAlign w:val="bottom"/>
            <w:tcBorders>
              <w:top w:val="single" w:sz="8" w:color="007DC6"/>
              <w:bottom w:val="single" w:sz="8" w:color="007DC6"/>
            </w:tcBorders>
            <w:shd w:val="clear" w:color="auto" w:fill="007DC6"/>
          </w:tcPr>
          <w:p>
            <w:pPr>
              <w:spacing w:after="0"/>
              <w:rPr>
                <w:sz w:val="24"/>
                <w:szCs w:val="24"/>
                <w:color w:val="auto"/>
              </w:rPr>
            </w:pPr>
          </w:p>
        </w:tc>
        <w:tc>
          <w:tcPr>
            <w:tcW w:w="140" w:type="dxa"/>
            <w:vAlign w:val="bottom"/>
            <w:tcBorders>
              <w:top w:val="single" w:sz="8" w:color="007DC6"/>
              <w:bottom w:val="single" w:sz="8" w:color="007DC6"/>
            </w:tcBorders>
            <w:shd w:val="clear" w:color="auto" w:fill="007DC6"/>
          </w:tcPr>
          <w:p>
            <w:pPr>
              <w:spacing w:after="0"/>
              <w:rPr>
                <w:sz w:val="24"/>
                <w:szCs w:val="24"/>
                <w:color w:val="auto"/>
              </w:rPr>
            </w:pPr>
          </w:p>
        </w:tc>
        <w:tc>
          <w:tcPr>
            <w:tcW w:w="100" w:type="dxa"/>
            <w:vAlign w:val="bottom"/>
            <w:tcBorders>
              <w:top w:val="single" w:sz="8" w:color="007DC6"/>
              <w:bottom w:val="single" w:sz="8" w:color="007DC6"/>
            </w:tcBorders>
            <w:shd w:val="clear" w:color="auto" w:fill="007DC6"/>
          </w:tcPr>
          <w:p>
            <w:pPr>
              <w:spacing w:after="0"/>
              <w:rPr>
                <w:sz w:val="24"/>
                <w:szCs w:val="24"/>
                <w:color w:val="auto"/>
              </w:rPr>
            </w:pPr>
          </w:p>
        </w:tc>
        <w:tc>
          <w:tcPr>
            <w:tcW w:w="140" w:type="dxa"/>
            <w:vAlign w:val="bottom"/>
            <w:tcBorders>
              <w:top w:val="single" w:sz="8" w:color="007DC6"/>
              <w:left w:val="single" w:sz="8" w:color="007DC6"/>
              <w:bottom w:val="single" w:sz="8" w:color="007DC6"/>
              <w:right w:val="single" w:sz="8" w:color="007DC6"/>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0" w:type="dxa"/>
            <w:vAlign w:val="bottom"/>
            <w:tcBorders>
              <w:top w:val="single" w:sz="8" w:color="91BBD3"/>
              <w:left w:val="single" w:sz="8" w:color="91BBD3"/>
            </w:tcBorders>
            <w:shd w:val="clear" w:color="auto" w:fill="DAE8F0"/>
          </w:tcPr>
          <w:p>
            <w:pPr>
              <w:jc w:val="right"/>
              <w:spacing w:after="0" w:line="167" w:lineRule="exact"/>
              <w:rPr>
                <w:sz w:val="20"/>
                <w:szCs w:val="20"/>
                <w:color w:val="auto"/>
              </w:rPr>
            </w:pPr>
            <w:r>
              <w:rPr>
                <w:rFonts w:ascii="Calibri" w:cs="Calibri" w:eastAsia="Calibri" w:hAnsi="Calibri"/>
                <w:sz w:val="18"/>
                <w:szCs w:val="18"/>
                <w:b w:val="1"/>
                <w:bCs w:val="1"/>
                <w:color w:val="auto"/>
              </w:rPr>
              <w:t>4.05</w:t>
            </w:r>
          </w:p>
        </w:tc>
        <w:tc>
          <w:tcPr>
            <w:tcW w:w="1260" w:type="dxa"/>
            <w:vAlign w:val="bottom"/>
            <w:tcBorders>
              <w:top w:val="single" w:sz="8" w:color="91BBD3"/>
              <w:right w:val="single" w:sz="8" w:color="91BBD3"/>
            </w:tcBorders>
            <w:shd w:val="clear" w:color="auto" w:fill="DAE8F0"/>
          </w:tcPr>
          <w:p>
            <w:pPr>
              <w:spacing w:after="0"/>
              <w:rPr>
                <w:sz w:val="14"/>
                <w:szCs w:val="14"/>
                <w:color w:val="auto"/>
              </w:rPr>
            </w:pPr>
          </w:p>
        </w:tc>
        <w:tc>
          <w:tcPr>
            <w:tcW w:w="80" w:type="dxa"/>
            <w:vAlign w:val="bottom"/>
            <w:tcBorders>
              <w:top w:val="single" w:sz="8" w:color="91BBD3"/>
            </w:tcBorders>
            <w:shd w:val="clear" w:color="auto" w:fill="DAE8F0"/>
          </w:tcPr>
          <w:p>
            <w:pPr>
              <w:spacing w:after="0"/>
              <w:rPr>
                <w:sz w:val="14"/>
                <w:szCs w:val="14"/>
                <w:color w:val="auto"/>
              </w:rPr>
            </w:pPr>
          </w:p>
        </w:tc>
        <w:tc>
          <w:tcPr>
            <w:tcW w:w="9120" w:type="dxa"/>
            <w:vAlign w:val="bottom"/>
            <w:tcBorders>
              <w:top w:val="single" w:sz="8" w:color="91BBD3"/>
              <w:right w:val="single" w:sz="8" w:color="91BBD3"/>
            </w:tcBorders>
            <w:gridSpan w:val="12"/>
            <w:shd w:val="clear" w:color="auto" w:fill="DAE8F0"/>
          </w:tcPr>
          <w:p>
            <w:pPr>
              <w:spacing w:after="0" w:line="167" w:lineRule="exact"/>
              <w:rPr>
                <w:sz w:val="20"/>
                <w:szCs w:val="20"/>
                <w:color w:val="auto"/>
              </w:rPr>
            </w:pPr>
            <w:r>
              <w:rPr>
                <w:rFonts w:ascii="Calibri" w:cs="Calibri" w:eastAsia="Calibri" w:hAnsi="Calibri"/>
                <w:sz w:val="18"/>
                <w:szCs w:val="18"/>
                <w:color w:val="auto"/>
              </w:rPr>
              <w:t>Form of Martn Marieta Materials, Inc. 7% Debenture due 2025 (incorporated by reference to Exhibit 4(a)(i) to the Martn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91BBD3"/>
              <w:bottom w:val="single" w:sz="8" w:color="DAE8F0"/>
            </w:tcBorders>
            <w:shd w:val="clear" w:color="auto" w:fill="DAE8F0"/>
          </w:tcPr>
          <w:p>
            <w:pPr>
              <w:spacing w:after="0"/>
              <w:rPr>
                <w:sz w:val="20"/>
                <w:szCs w:val="20"/>
                <w:color w:val="auto"/>
              </w:rPr>
            </w:pPr>
          </w:p>
        </w:tc>
        <w:tc>
          <w:tcPr>
            <w:tcW w:w="1260" w:type="dxa"/>
            <w:vAlign w:val="bottom"/>
            <w:tcBorders>
              <w:bottom w:val="single" w:sz="8" w:color="DAE8F0"/>
              <w:right w:val="single" w:sz="8" w:color="91BBD3"/>
            </w:tcBorders>
            <w:shd w:val="clear" w:color="auto" w:fill="DAE8F0"/>
          </w:tcPr>
          <w:p>
            <w:pPr>
              <w:spacing w:after="0"/>
              <w:rPr>
                <w:sz w:val="20"/>
                <w:szCs w:val="20"/>
                <w:color w:val="auto"/>
              </w:rPr>
            </w:pPr>
          </w:p>
        </w:tc>
        <w:tc>
          <w:tcPr>
            <w:tcW w:w="80" w:type="dxa"/>
            <w:vAlign w:val="bottom"/>
            <w:tcBorders>
              <w:bottom w:val="single" w:sz="8" w:color="DAE8F0"/>
            </w:tcBorders>
            <w:shd w:val="clear" w:color="auto" w:fill="DAE8F0"/>
          </w:tcPr>
          <w:p>
            <w:pPr>
              <w:spacing w:after="0"/>
              <w:rPr>
                <w:sz w:val="20"/>
                <w:szCs w:val="20"/>
                <w:color w:val="auto"/>
              </w:rPr>
            </w:pPr>
          </w:p>
        </w:tc>
        <w:tc>
          <w:tcPr>
            <w:tcW w:w="9120" w:type="dxa"/>
            <w:vAlign w:val="bottom"/>
            <w:tcBorders>
              <w:bottom w:val="single" w:sz="8" w:color="DAE8F0"/>
              <w:right w:val="single" w:sz="8" w:color="91BBD3"/>
            </w:tcBorders>
            <w:gridSpan w:val="12"/>
            <w:shd w:val="clear" w:color="auto" w:fill="DAE8F0"/>
          </w:tcPr>
          <w:p>
            <w:pPr>
              <w:spacing w:after="0" w:line="215" w:lineRule="exact"/>
              <w:rPr>
                <w:sz w:val="20"/>
                <w:szCs w:val="20"/>
                <w:color w:val="auto"/>
              </w:rPr>
            </w:pPr>
            <w:r>
              <w:rPr>
                <w:rFonts w:ascii="Calibri" w:cs="Calibri" w:eastAsia="Calibri" w:hAnsi="Calibri"/>
                <w:sz w:val="18"/>
                <w:szCs w:val="18"/>
                <w:color w:val="auto"/>
              </w:rPr>
              <w:t>Marieta Materials, Inc. registraton statement on Form S-3 (SEC Registraton No. 33-99082)) (P)</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40" w:type="dxa"/>
            <w:vAlign w:val="bottom"/>
            <w:tcBorders>
              <w:top w:val="single" w:sz="8" w:color="91BBD3"/>
              <w:left w:val="single" w:sz="8" w:color="91BBD3"/>
            </w:tcBorders>
          </w:tcPr>
          <w:p>
            <w:pPr>
              <w:jc w:val="right"/>
              <w:spacing w:after="0" w:line="156" w:lineRule="exact"/>
              <w:rPr>
                <w:sz w:val="20"/>
                <w:szCs w:val="20"/>
                <w:color w:val="auto"/>
              </w:rPr>
            </w:pPr>
            <w:r>
              <w:rPr>
                <w:rFonts w:ascii="Calibri" w:cs="Calibri" w:eastAsia="Calibri" w:hAnsi="Calibri"/>
                <w:sz w:val="16"/>
                <w:szCs w:val="16"/>
                <w:b w:val="1"/>
                <w:bCs w:val="1"/>
                <w:color w:val="auto"/>
              </w:rPr>
              <w:t>4.06</w:t>
            </w:r>
          </w:p>
        </w:tc>
        <w:tc>
          <w:tcPr>
            <w:tcW w:w="1260" w:type="dxa"/>
            <w:vAlign w:val="bottom"/>
            <w:tcBorders>
              <w:top w:val="single" w:sz="8" w:color="91BBD3"/>
              <w:right w:val="single" w:sz="8" w:color="91BBD3"/>
            </w:tcBorders>
          </w:tcPr>
          <w:p>
            <w:pPr>
              <w:spacing w:after="0"/>
              <w:rPr>
                <w:sz w:val="13"/>
                <w:szCs w:val="13"/>
                <w:color w:val="auto"/>
              </w:rPr>
            </w:pPr>
          </w:p>
        </w:tc>
        <w:tc>
          <w:tcPr>
            <w:tcW w:w="80" w:type="dxa"/>
            <w:vAlign w:val="bottom"/>
            <w:tcBorders>
              <w:top w:val="single" w:sz="8" w:color="91BBD3"/>
            </w:tcBorders>
          </w:tcPr>
          <w:p>
            <w:pPr>
              <w:spacing w:after="0"/>
              <w:rPr>
                <w:sz w:val="13"/>
                <w:szCs w:val="13"/>
                <w:color w:val="auto"/>
              </w:rPr>
            </w:pPr>
          </w:p>
        </w:tc>
        <w:tc>
          <w:tcPr>
            <w:tcW w:w="8980" w:type="dxa"/>
            <w:vAlign w:val="bottom"/>
            <w:tcBorders>
              <w:top w:val="single" w:sz="8" w:color="91BBD3"/>
              <w:bottom w:val="single" w:sz="8" w:color="0563C1"/>
            </w:tcBorders>
            <w:gridSpan w:val="11"/>
          </w:tcPr>
          <w:p>
            <w:pPr>
              <w:spacing w:after="0" w:line="156" w:lineRule="exact"/>
              <w:rPr>
                <w:rFonts w:ascii="Calibri" w:cs="Calibri" w:eastAsia="Calibri" w:hAnsi="Calibri"/>
                <w:sz w:val="16"/>
                <w:szCs w:val="16"/>
                <w:color w:val="0563C1"/>
              </w:rPr>
            </w:pPr>
            <w:hyperlink r:id="rId667">
              <w:r>
                <w:rPr>
                  <w:rFonts w:ascii="Calibri" w:cs="Calibri" w:eastAsia="Calibri" w:hAnsi="Calibri"/>
                  <w:sz w:val="16"/>
                  <w:szCs w:val="16"/>
                  <w:color w:val="0563C1"/>
                </w:rPr>
                <w:t>Indenture dated as of April 30, 2007 between Martn Marieta Materials, Inc. and Truist Bank (as successor by merger to</w:t>
              </w:r>
            </w:hyperlink>
          </w:p>
        </w:tc>
        <w:tc>
          <w:tcPr>
            <w:tcW w:w="140" w:type="dxa"/>
            <w:vAlign w:val="bottom"/>
            <w:tcBorders>
              <w:top w:val="single" w:sz="8" w:color="91BBD3"/>
              <w:right w:val="single" w:sz="8" w:color="91BBD3"/>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2"/>
          </w:tcPr>
          <w:p>
            <w:pPr>
              <w:spacing w:after="0" w:line="196" w:lineRule="exact"/>
              <w:rPr>
                <w:rFonts w:ascii="Calibri" w:cs="Calibri" w:eastAsia="Calibri" w:hAnsi="Calibri"/>
                <w:sz w:val="18"/>
                <w:szCs w:val="18"/>
                <w:color w:val="0563C1"/>
              </w:rPr>
            </w:pPr>
            <w:hyperlink r:id="rId667">
              <w:r>
                <w:rPr>
                  <w:rFonts w:ascii="Calibri" w:cs="Calibri" w:eastAsia="Calibri" w:hAnsi="Calibri"/>
                  <w:sz w:val="18"/>
                  <w:szCs w:val="18"/>
                  <w:color w:val="0563C1"/>
                </w:rPr>
                <w:t>SunTrust Bank and formerly known as Branch Banking and Trust Company, Inc.), as trustee (incorporated by reference to</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tcPr>
          <w:p>
            <w:pPr>
              <w:spacing w:after="0" w:line="20" w:lineRule="exact"/>
              <w:rPr>
                <w:sz w:val="1"/>
                <w:szCs w:val="1"/>
                <w:color w:val="auto"/>
              </w:rPr>
            </w:pPr>
          </w:p>
        </w:tc>
        <w:tc>
          <w:tcPr>
            <w:tcW w:w="1260" w:type="dxa"/>
            <w:vAlign w:val="bottom"/>
            <w:tcBorders>
              <w:right w:val="single" w:sz="8" w:color="91BBD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20" w:type="dxa"/>
            <w:vAlign w:val="bottom"/>
            <w:shd w:val="clear" w:color="auto" w:fill="0563C1"/>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24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2"/>
          </w:tcPr>
          <w:p>
            <w:pPr>
              <w:spacing w:after="0" w:line="196" w:lineRule="exact"/>
              <w:rPr>
                <w:rFonts w:ascii="Calibri" w:cs="Calibri" w:eastAsia="Calibri" w:hAnsi="Calibri"/>
                <w:sz w:val="18"/>
                <w:szCs w:val="18"/>
                <w:color w:val="0563C1"/>
              </w:rPr>
            </w:pPr>
            <w:hyperlink r:id="rId667">
              <w:r>
                <w:rPr>
                  <w:rFonts w:ascii="Calibri" w:cs="Calibri" w:eastAsia="Calibri" w:hAnsi="Calibri"/>
                  <w:sz w:val="18"/>
                  <w:szCs w:val="18"/>
                  <w:color w:val="0563C1"/>
                </w:rPr>
                <w:t>Exhibit 4.1 to the Martn Marieta Materials, Inc. Current Report on Form 8-K, fled on April 30, 2007 (Commission File No. 1-</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tcPr>
          <w:p>
            <w:pPr>
              <w:spacing w:after="0" w:line="20" w:lineRule="exact"/>
              <w:rPr>
                <w:sz w:val="1"/>
                <w:szCs w:val="1"/>
                <w:color w:val="auto"/>
              </w:rPr>
            </w:pPr>
          </w:p>
        </w:tc>
        <w:tc>
          <w:tcPr>
            <w:tcW w:w="1260" w:type="dxa"/>
            <w:vAlign w:val="bottom"/>
            <w:tcBorders>
              <w:right w:val="single" w:sz="8" w:color="91BBD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20" w:type="dxa"/>
            <w:vAlign w:val="bottom"/>
            <w:shd w:val="clear" w:color="auto" w:fill="0563C1"/>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24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2260" w:type="dxa"/>
            <w:vAlign w:val="bottom"/>
            <w:gridSpan w:val="3"/>
          </w:tcPr>
          <w:p>
            <w:pPr>
              <w:ind w:left="80"/>
              <w:spacing w:after="0" w:line="196" w:lineRule="exact"/>
              <w:rPr>
                <w:rFonts w:ascii="Calibri" w:cs="Calibri" w:eastAsia="Calibri" w:hAnsi="Calibri"/>
                <w:sz w:val="18"/>
                <w:szCs w:val="18"/>
                <w:color w:val="0563C1"/>
              </w:rPr>
            </w:pPr>
            <w:hyperlink r:id="rId667">
              <w:r>
                <w:rPr>
                  <w:rFonts w:ascii="Calibri" w:cs="Calibri" w:eastAsia="Calibri" w:hAnsi="Calibri"/>
                  <w:sz w:val="18"/>
                  <w:szCs w:val="18"/>
                  <w:color w:val="0563C1"/>
                </w:rPr>
                <w:t>12744))</w:t>
              </w:r>
            </w:hyperlink>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40" w:type="dxa"/>
            <w:vAlign w:val="bottom"/>
            <w:tcBorders>
              <w:left w:val="single" w:sz="8" w:color="91BBD3"/>
              <w:bottom w:val="single" w:sz="8" w:color="91BBD3"/>
            </w:tcBorders>
          </w:tcPr>
          <w:p>
            <w:pPr>
              <w:spacing w:after="0"/>
              <w:rPr>
                <w:sz w:val="2"/>
                <w:szCs w:val="2"/>
                <w:color w:val="auto"/>
              </w:rPr>
            </w:pPr>
          </w:p>
        </w:tc>
        <w:tc>
          <w:tcPr>
            <w:tcW w:w="1260" w:type="dxa"/>
            <w:vAlign w:val="bottom"/>
            <w:tcBorders>
              <w:bottom w:val="single" w:sz="8" w:color="91BBD3"/>
              <w:right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540" w:type="dxa"/>
            <w:vAlign w:val="bottom"/>
            <w:tcBorders>
              <w:top w:val="single" w:sz="8" w:color="0563C1"/>
              <w:bottom w:val="single" w:sz="8" w:color="91BBD3"/>
            </w:tcBorders>
          </w:tcPr>
          <w:p>
            <w:pPr>
              <w:spacing w:after="0"/>
              <w:rPr>
                <w:sz w:val="2"/>
                <w:szCs w:val="2"/>
                <w:color w:val="auto"/>
              </w:rPr>
            </w:pPr>
          </w:p>
        </w:tc>
        <w:tc>
          <w:tcPr>
            <w:tcW w:w="1640" w:type="dxa"/>
            <w:vAlign w:val="bottom"/>
            <w:tcBorders>
              <w:bottom w:val="single" w:sz="8" w:color="91BBD3"/>
            </w:tcBorders>
          </w:tcPr>
          <w:p>
            <w:pPr>
              <w:spacing w:after="0"/>
              <w:rPr>
                <w:sz w:val="2"/>
                <w:szCs w:val="2"/>
                <w:color w:val="auto"/>
              </w:rPr>
            </w:pPr>
          </w:p>
        </w:tc>
        <w:tc>
          <w:tcPr>
            <w:tcW w:w="40" w:type="dxa"/>
            <w:vAlign w:val="bottom"/>
            <w:tcBorders>
              <w:bottom w:val="single" w:sz="8" w:color="91BBD3"/>
            </w:tcBorders>
          </w:tcPr>
          <w:p>
            <w:pPr>
              <w:spacing w:after="0"/>
              <w:rPr>
                <w:sz w:val="2"/>
                <w:szCs w:val="2"/>
                <w:color w:val="auto"/>
              </w:rPr>
            </w:pPr>
          </w:p>
        </w:tc>
        <w:tc>
          <w:tcPr>
            <w:tcW w:w="1020" w:type="dxa"/>
            <w:vAlign w:val="bottom"/>
            <w:tcBorders>
              <w:bottom w:val="single" w:sz="8" w:color="91BBD3"/>
            </w:tcBorders>
          </w:tcPr>
          <w:p>
            <w:pPr>
              <w:spacing w:after="0"/>
              <w:rPr>
                <w:sz w:val="2"/>
                <w:szCs w:val="2"/>
                <w:color w:val="auto"/>
              </w:rPr>
            </w:pPr>
          </w:p>
        </w:tc>
        <w:tc>
          <w:tcPr>
            <w:tcW w:w="132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1640" w:type="dxa"/>
            <w:vAlign w:val="bottom"/>
            <w:tcBorders>
              <w:bottom w:val="single" w:sz="8" w:color="91BBD3"/>
            </w:tcBorders>
          </w:tcPr>
          <w:p>
            <w:pPr>
              <w:spacing w:after="0"/>
              <w:rPr>
                <w:sz w:val="2"/>
                <w:szCs w:val="2"/>
                <w:color w:val="auto"/>
              </w:rPr>
            </w:pPr>
          </w:p>
        </w:tc>
        <w:tc>
          <w:tcPr>
            <w:tcW w:w="2420" w:type="dxa"/>
            <w:vAlign w:val="bottom"/>
            <w:tcBorders>
              <w:bottom w:val="single" w:sz="8" w:color="91BBD3"/>
            </w:tcBorders>
          </w:tcPr>
          <w:p>
            <w:pPr>
              <w:spacing w:after="0"/>
              <w:rPr>
                <w:sz w:val="2"/>
                <w:szCs w:val="2"/>
                <w:color w:val="auto"/>
              </w:rPr>
            </w:pPr>
          </w:p>
        </w:tc>
        <w:tc>
          <w:tcPr>
            <w:tcW w:w="140" w:type="dxa"/>
            <w:vAlign w:val="bottom"/>
            <w:tcBorders>
              <w:bottom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91BBD3"/>
              <w:bottom w:val="single" w:sz="8" w:color="DAE8F0"/>
            </w:tcBorders>
            <w:shd w:val="clear" w:color="auto" w:fill="DAE8F0"/>
          </w:tcPr>
          <w:p>
            <w:pPr>
              <w:jc w:val="right"/>
              <w:spacing w:after="0" w:line="156" w:lineRule="exact"/>
              <w:rPr>
                <w:sz w:val="20"/>
                <w:szCs w:val="20"/>
                <w:color w:val="auto"/>
              </w:rPr>
            </w:pPr>
            <w:r>
              <w:rPr>
                <w:rFonts w:ascii="Calibri" w:cs="Calibri" w:eastAsia="Calibri" w:hAnsi="Calibri"/>
                <w:sz w:val="16"/>
                <w:szCs w:val="16"/>
                <w:b w:val="1"/>
                <w:bCs w:val="1"/>
                <w:color w:val="auto"/>
              </w:rPr>
              <w:t>4.07</w:t>
            </w:r>
          </w:p>
        </w:tc>
        <w:tc>
          <w:tcPr>
            <w:tcW w:w="1260" w:type="dxa"/>
            <w:vAlign w:val="bottom"/>
            <w:tcBorders>
              <w:bottom w:val="single" w:sz="8" w:color="DAE8F0"/>
              <w:right w:val="single" w:sz="8" w:color="91BBD3"/>
            </w:tcBorders>
            <w:shd w:val="clear" w:color="auto" w:fill="DAE8F0"/>
          </w:tcPr>
          <w:p>
            <w:pPr>
              <w:spacing w:after="0"/>
              <w:rPr>
                <w:sz w:val="13"/>
                <w:szCs w:val="13"/>
                <w:color w:val="auto"/>
              </w:rPr>
            </w:pPr>
          </w:p>
        </w:tc>
        <w:tc>
          <w:tcPr>
            <w:tcW w:w="8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1"/>
            <w:shd w:val="clear" w:color="auto" w:fill="DAE8F0"/>
          </w:tcPr>
          <w:p>
            <w:pPr>
              <w:spacing w:after="0" w:line="156" w:lineRule="exact"/>
              <w:rPr>
                <w:rFonts w:ascii="Calibri" w:cs="Calibri" w:eastAsia="Calibri" w:hAnsi="Calibri"/>
                <w:sz w:val="16"/>
                <w:szCs w:val="16"/>
                <w:color w:val="0563C1"/>
              </w:rPr>
            </w:pPr>
            <w:hyperlink r:id="rId668">
              <w:r>
                <w:rPr>
                  <w:rFonts w:ascii="Calibri" w:cs="Calibri" w:eastAsia="Calibri" w:hAnsi="Calibri"/>
                  <w:sz w:val="16"/>
                  <w:szCs w:val="16"/>
                  <w:color w:val="0563C1"/>
                </w:rPr>
                <w:t>Second Supplemental Indenture, dated as of April 30, 2007, between Martn Marieta Materials, Inc. and Truist Bank, as</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bottom w:val="single" w:sz="8" w:color="DAE8F0"/>
            </w:tcBorders>
            <w:shd w:val="clear" w:color="auto" w:fill="DAE8F0"/>
          </w:tcPr>
          <w:p>
            <w:pPr>
              <w:spacing w:after="0"/>
              <w:rPr>
                <w:sz w:val="17"/>
                <w:szCs w:val="17"/>
                <w:color w:val="auto"/>
              </w:rPr>
            </w:pPr>
          </w:p>
        </w:tc>
        <w:tc>
          <w:tcPr>
            <w:tcW w:w="1260" w:type="dxa"/>
            <w:vAlign w:val="bottom"/>
            <w:tcBorders>
              <w:bottom w:val="single" w:sz="8" w:color="DAE8F0"/>
              <w:right w:val="single" w:sz="8" w:color="91BBD3"/>
            </w:tcBorders>
            <w:shd w:val="clear" w:color="auto" w:fill="DAE8F0"/>
          </w:tcPr>
          <w:p>
            <w:pPr>
              <w:spacing w:after="0"/>
              <w:rPr>
                <w:sz w:val="17"/>
                <w:szCs w:val="17"/>
                <w:color w:val="auto"/>
              </w:rPr>
            </w:pPr>
          </w:p>
        </w:tc>
        <w:tc>
          <w:tcPr>
            <w:tcW w:w="8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rPr>
            </w:pPr>
            <w:hyperlink r:id="rId668">
              <w:r>
                <w:rPr>
                  <w:rFonts w:ascii="Calibri" w:cs="Calibri" w:eastAsia="Calibri" w:hAnsi="Calibri"/>
                  <w:sz w:val="18"/>
                  <w:szCs w:val="18"/>
                  <w:color w:val="0563C1"/>
                </w:rPr>
                <w:t>trustee, to that certain Indenture dated as of April 30, 2007 between Martn Marieta Materials, Inc. and Truist Bank, as</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shd w:val="clear" w:color="auto" w:fill="DAE8F0"/>
          </w:tcPr>
          <w:p>
            <w:pPr>
              <w:spacing w:after="0"/>
              <w:rPr>
                <w:sz w:val="17"/>
                <w:szCs w:val="17"/>
                <w:color w:val="auto"/>
              </w:rPr>
            </w:pPr>
          </w:p>
        </w:tc>
        <w:tc>
          <w:tcPr>
            <w:tcW w:w="1260" w:type="dxa"/>
            <w:vAlign w:val="bottom"/>
            <w:tcBorders>
              <w:right w:val="single" w:sz="8" w:color="91BBD3"/>
            </w:tcBorders>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2"/>
            <w:shd w:val="clear" w:color="auto" w:fill="DAE8F0"/>
          </w:tcPr>
          <w:p>
            <w:pPr>
              <w:spacing w:after="0" w:line="196" w:lineRule="exact"/>
              <w:rPr>
                <w:rFonts w:ascii="Calibri" w:cs="Calibri" w:eastAsia="Calibri" w:hAnsi="Calibri"/>
                <w:sz w:val="18"/>
                <w:szCs w:val="18"/>
                <w:color w:val="0563C1"/>
              </w:rPr>
            </w:pPr>
            <w:hyperlink r:id="rId668">
              <w:r>
                <w:rPr>
                  <w:rFonts w:ascii="Calibri" w:cs="Calibri" w:eastAsia="Calibri" w:hAnsi="Calibri"/>
                  <w:sz w:val="18"/>
                  <w:szCs w:val="18"/>
                  <w:color w:val="0563C1"/>
                </w:rPr>
                <w:t xml:space="preserve">trustee, pursuant to which were issued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250,000,000 aggregate principal amount of 6</w:t>
              </w:r>
              <w:r>
                <w:rPr>
                  <w:rFonts w:ascii="Calibri" w:cs="Calibri" w:eastAsia="Calibri" w:hAnsi="Calibri"/>
                  <w:sz w:val="18"/>
                  <w:szCs w:val="18"/>
                  <w:i w:val="1"/>
                  <w:iCs w:val="1"/>
                  <w:color w:val="0563C1"/>
                </w:rPr>
                <w:t>¼%</w:t>
              </w:r>
              <w:r>
                <w:rPr>
                  <w:rFonts w:ascii="Calibri" w:cs="Calibri" w:eastAsia="Calibri" w:hAnsi="Calibri"/>
                  <w:sz w:val="18"/>
                  <w:szCs w:val="18"/>
                  <w:color w:val="0563C1"/>
                </w:rPr>
                <w:t xml:space="preserve"> Senior Notes due 2037 of Martn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shd w:val="clear" w:color="auto" w:fill="DAE8F0"/>
          </w:tcPr>
          <w:p>
            <w:pPr>
              <w:spacing w:after="0" w:line="20" w:lineRule="exact"/>
              <w:rPr>
                <w:sz w:val="1"/>
                <w:szCs w:val="1"/>
                <w:color w:val="auto"/>
              </w:rPr>
            </w:pPr>
          </w:p>
        </w:tc>
        <w:tc>
          <w:tcPr>
            <w:tcW w:w="1260" w:type="dxa"/>
            <w:vAlign w:val="bottom"/>
            <w:tcBorders>
              <w:right w:val="single" w:sz="8" w:color="91BBD3"/>
            </w:tcBorders>
            <w:shd w:val="clear" w:color="auto" w:fill="DAE8F0"/>
          </w:tcPr>
          <w:p>
            <w:pPr>
              <w:spacing w:after="0" w:line="20" w:lineRule="exact"/>
              <w:rPr>
                <w:sz w:val="1"/>
                <w:szCs w:val="1"/>
                <w:color w:val="auto"/>
              </w:rPr>
            </w:pPr>
          </w:p>
        </w:tc>
        <w:tc>
          <w:tcPr>
            <w:tcW w:w="80" w:type="dxa"/>
            <w:vAlign w:val="bottom"/>
            <w:shd w:val="clear" w:color="auto" w:fill="DAE8F0"/>
          </w:tcPr>
          <w:p>
            <w:pPr>
              <w:spacing w:after="0" w:line="20" w:lineRule="exact"/>
              <w:rPr>
                <w:sz w:val="1"/>
                <w:szCs w:val="1"/>
                <w:color w:val="auto"/>
              </w:rPr>
            </w:pPr>
          </w:p>
        </w:tc>
        <w:tc>
          <w:tcPr>
            <w:tcW w:w="218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20" w:type="dxa"/>
            <w:vAlign w:val="bottom"/>
            <w:shd w:val="clear" w:color="auto" w:fill="0563C1"/>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24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bottom w:val="single" w:sz="8" w:color="DAE8F0"/>
            </w:tcBorders>
            <w:shd w:val="clear" w:color="auto" w:fill="DAE8F0"/>
          </w:tcPr>
          <w:p>
            <w:pPr>
              <w:spacing w:after="0"/>
              <w:rPr>
                <w:sz w:val="17"/>
                <w:szCs w:val="17"/>
                <w:color w:val="auto"/>
              </w:rPr>
            </w:pPr>
          </w:p>
        </w:tc>
        <w:tc>
          <w:tcPr>
            <w:tcW w:w="1260" w:type="dxa"/>
            <w:vAlign w:val="bottom"/>
            <w:tcBorders>
              <w:bottom w:val="single" w:sz="8" w:color="DAE8F0"/>
              <w:right w:val="single" w:sz="8" w:color="91BBD3"/>
            </w:tcBorders>
            <w:shd w:val="clear" w:color="auto" w:fill="DAE8F0"/>
          </w:tcPr>
          <w:p>
            <w:pPr>
              <w:spacing w:after="0"/>
              <w:rPr>
                <w:sz w:val="17"/>
                <w:szCs w:val="17"/>
                <w:color w:val="auto"/>
              </w:rPr>
            </w:pPr>
          </w:p>
        </w:tc>
        <w:tc>
          <w:tcPr>
            <w:tcW w:w="8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rPr>
            </w:pPr>
            <w:hyperlink r:id="rId668">
              <w:r>
                <w:rPr>
                  <w:rFonts w:ascii="Calibri" w:cs="Calibri" w:eastAsia="Calibri" w:hAnsi="Calibri"/>
                  <w:sz w:val="18"/>
                  <w:szCs w:val="18"/>
                  <w:color w:val="0563C1"/>
                </w:rPr>
                <w:t>Marieta Materials, Inc. (incorporated by reference to Exhibit 4.3 to the Martn Marieta Materials, Inc. Current Report on</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91BBD3"/>
            </w:tcBorders>
            <w:shd w:val="clear" w:color="auto" w:fill="DAE8F0"/>
          </w:tcPr>
          <w:p>
            <w:pPr>
              <w:spacing w:after="0"/>
              <w:rPr>
                <w:sz w:val="20"/>
                <w:szCs w:val="20"/>
                <w:color w:val="auto"/>
              </w:rPr>
            </w:pPr>
          </w:p>
        </w:tc>
        <w:tc>
          <w:tcPr>
            <w:tcW w:w="1260" w:type="dxa"/>
            <w:vAlign w:val="bottom"/>
            <w:tcBorders>
              <w:right w:val="single" w:sz="8" w:color="91BBD3"/>
            </w:tcBorders>
            <w:shd w:val="clear" w:color="auto" w:fill="DAE8F0"/>
          </w:tcPr>
          <w:p>
            <w:pPr>
              <w:spacing w:after="0"/>
              <w:rPr>
                <w:sz w:val="20"/>
                <w:szCs w:val="20"/>
                <w:color w:val="auto"/>
              </w:rPr>
            </w:pPr>
          </w:p>
        </w:tc>
        <w:tc>
          <w:tcPr>
            <w:tcW w:w="8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2"/>
            <w:shd w:val="clear" w:color="auto" w:fill="DAE8F0"/>
          </w:tcPr>
          <w:p>
            <w:pPr>
              <w:spacing w:after="0" w:line="196" w:lineRule="exact"/>
              <w:rPr>
                <w:rFonts w:ascii="Calibri" w:cs="Calibri" w:eastAsia="Calibri" w:hAnsi="Calibri"/>
                <w:sz w:val="18"/>
                <w:szCs w:val="18"/>
                <w:color w:val="0563C1"/>
              </w:rPr>
            </w:pPr>
            <w:hyperlink r:id="rId668">
              <w:r>
                <w:rPr>
                  <w:rFonts w:ascii="Calibri" w:cs="Calibri" w:eastAsia="Calibri" w:hAnsi="Calibri"/>
                  <w:sz w:val="18"/>
                  <w:szCs w:val="18"/>
                  <w:color w:val="0563C1"/>
                </w:rPr>
                <w:t>Form 8-K, fled on April 30, 2007 (Commission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2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0563C1"/>
            </w:tcBorders>
            <w:shd w:val="clear" w:color="auto" w:fill="91BBD3"/>
          </w:tcPr>
          <w:p>
            <w:pPr>
              <w:spacing w:after="0" w:line="20" w:lineRule="exact"/>
              <w:rPr>
                <w:sz w:val="1"/>
                <w:szCs w:val="1"/>
                <w:color w:val="auto"/>
              </w:rPr>
            </w:pPr>
          </w:p>
        </w:tc>
        <w:tc>
          <w:tcPr>
            <w:tcW w:w="164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1020" w:type="dxa"/>
            <w:vAlign w:val="bottom"/>
            <w:tcBorders>
              <w:top w:val="single" w:sz="8" w:color="0563C1"/>
            </w:tcBorders>
            <w:shd w:val="clear" w:color="auto" w:fill="91BBD3"/>
          </w:tcPr>
          <w:p>
            <w:pPr>
              <w:spacing w:after="0" w:line="20" w:lineRule="exact"/>
              <w:rPr>
                <w:sz w:val="1"/>
                <w:szCs w:val="1"/>
                <w:color w:val="auto"/>
              </w:rPr>
            </w:pPr>
          </w:p>
        </w:tc>
        <w:tc>
          <w:tcPr>
            <w:tcW w:w="132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1640" w:type="dxa"/>
            <w:vAlign w:val="bottom"/>
            <w:tcBorders>
              <w:top w:val="single" w:sz="8" w:color="DAE8F0"/>
            </w:tcBorders>
            <w:shd w:val="clear" w:color="auto" w:fill="91BBD3"/>
          </w:tcPr>
          <w:p>
            <w:pPr>
              <w:spacing w:after="0" w:line="20" w:lineRule="exact"/>
              <w:rPr>
                <w:sz w:val="1"/>
                <w:szCs w:val="1"/>
                <w:color w:val="auto"/>
              </w:rPr>
            </w:pPr>
          </w:p>
        </w:tc>
        <w:tc>
          <w:tcPr>
            <w:tcW w:w="242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Borders>
              <w:left w:val="single" w:sz="8" w:color="91BBD3"/>
            </w:tcBorders>
          </w:tcPr>
          <w:p>
            <w:pPr>
              <w:jc w:val="right"/>
              <w:spacing w:after="0" w:line="156" w:lineRule="exact"/>
              <w:rPr>
                <w:sz w:val="20"/>
                <w:szCs w:val="20"/>
                <w:color w:val="auto"/>
              </w:rPr>
            </w:pPr>
            <w:r>
              <w:rPr>
                <w:rFonts w:ascii="Calibri" w:cs="Calibri" w:eastAsia="Calibri" w:hAnsi="Calibri"/>
                <w:sz w:val="16"/>
                <w:szCs w:val="16"/>
                <w:b w:val="1"/>
                <w:bCs w:val="1"/>
                <w:color w:val="auto"/>
              </w:rPr>
              <w:t>4.08</w:t>
            </w:r>
          </w:p>
        </w:tc>
        <w:tc>
          <w:tcPr>
            <w:tcW w:w="1260" w:type="dxa"/>
            <w:vAlign w:val="bottom"/>
            <w:tcBorders>
              <w:right w:val="single" w:sz="8" w:color="91BBD3"/>
            </w:tcBorders>
          </w:tcPr>
          <w:p>
            <w:pPr>
              <w:spacing w:after="0"/>
              <w:rPr>
                <w:sz w:val="13"/>
                <w:szCs w:val="13"/>
                <w:color w:val="auto"/>
              </w:rPr>
            </w:pPr>
          </w:p>
        </w:tc>
        <w:tc>
          <w:tcPr>
            <w:tcW w:w="80" w:type="dxa"/>
            <w:vAlign w:val="bottom"/>
          </w:tcPr>
          <w:p>
            <w:pPr>
              <w:spacing w:after="0"/>
              <w:rPr>
                <w:sz w:val="13"/>
                <w:szCs w:val="13"/>
                <w:color w:val="auto"/>
              </w:rPr>
            </w:pPr>
          </w:p>
        </w:tc>
        <w:tc>
          <w:tcPr>
            <w:tcW w:w="9120" w:type="dxa"/>
            <w:vAlign w:val="bottom"/>
            <w:tcBorders>
              <w:right w:val="single" w:sz="8" w:color="91BBD3"/>
            </w:tcBorders>
            <w:gridSpan w:val="12"/>
          </w:tcPr>
          <w:p>
            <w:pPr>
              <w:spacing w:after="0" w:line="156" w:lineRule="exact"/>
              <w:rPr>
                <w:rFonts w:ascii="Calibri" w:cs="Calibri" w:eastAsia="Calibri" w:hAnsi="Calibri"/>
                <w:sz w:val="16"/>
                <w:szCs w:val="16"/>
                <w:color w:val="0563C1"/>
              </w:rPr>
            </w:pPr>
            <w:hyperlink r:id="rId669">
              <w:r>
                <w:rPr>
                  <w:rFonts w:ascii="Calibri" w:cs="Calibri" w:eastAsia="Calibri" w:hAnsi="Calibri"/>
                  <w:sz w:val="16"/>
                  <w:szCs w:val="16"/>
                  <w:color w:val="0563C1"/>
                </w:rPr>
                <w:t>Purchase Agreement dated as of June 23, 2014 among Martn Marieta Materials, Inc. and Deutsche Bank Securites Inc. and</w:t>
              </w:r>
            </w:hyperlink>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tcPr>
          <w:p>
            <w:pPr>
              <w:spacing w:after="0" w:line="20" w:lineRule="exact"/>
              <w:rPr>
                <w:sz w:val="1"/>
                <w:szCs w:val="1"/>
                <w:color w:val="auto"/>
              </w:rPr>
            </w:pPr>
          </w:p>
        </w:tc>
        <w:tc>
          <w:tcPr>
            <w:tcW w:w="1260" w:type="dxa"/>
            <w:vAlign w:val="bottom"/>
            <w:tcBorders>
              <w:right w:val="single" w:sz="8" w:color="91BBD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20" w:type="dxa"/>
            <w:vAlign w:val="bottom"/>
            <w:shd w:val="clear" w:color="auto" w:fill="0563C1"/>
          </w:tcPr>
          <w:p>
            <w:pPr>
              <w:spacing w:after="0" w:line="20" w:lineRule="exact"/>
              <w:rPr>
                <w:sz w:val="1"/>
                <w:szCs w:val="1"/>
                <w:color w:val="auto"/>
              </w:rPr>
            </w:pPr>
          </w:p>
        </w:tc>
        <w:tc>
          <w:tcPr>
            <w:tcW w:w="13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24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w w:val="99"/>
              </w:rPr>
            </w:pPr>
            <w:hyperlink r:id="rId669">
              <w:r>
                <w:rPr>
                  <w:rFonts w:ascii="Calibri" w:cs="Calibri" w:eastAsia="Calibri" w:hAnsi="Calibri"/>
                  <w:sz w:val="18"/>
                  <w:szCs w:val="18"/>
                  <w:color w:val="0563C1"/>
                  <w:w w:val="99"/>
                </w:rPr>
                <w:t>J.P. Morgan Securites LLC, as representatves of the several inital purchasers named in Schedule 1 thereto (incorporated by</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2"/>
          </w:tcPr>
          <w:p>
            <w:pPr>
              <w:spacing w:after="0" w:line="196" w:lineRule="exact"/>
              <w:rPr>
                <w:rFonts w:ascii="Calibri" w:cs="Calibri" w:eastAsia="Calibri" w:hAnsi="Calibri"/>
                <w:sz w:val="18"/>
                <w:szCs w:val="18"/>
                <w:color w:val="0563C1"/>
                <w:w w:val="98"/>
              </w:rPr>
            </w:pPr>
            <w:hyperlink r:id="rId669">
              <w:r>
                <w:rPr>
                  <w:rFonts w:ascii="Calibri" w:cs="Calibri" w:eastAsia="Calibri" w:hAnsi="Calibri"/>
                  <w:sz w:val="18"/>
                  <w:szCs w:val="18"/>
                  <w:color w:val="0563C1"/>
                  <w:w w:val="98"/>
                </w:rPr>
                <w:t>reference to Exhibit 10.1 of the Company’s Current Report on Form 8-K, fled on June 24, 2014)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40" w:type="dxa"/>
            <w:vAlign w:val="bottom"/>
            <w:tcBorders>
              <w:left w:val="single" w:sz="8" w:color="91BBD3"/>
              <w:bottom w:val="single" w:sz="8" w:color="91BBD3"/>
            </w:tcBorders>
          </w:tcPr>
          <w:p>
            <w:pPr>
              <w:spacing w:after="0"/>
              <w:rPr>
                <w:sz w:val="2"/>
                <w:szCs w:val="2"/>
                <w:color w:val="auto"/>
              </w:rPr>
            </w:pPr>
          </w:p>
        </w:tc>
        <w:tc>
          <w:tcPr>
            <w:tcW w:w="1260" w:type="dxa"/>
            <w:vAlign w:val="bottom"/>
            <w:tcBorders>
              <w:bottom w:val="single" w:sz="8" w:color="91BBD3"/>
              <w:right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540" w:type="dxa"/>
            <w:vAlign w:val="bottom"/>
            <w:tcBorders>
              <w:top w:val="single" w:sz="8" w:color="0563C1"/>
              <w:bottom w:val="single" w:sz="8" w:color="91BBD3"/>
            </w:tcBorders>
          </w:tcPr>
          <w:p>
            <w:pPr>
              <w:spacing w:after="0"/>
              <w:rPr>
                <w:sz w:val="2"/>
                <w:szCs w:val="2"/>
                <w:color w:val="auto"/>
              </w:rPr>
            </w:pPr>
          </w:p>
        </w:tc>
        <w:tc>
          <w:tcPr>
            <w:tcW w:w="1640" w:type="dxa"/>
            <w:vAlign w:val="bottom"/>
            <w:tcBorders>
              <w:top w:val="single" w:sz="8" w:color="0563C1"/>
              <w:bottom w:val="single" w:sz="8" w:color="91BBD3"/>
            </w:tcBorders>
          </w:tcPr>
          <w:p>
            <w:pPr>
              <w:spacing w:after="0"/>
              <w:rPr>
                <w:sz w:val="2"/>
                <w:szCs w:val="2"/>
                <w:color w:val="auto"/>
              </w:rPr>
            </w:pPr>
          </w:p>
        </w:tc>
        <w:tc>
          <w:tcPr>
            <w:tcW w:w="40" w:type="dxa"/>
            <w:vAlign w:val="bottom"/>
            <w:tcBorders>
              <w:top w:val="single" w:sz="8" w:color="0563C1"/>
              <w:bottom w:val="single" w:sz="8" w:color="91BBD3"/>
            </w:tcBorders>
          </w:tcPr>
          <w:p>
            <w:pPr>
              <w:spacing w:after="0"/>
              <w:rPr>
                <w:sz w:val="2"/>
                <w:szCs w:val="2"/>
                <w:color w:val="auto"/>
              </w:rPr>
            </w:pPr>
          </w:p>
        </w:tc>
        <w:tc>
          <w:tcPr>
            <w:tcW w:w="1020" w:type="dxa"/>
            <w:vAlign w:val="bottom"/>
            <w:tcBorders>
              <w:top w:val="single" w:sz="8" w:color="0563C1"/>
              <w:bottom w:val="single" w:sz="8" w:color="91BBD3"/>
            </w:tcBorders>
          </w:tcPr>
          <w:p>
            <w:pPr>
              <w:spacing w:after="0"/>
              <w:rPr>
                <w:sz w:val="2"/>
                <w:szCs w:val="2"/>
                <w:color w:val="auto"/>
              </w:rPr>
            </w:pPr>
          </w:p>
        </w:tc>
        <w:tc>
          <w:tcPr>
            <w:tcW w:w="1320" w:type="dxa"/>
            <w:vAlign w:val="bottom"/>
            <w:tcBorders>
              <w:top w:val="single" w:sz="8" w:color="0563C1"/>
              <w:bottom w:val="single" w:sz="8" w:color="91BBD3"/>
            </w:tcBorders>
          </w:tcPr>
          <w:p>
            <w:pPr>
              <w:spacing w:after="0"/>
              <w:rPr>
                <w:sz w:val="2"/>
                <w:szCs w:val="2"/>
                <w:color w:val="auto"/>
              </w:rPr>
            </w:pPr>
          </w:p>
        </w:tc>
        <w:tc>
          <w:tcPr>
            <w:tcW w:w="20" w:type="dxa"/>
            <w:vAlign w:val="bottom"/>
            <w:tcBorders>
              <w:top w:val="single" w:sz="8" w:color="0563C1"/>
              <w:bottom w:val="single" w:sz="8" w:color="91BBD3"/>
            </w:tcBorders>
          </w:tcPr>
          <w:p>
            <w:pPr>
              <w:spacing w:after="0"/>
              <w:rPr>
                <w:sz w:val="2"/>
                <w:szCs w:val="2"/>
                <w:color w:val="auto"/>
              </w:rPr>
            </w:pPr>
          </w:p>
        </w:tc>
        <w:tc>
          <w:tcPr>
            <w:tcW w:w="100" w:type="dxa"/>
            <w:vAlign w:val="bottom"/>
            <w:tcBorders>
              <w:top w:val="single" w:sz="8" w:color="0563C1"/>
              <w:bottom w:val="single" w:sz="8" w:color="91BBD3"/>
            </w:tcBorders>
          </w:tcPr>
          <w:p>
            <w:pPr>
              <w:spacing w:after="0"/>
              <w:rPr>
                <w:sz w:val="2"/>
                <w:szCs w:val="2"/>
                <w:color w:val="auto"/>
              </w:rPr>
            </w:pPr>
          </w:p>
        </w:tc>
        <w:tc>
          <w:tcPr>
            <w:tcW w:w="1640" w:type="dxa"/>
            <w:vAlign w:val="bottom"/>
            <w:tcBorders>
              <w:top w:val="single" w:sz="8" w:color="0563C1"/>
              <w:bottom w:val="single" w:sz="8" w:color="91BBD3"/>
            </w:tcBorders>
          </w:tcPr>
          <w:p>
            <w:pPr>
              <w:spacing w:after="0"/>
              <w:rPr>
                <w:sz w:val="2"/>
                <w:szCs w:val="2"/>
                <w:color w:val="auto"/>
              </w:rPr>
            </w:pPr>
          </w:p>
        </w:tc>
        <w:tc>
          <w:tcPr>
            <w:tcW w:w="2420" w:type="dxa"/>
            <w:vAlign w:val="bottom"/>
            <w:tcBorders>
              <w:top w:val="single" w:sz="8" w:color="0563C1"/>
              <w:bottom w:val="single" w:sz="8" w:color="91BBD3"/>
            </w:tcBorders>
          </w:tcPr>
          <w:p>
            <w:pPr>
              <w:spacing w:after="0"/>
              <w:rPr>
                <w:sz w:val="2"/>
                <w:szCs w:val="2"/>
                <w:color w:val="auto"/>
              </w:rPr>
            </w:pPr>
          </w:p>
        </w:tc>
        <w:tc>
          <w:tcPr>
            <w:tcW w:w="140" w:type="dxa"/>
            <w:vAlign w:val="bottom"/>
            <w:tcBorders>
              <w:top w:val="single" w:sz="8" w:color="0563C1"/>
              <w:bottom w:val="single" w:sz="8" w:color="91BBD3"/>
            </w:tcBorders>
          </w:tcPr>
          <w:p>
            <w:pPr>
              <w:spacing w:after="0"/>
              <w:rPr>
                <w:sz w:val="2"/>
                <w:szCs w:val="2"/>
                <w:color w:val="auto"/>
              </w:rPr>
            </w:pPr>
          </w:p>
        </w:tc>
        <w:tc>
          <w:tcPr>
            <w:tcW w:w="100" w:type="dxa"/>
            <w:vAlign w:val="bottom"/>
            <w:tcBorders>
              <w:top w:val="single" w:sz="8" w:color="0563C1"/>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91BBD3"/>
              <w:bottom w:val="single" w:sz="8" w:color="DAE8F0"/>
            </w:tcBorders>
            <w:shd w:val="clear" w:color="auto" w:fill="DAE8F0"/>
          </w:tcPr>
          <w:p>
            <w:pPr>
              <w:jc w:val="right"/>
              <w:spacing w:after="0" w:line="156" w:lineRule="exact"/>
              <w:rPr>
                <w:sz w:val="20"/>
                <w:szCs w:val="20"/>
                <w:color w:val="auto"/>
              </w:rPr>
            </w:pPr>
            <w:r>
              <w:rPr>
                <w:rFonts w:ascii="Calibri" w:cs="Calibri" w:eastAsia="Calibri" w:hAnsi="Calibri"/>
                <w:sz w:val="16"/>
                <w:szCs w:val="16"/>
                <w:b w:val="1"/>
                <w:bCs w:val="1"/>
                <w:color w:val="auto"/>
              </w:rPr>
              <w:t>4.09</w:t>
            </w:r>
          </w:p>
        </w:tc>
        <w:tc>
          <w:tcPr>
            <w:tcW w:w="1260" w:type="dxa"/>
            <w:vAlign w:val="bottom"/>
            <w:tcBorders>
              <w:bottom w:val="single" w:sz="8" w:color="DAE8F0"/>
              <w:right w:val="single" w:sz="8" w:color="91BBD3"/>
            </w:tcBorders>
            <w:shd w:val="clear" w:color="auto" w:fill="DAE8F0"/>
          </w:tcPr>
          <w:p>
            <w:pPr>
              <w:spacing w:after="0"/>
              <w:rPr>
                <w:sz w:val="13"/>
                <w:szCs w:val="13"/>
                <w:color w:val="auto"/>
              </w:rPr>
            </w:pPr>
          </w:p>
        </w:tc>
        <w:tc>
          <w:tcPr>
            <w:tcW w:w="80" w:type="dxa"/>
            <w:vAlign w:val="bottom"/>
            <w:tcBorders>
              <w:bottom w:val="single" w:sz="8" w:color="DAE8F0"/>
            </w:tcBorders>
            <w:shd w:val="clear" w:color="auto" w:fill="DAE8F0"/>
          </w:tcPr>
          <w:p>
            <w:pPr>
              <w:spacing w:after="0"/>
              <w:rPr>
                <w:sz w:val="13"/>
                <w:szCs w:val="13"/>
                <w:color w:val="auto"/>
              </w:rPr>
            </w:pPr>
          </w:p>
        </w:tc>
        <w:tc>
          <w:tcPr>
            <w:tcW w:w="9120" w:type="dxa"/>
            <w:vAlign w:val="bottom"/>
            <w:tcBorders>
              <w:bottom w:val="single" w:sz="8" w:color="0563C1"/>
              <w:right w:val="single" w:sz="8" w:color="91BBD3"/>
            </w:tcBorders>
            <w:gridSpan w:val="12"/>
            <w:shd w:val="clear" w:color="auto" w:fill="DAE8F0"/>
          </w:tcPr>
          <w:p>
            <w:pPr>
              <w:spacing w:after="0" w:line="156" w:lineRule="exact"/>
              <w:rPr>
                <w:rFonts w:ascii="Calibri" w:cs="Calibri" w:eastAsia="Calibri" w:hAnsi="Calibri"/>
                <w:sz w:val="16"/>
                <w:szCs w:val="16"/>
                <w:color w:val="0563C1"/>
              </w:rPr>
            </w:pPr>
            <w:hyperlink r:id="rId670">
              <w:r>
                <w:rPr>
                  <w:rFonts w:ascii="Calibri" w:cs="Calibri" w:eastAsia="Calibri" w:hAnsi="Calibri"/>
                  <w:sz w:val="16"/>
                  <w:szCs w:val="16"/>
                  <w:color w:val="0563C1"/>
                </w:rPr>
                <w:t>Indenture, dated as of July 2, 2014, between Martn Marieta Materials, Inc. and Regions Bank, as trustee (incorporated by</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40" w:type="dxa"/>
            <w:vAlign w:val="bottom"/>
            <w:tcBorders>
              <w:left w:val="single" w:sz="8" w:color="91BBD3"/>
            </w:tcBorders>
            <w:shd w:val="clear" w:color="auto" w:fill="DAE8F0"/>
          </w:tcPr>
          <w:p>
            <w:pPr>
              <w:spacing w:after="0"/>
              <w:rPr>
                <w:sz w:val="21"/>
                <w:szCs w:val="21"/>
                <w:color w:val="auto"/>
              </w:rPr>
            </w:pPr>
          </w:p>
        </w:tc>
        <w:tc>
          <w:tcPr>
            <w:tcW w:w="1260" w:type="dxa"/>
            <w:vAlign w:val="bottom"/>
            <w:tcBorders>
              <w:right w:val="single" w:sz="8" w:color="91BBD3"/>
            </w:tcBorders>
            <w:shd w:val="clear" w:color="auto" w:fill="DAE8F0"/>
          </w:tcPr>
          <w:p>
            <w:pPr>
              <w:spacing w:after="0"/>
              <w:rPr>
                <w:sz w:val="21"/>
                <w:szCs w:val="21"/>
                <w:color w:val="auto"/>
              </w:rPr>
            </w:pPr>
          </w:p>
        </w:tc>
        <w:tc>
          <w:tcPr>
            <w:tcW w:w="8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2"/>
            <w:shd w:val="clear" w:color="auto" w:fill="DAE8F0"/>
          </w:tcPr>
          <w:p>
            <w:pPr>
              <w:spacing w:after="0" w:line="196" w:lineRule="exact"/>
              <w:rPr>
                <w:rFonts w:ascii="Calibri" w:cs="Calibri" w:eastAsia="Calibri" w:hAnsi="Calibri"/>
                <w:sz w:val="18"/>
                <w:szCs w:val="18"/>
                <w:color w:val="0563C1"/>
              </w:rPr>
            </w:pPr>
            <w:hyperlink r:id="rId670">
              <w:r>
                <w:rPr>
                  <w:rFonts w:ascii="Calibri" w:cs="Calibri" w:eastAsia="Calibri" w:hAnsi="Calibri"/>
                  <w:sz w:val="18"/>
                  <w:szCs w:val="18"/>
                  <w:color w:val="0563C1"/>
                </w:rPr>
                <w:t>reference to Exhibit 4.1 of the Company’s Current Report on Form 8-K, fled on July 2, 2014)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40" w:type="dxa"/>
            <w:vAlign w:val="bottom"/>
            <w:tcBorders>
              <w:top w:val="single" w:sz="8" w:color="91BBD3"/>
              <w:left w:val="single" w:sz="8" w:color="91BBD3"/>
            </w:tcBorders>
          </w:tcPr>
          <w:p>
            <w:pPr>
              <w:jc w:val="right"/>
              <w:spacing w:after="0" w:line="156" w:lineRule="exact"/>
              <w:rPr>
                <w:sz w:val="20"/>
                <w:szCs w:val="20"/>
                <w:color w:val="auto"/>
              </w:rPr>
            </w:pPr>
            <w:r>
              <w:rPr>
                <w:rFonts w:ascii="Calibri" w:cs="Calibri" w:eastAsia="Calibri" w:hAnsi="Calibri"/>
                <w:sz w:val="16"/>
                <w:szCs w:val="16"/>
                <w:b w:val="1"/>
                <w:bCs w:val="1"/>
                <w:color w:val="auto"/>
              </w:rPr>
              <w:t>4.10</w:t>
            </w:r>
          </w:p>
        </w:tc>
        <w:tc>
          <w:tcPr>
            <w:tcW w:w="1260" w:type="dxa"/>
            <w:vAlign w:val="bottom"/>
            <w:tcBorders>
              <w:top w:val="single" w:sz="8" w:color="91BBD3"/>
              <w:right w:val="single" w:sz="8" w:color="91BBD3"/>
            </w:tcBorders>
          </w:tcPr>
          <w:p>
            <w:pPr>
              <w:spacing w:after="0"/>
              <w:rPr>
                <w:sz w:val="13"/>
                <w:szCs w:val="13"/>
                <w:color w:val="auto"/>
              </w:rPr>
            </w:pPr>
          </w:p>
        </w:tc>
        <w:tc>
          <w:tcPr>
            <w:tcW w:w="80" w:type="dxa"/>
            <w:vAlign w:val="bottom"/>
            <w:tcBorders>
              <w:top w:val="single" w:sz="8" w:color="91BBD3"/>
            </w:tcBorders>
          </w:tcPr>
          <w:p>
            <w:pPr>
              <w:spacing w:after="0"/>
              <w:rPr>
                <w:sz w:val="13"/>
                <w:szCs w:val="13"/>
                <w:color w:val="auto"/>
              </w:rPr>
            </w:pPr>
          </w:p>
        </w:tc>
        <w:tc>
          <w:tcPr>
            <w:tcW w:w="8740" w:type="dxa"/>
            <w:vAlign w:val="bottom"/>
            <w:tcBorders>
              <w:top w:val="single" w:sz="8" w:color="0563C1"/>
            </w:tcBorders>
            <w:gridSpan w:val="9"/>
          </w:tcPr>
          <w:p>
            <w:pPr>
              <w:spacing w:after="0" w:line="156" w:lineRule="exact"/>
              <w:rPr>
                <w:rFonts w:ascii="Calibri" w:cs="Calibri" w:eastAsia="Calibri" w:hAnsi="Calibri"/>
                <w:sz w:val="16"/>
                <w:szCs w:val="16"/>
                <w:color w:val="0563C1"/>
              </w:rPr>
            </w:pPr>
            <w:hyperlink r:id="rId670">
              <w:r>
                <w:rPr>
                  <w:rFonts w:ascii="Calibri" w:cs="Calibri" w:eastAsia="Calibri" w:hAnsi="Calibri"/>
                  <w:sz w:val="16"/>
                  <w:szCs w:val="16"/>
                  <w:color w:val="0563C1"/>
                </w:rPr>
                <w:t>Form of 4.250% Senior Notes due 2024 (included in Exhibit 4.09)</w:t>
              </w:r>
            </w:hyperlink>
          </w:p>
        </w:tc>
        <w:tc>
          <w:tcPr>
            <w:tcW w:w="380" w:type="dxa"/>
            <w:vAlign w:val="bottom"/>
            <w:tcBorders>
              <w:top w:val="single" w:sz="8" w:color="91BBD3"/>
              <w:right w:val="single" w:sz="8" w:color="91BBD3"/>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91BBD3"/>
              <w:bottom w:val="single" w:sz="8" w:color="91BBD3"/>
            </w:tcBorders>
          </w:tcPr>
          <w:p>
            <w:pPr>
              <w:spacing w:after="0"/>
              <w:rPr>
                <w:sz w:val="4"/>
                <w:szCs w:val="4"/>
                <w:color w:val="auto"/>
              </w:rPr>
            </w:pPr>
          </w:p>
        </w:tc>
        <w:tc>
          <w:tcPr>
            <w:tcW w:w="1260" w:type="dxa"/>
            <w:vAlign w:val="bottom"/>
            <w:tcBorders>
              <w:bottom w:val="single" w:sz="8" w:color="91BBD3"/>
              <w:right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540" w:type="dxa"/>
            <w:vAlign w:val="bottom"/>
            <w:tcBorders>
              <w:top w:val="single" w:sz="8" w:color="0563C1"/>
              <w:bottom w:val="single" w:sz="8" w:color="91BBD3"/>
            </w:tcBorders>
          </w:tcPr>
          <w:p>
            <w:pPr>
              <w:spacing w:after="0"/>
              <w:rPr>
                <w:sz w:val="4"/>
                <w:szCs w:val="4"/>
                <w:color w:val="auto"/>
              </w:rPr>
            </w:pPr>
          </w:p>
        </w:tc>
        <w:tc>
          <w:tcPr>
            <w:tcW w:w="1640" w:type="dxa"/>
            <w:vAlign w:val="bottom"/>
            <w:tcBorders>
              <w:top w:val="single" w:sz="8" w:color="0563C1"/>
              <w:bottom w:val="single" w:sz="8" w:color="91BBD3"/>
            </w:tcBorders>
          </w:tcPr>
          <w:p>
            <w:pPr>
              <w:spacing w:after="0"/>
              <w:rPr>
                <w:sz w:val="4"/>
                <w:szCs w:val="4"/>
                <w:color w:val="auto"/>
              </w:rPr>
            </w:pPr>
          </w:p>
        </w:tc>
        <w:tc>
          <w:tcPr>
            <w:tcW w:w="40" w:type="dxa"/>
            <w:vAlign w:val="bottom"/>
            <w:tcBorders>
              <w:top w:val="single" w:sz="8" w:color="0563C1"/>
              <w:bottom w:val="single" w:sz="8" w:color="91BBD3"/>
            </w:tcBorders>
          </w:tcPr>
          <w:p>
            <w:pPr>
              <w:spacing w:after="0"/>
              <w:rPr>
                <w:sz w:val="4"/>
                <w:szCs w:val="4"/>
                <w:color w:val="auto"/>
              </w:rPr>
            </w:pPr>
          </w:p>
        </w:tc>
        <w:tc>
          <w:tcPr>
            <w:tcW w:w="1020" w:type="dxa"/>
            <w:vAlign w:val="bottom"/>
            <w:tcBorders>
              <w:top w:val="single" w:sz="8" w:color="0563C1"/>
              <w:bottom w:val="single" w:sz="8" w:color="91BBD3"/>
            </w:tcBorders>
          </w:tcPr>
          <w:p>
            <w:pPr>
              <w:spacing w:after="0"/>
              <w:rPr>
                <w:sz w:val="4"/>
                <w:szCs w:val="4"/>
                <w:color w:val="auto"/>
              </w:rPr>
            </w:pPr>
          </w:p>
        </w:tc>
        <w:tc>
          <w:tcPr>
            <w:tcW w:w="1320" w:type="dxa"/>
            <w:vAlign w:val="bottom"/>
            <w:tcBorders>
              <w:top w:val="single" w:sz="8" w:color="0563C1"/>
              <w:bottom w:val="single" w:sz="8" w:color="91BBD3"/>
            </w:tcBorders>
          </w:tcPr>
          <w:p>
            <w:pPr>
              <w:spacing w:after="0"/>
              <w:rPr>
                <w:sz w:val="4"/>
                <w:szCs w:val="4"/>
                <w:color w:val="auto"/>
              </w:rPr>
            </w:pPr>
          </w:p>
        </w:tc>
        <w:tc>
          <w:tcPr>
            <w:tcW w:w="20" w:type="dxa"/>
            <w:vAlign w:val="bottom"/>
            <w:tcBorders>
              <w:top w:val="single" w:sz="8" w:color="0563C1"/>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242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91BBD3"/>
              <w:bottom w:val="single" w:sz="8" w:color="DAE8F0"/>
            </w:tcBorders>
            <w:shd w:val="clear" w:color="auto" w:fill="DAE8F0"/>
          </w:tcPr>
          <w:p>
            <w:pPr>
              <w:jc w:val="right"/>
              <w:spacing w:after="0" w:line="156" w:lineRule="exact"/>
              <w:rPr>
                <w:sz w:val="20"/>
                <w:szCs w:val="20"/>
                <w:color w:val="auto"/>
              </w:rPr>
            </w:pPr>
            <w:r>
              <w:rPr>
                <w:rFonts w:ascii="Calibri" w:cs="Calibri" w:eastAsia="Calibri" w:hAnsi="Calibri"/>
                <w:sz w:val="16"/>
                <w:szCs w:val="16"/>
                <w:b w:val="1"/>
                <w:bCs w:val="1"/>
                <w:color w:val="auto"/>
              </w:rPr>
              <w:t>4.11</w:t>
            </w:r>
          </w:p>
        </w:tc>
        <w:tc>
          <w:tcPr>
            <w:tcW w:w="1260" w:type="dxa"/>
            <w:vAlign w:val="bottom"/>
            <w:tcBorders>
              <w:bottom w:val="single" w:sz="8" w:color="DAE8F0"/>
              <w:right w:val="single" w:sz="8" w:color="91BBD3"/>
            </w:tcBorders>
            <w:shd w:val="clear" w:color="auto" w:fill="DAE8F0"/>
          </w:tcPr>
          <w:p>
            <w:pPr>
              <w:spacing w:after="0"/>
              <w:rPr>
                <w:sz w:val="13"/>
                <w:szCs w:val="13"/>
                <w:color w:val="auto"/>
              </w:rPr>
            </w:pPr>
          </w:p>
        </w:tc>
        <w:tc>
          <w:tcPr>
            <w:tcW w:w="8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1"/>
            <w:shd w:val="clear" w:color="auto" w:fill="DAE8F0"/>
          </w:tcPr>
          <w:p>
            <w:pPr>
              <w:spacing w:after="0" w:line="156" w:lineRule="exact"/>
              <w:rPr>
                <w:rFonts w:ascii="Calibri" w:cs="Calibri" w:eastAsia="Calibri" w:hAnsi="Calibri"/>
                <w:sz w:val="16"/>
                <w:szCs w:val="16"/>
                <w:color w:val="0563C1"/>
              </w:rPr>
            </w:pPr>
            <w:hyperlink r:id="rId671">
              <w:r>
                <w:rPr>
                  <w:rFonts w:ascii="Calibri" w:cs="Calibri" w:eastAsia="Calibri" w:hAnsi="Calibri"/>
                  <w:sz w:val="16"/>
                  <w:szCs w:val="16"/>
                  <w:color w:val="0563C1"/>
                </w:rPr>
                <w:t>Indenture, dated as of May 22, 2017, between Martn Marieta Materials, Inc. and Regions Bank, as trustee (incorporated by</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91BBD3"/>
            </w:tcBorders>
            <w:shd w:val="clear" w:color="auto" w:fill="DAE8F0"/>
          </w:tcPr>
          <w:p>
            <w:pPr>
              <w:spacing w:after="0"/>
              <w:rPr>
                <w:sz w:val="20"/>
                <w:szCs w:val="20"/>
                <w:color w:val="auto"/>
              </w:rPr>
            </w:pPr>
          </w:p>
        </w:tc>
        <w:tc>
          <w:tcPr>
            <w:tcW w:w="1260" w:type="dxa"/>
            <w:vAlign w:val="bottom"/>
            <w:tcBorders>
              <w:right w:val="single" w:sz="8" w:color="91BBD3"/>
            </w:tcBorders>
            <w:shd w:val="clear" w:color="auto" w:fill="DAE8F0"/>
          </w:tcPr>
          <w:p>
            <w:pPr>
              <w:spacing w:after="0"/>
              <w:rPr>
                <w:sz w:val="20"/>
                <w:szCs w:val="20"/>
                <w:color w:val="auto"/>
              </w:rPr>
            </w:pPr>
          </w:p>
        </w:tc>
        <w:tc>
          <w:tcPr>
            <w:tcW w:w="8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2"/>
            <w:shd w:val="clear" w:color="auto" w:fill="DAE8F0"/>
          </w:tcPr>
          <w:p>
            <w:pPr>
              <w:spacing w:after="0" w:line="196" w:lineRule="exact"/>
              <w:rPr>
                <w:rFonts w:ascii="Calibri" w:cs="Calibri" w:eastAsia="Calibri" w:hAnsi="Calibri"/>
                <w:sz w:val="18"/>
                <w:szCs w:val="18"/>
                <w:color w:val="0563C1"/>
              </w:rPr>
            </w:pPr>
            <w:hyperlink r:id="rId671">
              <w:r>
                <w:rPr>
                  <w:rFonts w:ascii="Calibri" w:cs="Calibri" w:eastAsia="Calibri" w:hAnsi="Calibri"/>
                  <w:sz w:val="18"/>
                  <w:szCs w:val="18"/>
                  <w:color w:val="0563C1"/>
                </w:rPr>
                <w:t>reference to Exhibit 4.1 of the Company’s Current Report on Form 8-K, fled on May 22, 2017) (Commission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2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0563C1"/>
            </w:tcBorders>
            <w:shd w:val="clear" w:color="auto" w:fill="91BBD3"/>
          </w:tcPr>
          <w:p>
            <w:pPr>
              <w:spacing w:after="0" w:line="20" w:lineRule="exact"/>
              <w:rPr>
                <w:sz w:val="1"/>
                <w:szCs w:val="1"/>
                <w:color w:val="auto"/>
              </w:rPr>
            </w:pPr>
          </w:p>
        </w:tc>
        <w:tc>
          <w:tcPr>
            <w:tcW w:w="164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1020" w:type="dxa"/>
            <w:vAlign w:val="bottom"/>
            <w:tcBorders>
              <w:top w:val="single" w:sz="8" w:color="0563C1"/>
            </w:tcBorders>
            <w:shd w:val="clear" w:color="auto" w:fill="91BBD3"/>
          </w:tcPr>
          <w:p>
            <w:pPr>
              <w:spacing w:after="0" w:line="20" w:lineRule="exact"/>
              <w:rPr>
                <w:sz w:val="1"/>
                <w:szCs w:val="1"/>
                <w:color w:val="auto"/>
              </w:rPr>
            </w:pPr>
          </w:p>
        </w:tc>
        <w:tc>
          <w:tcPr>
            <w:tcW w:w="132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100" w:type="dxa"/>
            <w:vAlign w:val="bottom"/>
            <w:tcBorders>
              <w:top w:val="single" w:sz="8" w:color="0563C1"/>
            </w:tcBorders>
            <w:shd w:val="clear" w:color="auto" w:fill="91BBD3"/>
          </w:tcPr>
          <w:p>
            <w:pPr>
              <w:spacing w:after="0" w:line="20" w:lineRule="exact"/>
              <w:rPr>
                <w:sz w:val="1"/>
                <w:szCs w:val="1"/>
                <w:color w:val="auto"/>
              </w:rPr>
            </w:pPr>
          </w:p>
        </w:tc>
        <w:tc>
          <w:tcPr>
            <w:tcW w:w="1640" w:type="dxa"/>
            <w:vAlign w:val="bottom"/>
            <w:tcBorders>
              <w:top w:val="single" w:sz="8" w:color="0563C1"/>
            </w:tcBorders>
            <w:shd w:val="clear" w:color="auto" w:fill="91BBD3"/>
          </w:tcPr>
          <w:p>
            <w:pPr>
              <w:spacing w:after="0" w:line="20" w:lineRule="exact"/>
              <w:rPr>
                <w:sz w:val="1"/>
                <w:szCs w:val="1"/>
                <w:color w:val="auto"/>
              </w:rPr>
            </w:pPr>
          </w:p>
        </w:tc>
        <w:tc>
          <w:tcPr>
            <w:tcW w:w="2420" w:type="dxa"/>
            <w:vAlign w:val="bottom"/>
            <w:tcBorders>
              <w:top w:val="single" w:sz="8" w:color="0563C1"/>
            </w:tcBorders>
            <w:shd w:val="clear" w:color="auto" w:fill="91BBD3"/>
          </w:tcPr>
          <w:p>
            <w:pPr>
              <w:spacing w:after="0" w:line="20" w:lineRule="exact"/>
              <w:rPr>
                <w:sz w:val="1"/>
                <w:szCs w:val="1"/>
                <w:color w:val="auto"/>
              </w:rPr>
            </w:pPr>
          </w:p>
        </w:tc>
        <w:tc>
          <w:tcPr>
            <w:tcW w:w="140" w:type="dxa"/>
            <w:vAlign w:val="bottom"/>
            <w:tcBorders>
              <w:top w:val="single" w:sz="8" w:color="0563C1"/>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Borders>
              <w:left w:val="single" w:sz="8" w:color="91BBD3"/>
            </w:tcBorders>
          </w:tcPr>
          <w:p>
            <w:pPr>
              <w:jc w:val="right"/>
              <w:spacing w:after="0" w:line="156" w:lineRule="exact"/>
              <w:rPr>
                <w:sz w:val="20"/>
                <w:szCs w:val="20"/>
                <w:color w:val="auto"/>
              </w:rPr>
            </w:pPr>
            <w:r>
              <w:rPr>
                <w:rFonts w:ascii="Calibri" w:cs="Calibri" w:eastAsia="Calibri" w:hAnsi="Calibri"/>
                <w:sz w:val="16"/>
                <w:szCs w:val="16"/>
                <w:b w:val="1"/>
                <w:bCs w:val="1"/>
                <w:color w:val="auto"/>
              </w:rPr>
              <w:t>4.12</w:t>
            </w:r>
          </w:p>
        </w:tc>
        <w:tc>
          <w:tcPr>
            <w:tcW w:w="1260" w:type="dxa"/>
            <w:vAlign w:val="bottom"/>
            <w:tcBorders>
              <w:right w:val="single" w:sz="8" w:color="91BBD3"/>
            </w:tcBorders>
          </w:tcPr>
          <w:p>
            <w:pPr>
              <w:spacing w:after="0"/>
              <w:rPr>
                <w:sz w:val="13"/>
                <w:szCs w:val="13"/>
                <w:color w:val="auto"/>
              </w:rPr>
            </w:pPr>
          </w:p>
        </w:tc>
        <w:tc>
          <w:tcPr>
            <w:tcW w:w="80" w:type="dxa"/>
            <w:vAlign w:val="bottom"/>
          </w:tcPr>
          <w:p>
            <w:pPr>
              <w:spacing w:after="0"/>
              <w:rPr>
                <w:sz w:val="13"/>
                <w:szCs w:val="13"/>
                <w:color w:val="auto"/>
              </w:rPr>
            </w:pPr>
          </w:p>
        </w:tc>
        <w:tc>
          <w:tcPr>
            <w:tcW w:w="8980" w:type="dxa"/>
            <w:vAlign w:val="bottom"/>
            <w:tcBorders>
              <w:bottom w:val="single" w:sz="8" w:color="0563C1"/>
            </w:tcBorders>
            <w:gridSpan w:val="11"/>
          </w:tcPr>
          <w:p>
            <w:pPr>
              <w:spacing w:after="0" w:line="156" w:lineRule="exact"/>
              <w:rPr>
                <w:rFonts w:ascii="Calibri" w:cs="Calibri" w:eastAsia="Calibri" w:hAnsi="Calibri"/>
                <w:sz w:val="16"/>
                <w:szCs w:val="16"/>
                <w:color w:val="0563C1"/>
              </w:rPr>
            </w:pPr>
            <w:hyperlink r:id="rId672">
              <w:r>
                <w:rPr>
                  <w:rFonts w:ascii="Calibri" w:cs="Calibri" w:eastAsia="Calibri" w:hAnsi="Calibri"/>
                  <w:sz w:val="16"/>
                  <w:szCs w:val="16"/>
                  <w:color w:val="0563C1"/>
                </w:rPr>
                <w:t>First Supplemental Indenture, dated as of May 22, 2017, between Martn Marieta Materials, Inc. and Regions Bank, as</w:t>
              </w:r>
            </w:hyperlink>
          </w:p>
        </w:tc>
        <w:tc>
          <w:tcPr>
            <w:tcW w:w="140" w:type="dxa"/>
            <w:vAlign w:val="bottom"/>
            <w:tcBorders>
              <w:right w:val="single" w:sz="8" w:color="91BBD3"/>
            </w:tcBorders>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672">
              <w:r>
                <w:rPr>
                  <w:rFonts w:ascii="Calibri" w:cs="Calibri" w:eastAsia="Calibri" w:hAnsi="Calibri"/>
                  <w:sz w:val="18"/>
                  <w:szCs w:val="18"/>
                  <w:color w:val="0563C1"/>
                </w:rPr>
                <w:t xml:space="preserve">trustee, governing the Senior Notes issued by the Company on May 22, 2017, in the form of the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300 million aggregate</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w w:val="97"/>
              </w:rPr>
            </w:pPr>
            <w:hyperlink r:id="rId672">
              <w:r>
                <w:rPr>
                  <w:rFonts w:ascii="Calibri" w:cs="Calibri" w:eastAsia="Calibri" w:hAnsi="Calibri"/>
                  <w:sz w:val="18"/>
                  <w:szCs w:val="18"/>
                  <w:color w:val="0563C1"/>
                  <w:w w:val="97"/>
                </w:rPr>
                <w:t xml:space="preserve">principal amount of Floatng Rate Senior Notes due 2020 and </w:t>
              </w:r>
              <w:r>
                <w:rPr>
                  <w:rFonts w:ascii="Calibri" w:cs="Calibri" w:eastAsia="Calibri" w:hAnsi="Calibri"/>
                  <w:sz w:val="18"/>
                  <w:szCs w:val="18"/>
                  <w:u w:val="single" w:color="auto"/>
                  <w:color w:val="0563C1"/>
                  <w:w w:val="97"/>
                </w:rPr>
                <w:t>$</w:t>
              </w:r>
              <w:r>
                <w:rPr>
                  <w:rFonts w:ascii="Calibri" w:cs="Calibri" w:eastAsia="Calibri" w:hAnsi="Calibri"/>
                  <w:sz w:val="18"/>
                  <w:szCs w:val="18"/>
                  <w:color w:val="0563C1"/>
                  <w:w w:val="97"/>
                </w:rPr>
                <w:t>300 million aggregate principal amount of 3.450% Senior Notes</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2"/>
          </w:tcPr>
          <w:p>
            <w:pPr>
              <w:spacing w:after="0" w:line="196" w:lineRule="exact"/>
              <w:rPr>
                <w:rFonts w:ascii="Calibri" w:cs="Calibri" w:eastAsia="Calibri" w:hAnsi="Calibri"/>
                <w:sz w:val="18"/>
                <w:szCs w:val="18"/>
                <w:color w:val="0563C1"/>
              </w:rPr>
            </w:pPr>
            <w:hyperlink r:id="rId672">
              <w:r>
                <w:rPr>
                  <w:rFonts w:ascii="Calibri" w:cs="Calibri" w:eastAsia="Calibri" w:hAnsi="Calibri"/>
                  <w:sz w:val="18"/>
                  <w:szCs w:val="18"/>
                  <w:color w:val="0563C1"/>
                </w:rPr>
                <w:t>due 2027 (incorporated by reference to Exhibit 4.2 to the Martn Marieta Materials, Inc. Current Report on Form 8-K, fled on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top w:val="single" w:sz="8" w:color="0563C1"/>
            </w:tcBorders>
            <w:gridSpan w:val="11"/>
          </w:tcPr>
          <w:p>
            <w:pPr>
              <w:spacing w:after="0" w:line="196" w:lineRule="exact"/>
              <w:rPr>
                <w:rFonts w:ascii="Calibri" w:cs="Calibri" w:eastAsia="Calibri" w:hAnsi="Calibri"/>
                <w:sz w:val="18"/>
                <w:szCs w:val="18"/>
                <w:color w:val="0563C1"/>
              </w:rPr>
            </w:pPr>
            <w:hyperlink r:id="rId672">
              <w:r>
                <w:rPr>
                  <w:rFonts w:ascii="Calibri" w:cs="Calibri" w:eastAsia="Calibri" w:hAnsi="Calibri"/>
                  <w:sz w:val="18"/>
                  <w:szCs w:val="18"/>
                  <w:color w:val="0563C1"/>
                </w:rPr>
                <w:t>May 22, 2017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40" w:type="dxa"/>
            <w:vAlign w:val="bottom"/>
            <w:tcBorders>
              <w:left w:val="single" w:sz="8" w:color="91BBD3"/>
              <w:bottom w:val="single" w:sz="8" w:color="91BBD3"/>
            </w:tcBorders>
          </w:tcPr>
          <w:p>
            <w:pPr>
              <w:spacing w:after="0"/>
              <w:rPr>
                <w:sz w:val="2"/>
                <w:szCs w:val="2"/>
                <w:color w:val="auto"/>
              </w:rPr>
            </w:pPr>
          </w:p>
        </w:tc>
        <w:tc>
          <w:tcPr>
            <w:tcW w:w="1260" w:type="dxa"/>
            <w:vAlign w:val="bottom"/>
            <w:tcBorders>
              <w:bottom w:val="single" w:sz="8" w:color="91BBD3"/>
              <w:right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540" w:type="dxa"/>
            <w:vAlign w:val="bottom"/>
            <w:tcBorders>
              <w:top w:val="single" w:sz="8" w:color="0563C1"/>
              <w:bottom w:val="single" w:sz="8" w:color="91BBD3"/>
            </w:tcBorders>
          </w:tcPr>
          <w:p>
            <w:pPr>
              <w:spacing w:after="0"/>
              <w:rPr>
                <w:sz w:val="2"/>
                <w:szCs w:val="2"/>
                <w:color w:val="auto"/>
              </w:rPr>
            </w:pPr>
          </w:p>
        </w:tc>
        <w:tc>
          <w:tcPr>
            <w:tcW w:w="1640" w:type="dxa"/>
            <w:vAlign w:val="bottom"/>
            <w:tcBorders>
              <w:top w:val="single" w:sz="8" w:color="0563C1"/>
              <w:bottom w:val="single" w:sz="8" w:color="91BBD3"/>
            </w:tcBorders>
          </w:tcPr>
          <w:p>
            <w:pPr>
              <w:spacing w:after="0"/>
              <w:rPr>
                <w:sz w:val="2"/>
                <w:szCs w:val="2"/>
                <w:color w:val="auto"/>
              </w:rPr>
            </w:pPr>
          </w:p>
        </w:tc>
        <w:tc>
          <w:tcPr>
            <w:tcW w:w="40" w:type="dxa"/>
            <w:vAlign w:val="bottom"/>
            <w:tcBorders>
              <w:top w:val="single" w:sz="8" w:color="0563C1"/>
              <w:bottom w:val="single" w:sz="8" w:color="91BBD3"/>
            </w:tcBorders>
          </w:tcPr>
          <w:p>
            <w:pPr>
              <w:spacing w:after="0"/>
              <w:rPr>
                <w:sz w:val="2"/>
                <w:szCs w:val="2"/>
                <w:color w:val="auto"/>
              </w:rPr>
            </w:pPr>
          </w:p>
        </w:tc>
        <w:tc>
          <w:tcPr>
            <w:tcW w:w="1020" w:type="dxa"/>
            <w:vAlign w:val="bottom"/>
            <w:tcBorders>
              <w:top w:val="single" w:sz="8" w:color="0563C1"/>
              <w:bottom w:val="single" w:sz="8" w:color="91BBD3"/>
            </w:tcBorders>
          </w:tcPr>
          <w:p>
            <w:pPr>
              <w:spacing w:after="0"/>
              <w:rPr>
                <w:sz w:val="2"/>
                <w:szCs w:val="2"/>
                <w:color w:val="auto"/>
              </w:rPr>
            </w:pPr>
          </w:p>
        </w:tc>
        <w:tc>
          <w:tcPr>
            <w:tcW w:w="132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1640" w:type="dxa"/>
            <w:vAlign w:val="bottom"/>
            <w:tcBorders>
              <w:bottom w:val="single" w:sz="8" w:color="91BBD3"/>
            </w:tcBorders>
          </w:tcPr>
          <w:p>
            <w:pPr>
              <w:spacing w:after="0"/>
              <w:rPr>
                <w:sz w:val="2"/>
                <w:szCs w:val="2"/>
                <w:color w:val="auto"/>
              </w:rPr>
            </w:pPr>
          </w:p>
        </w:tc>
        <w:tc>
          <w:tcPr>
            <w:tcW w:w="2420" w:type="dxa"/>
            <w:vAlign w:val="bottom"/>
            <w:tcBorders>
              <w:bottom w:val="single" w:sz="8" w:color="91BBD3"/>
            </w:tcBorders>
          </w:tcPr>
          <w:p>
            <w:pPr>
              <w:spacing w:after="0"/>
              <w:rPr>
                <w:sz w:val="2"/>
                <w:szCs w:val="2"/>
                <w:color w:val="auto"/>
              </w:rPr>
            </w:pPr>
          </w:p>
        </w:tc>
        <w:tc>
          <w:tcPr>
            <w:tcW w:w="140" w:type="dxa"/>
            <w:vAlign w:val="bottom"/>
            <w:tcBorders>
              <w:bottom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91BBD3"/>
            </w:tcBorders>
            <w:shd w:val="clear" w:color="auto" w:fill="DAE8F0"/>
          </w:tcPr>
          <w:p>
            <w:pPr>
              <w:jc w:val="right"/>
              <w:spacing w:after="0" w:line="156" w:lineRule="exact"/>
              <w:rPr>
                <w:sz w:val="20"/>
                <w:szCs w:val="20"/>
                <w:color w:val="auto"/>
              </w:rPr>
            </w:pPr>
            <w:r>
              <w:rPr>
                <w:rFonts w:ascii="Calibri" w:cs="Calibri" w:eastAsia="Calibri" w:hAnsi="Calibri"/>
                <w:sz w:val="16"/>
                <w:szCs w:val="16"/>
                <w:b w:val="1"/>
                <w:bCs w:val="1"/>
                <w:color w:val="auto"/>
              </w:rPr>
              <w:t>4.13</w:t>
            </w:r>
          </w:p>
        </w:tc>
        <w:tc>
          <w:tcPr>
            <w:tcW w:w="1260" w:type="dxa"/>
            <w:vAlign w:val="bottom"/>
            <w:tcBorders>
              <w:right w:val="single" w:sz="8" w:color="91BBD3"/>
            </w:tcBorders>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2"/>
            <w:shd w:val="clear" w:color="auto" w:fill="DAE8F0"/>
          </w:tcPr>
          <w:p>
            <w:pPr>
              <w:spacing w:after="0" w:line="156" w:lineRule="exact"/>
              <w:rPr>
                <w:rFonts w:ascii="Calibri" w:cs="Calibri" w:eastAsia="Calibri" w:hAnsi="Calibri"/>
                <w:sz w:val="16"/>
                <w:szCs w:val="16"/>
                <w:color w:val="0563C1"/>
              </w:rPr>
            </w:pPr>
            <w:hyperlink r:id="rId672">
              <w:r>
                <w:rPr>
                  <w:rFonts w:ascii="Calibri" w:cs="Calibri" w:eastAsia="Calibri" w:hAnsi="Calibri"/>
                  <w:sz w:val="16"/>
                  <w:szCs w:val="16"/>
                  <w:color w:val="0563C1"/>
                </w:rPr>
                <w:t>Form of 3.450% Senior Notes due 2027 (included in Exhibit 4.12)</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2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0563C1"/>
            </w:tcBorders>
            <w:shd w:val="clear" w:color="auto" w:fill="91BBD3"/>
          </w:tcPr>
          <w:p>
            <w:pPr>
              <w:spacing w:after="0" w:line="20" w:lineRule="exact"/>
              <w:rPr>
                <w:sz w:val="1"/>
                <w:szCs w:val="1"/>
                <w:color w:val="auto"/>
              </w:rPr>
            </w:pPr>
          </w:p>
        </w:tc>
        <w:tc>
          <w:tcPr>
            <w:tcW w:w="164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1020" w:type="dxa"/>
            <w:vAlign w:val="bottom"/>
            <w:tcBorders>
              <w:top w:val="single" w:sz="8" w:color="0563C1"/>
            </w:tcBorders>
            <w:shd w:val="clear" w:color="auto" w:fill="91BBD3"/>
          </w:tcPr>
          <w:p>
            <w:pPr>
              <w:spacing w:after="0" w:line="20" w:lineRule="exact"/>
              <w:rPr>
                <w:sz w:val="1"/>
                <w:szCs w:val="1"/>
                <w:color w:val="auto"/>
              </w:rPr>
            </w:pPr>
          </w:p>
        </w:tc>
        <w:tc>
          <w:tcPr>
            <w:tcW w:w="132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1640" w:type="dxa"/>
            <w:vAlign w:val="bottom"/>
            <w:tcBorders>
              <w:top w:val="single" w:sz="8" w:color="DAE8F0"/>
            </w:tcBorders>
            <w:shd w:val="clear" w:color="auto" w:fill="91BBD3"/>
          </w:tcPr>
          <w:p>
            <w:pPr>
              <w:spacing w:after="0" w:line="20" w:lineRule="exact"/>
              <w:rPr>
                <w:sz w:val="1"/>
                <w:szCs w:val="1"/>
                <w:color w:val="auto"/>
              </w:rPr>
            </w:pPr>
          </w:p>
        </w:tc>
        <w:tc>
          <w:tcPr>
            <w:tcW w:w="242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0" w:type="dxa"/>
            <w:vAlign w:val="bottom"/>
            <w:tcBorders>
              <w:left w:val="single" w:sz="8" w:color="91BBD3"/>
            </w:tcBorders>
          </w:tcPr>
          <w:p>
            <w:pPr>
              <w:jc w:val="right"/>
              <w:spacing w:after="0" w:line="156" w:lineRule="exact"/>
              <w:rPr>
                <w:sz w:val="20"/>
                <w:szCs w:val="20"/>
                <w:color w:val="auto"/>
              </w:rPr>
            </w:pPr>
            <w:r>
              <w:rPr>
                <w:rFonts w:ascii="Calibri" w:cs="Calibri" w:eastAsia="Calibri" w:hAnsi="Calibri"/>
                <w:sz w:val="16"/>
                <w:szCs w:val="16"/>
                <w:b w:val="1"/>
                <w:bCs w:val="1"/>
                <w:color w:val="auto"/>
              </w:rPr>
              <w:t>4.14</w:t>
            </w:r>
          </w:p>
        </w:tc>
        <w:tc>
          <w:tcPr>
            <w:tcW w:w="1260" w:type="dxa"/>
            <w:vAlign w:val="bottom"/>
            <w:tcBorders>
              <w:right w:val="single" w:sz="8" w:color="91BBD3"/>
            </w:tcBorders>
          </w:tcPr>
          <w:p>
            <w:pPr>
              <w:spacing w:after="0"/>
              <w:rPr>
                <w:sz w:val="13"/>
                <w:szCs w:val="13"/>
                <w:color w:val="auto"/>
              </w:rPr>
            </w:pPr>
          </w:p>
        </w:tc>
        <w:tc>
          <w:tcPr>
            <w:tcW w:w="80" w:type="dxa"/>
            <w:vAlign w:val="bottom"/>
          </w:tcPr>
          <w:p>
            <w:pPr>
              <w:spacing w:after="0"/>
              <w:rPr>
                <w:sz w:val="13"/>
                <w:szCs w:val="13"/>
                <w:color w:val="auto"/>
              </w:rPr>
            </w:pPr>
          </w:p>
        </w:tc>
        <w:tc>
          <w:tcPr>
            <w:tcW w:w="8980" w:type="dxa"/>
            <w:vAlign w:val="bottom"/>
            <w:tcBorders>
              <w:bottom w:val="single" w:sz="8" w:color="0563C1"/>
            </w:tcBorders>
            <w:gridSpan w:val="11"/>
          </w:tcPr>
          <w:p>
            <w:pPr>
              <w:spacing w:after="0" w:line="156" w:lineRule="exact"/>
              <w:rPr>
                <w:rFonts w:ascii="Calibri" w:cs="Calibri" w:eastAsia="Calibri" w:hAnsi="Calibri"/>
                <w:sz w:val="16"/>
                <w:szCs w:val="16"/>
                <w:color w:val="0563C1"/>
              </w:rPr>
            </w:pPr>
            <w:hyperlink r:id="rId673">
              <w:r>
                <w:rPr>
                  <w:rFonts w:ascii="Calibri" w:cs="Calibri" w:eastAsia="Calibri" w:hAnsi="Calibri"/>
                  <w:sz w:val="16"/>
                  <w:szCs w:val="16"/>
                  <w:color w:val="0563C1"/>
                </w:rPr>
                <w:t>Second Supplemental Indenture, dated as of December 20, 2017, between Martn Marieta Materials, Inc. and Regions Bank,</w:t>
              </w:r>
            </w:hyperlink>
          </w:p>
        </w:tc>
        <w:tc>
          <w:tcPr>
            <w:tcW w:w="140" w:type="dxa"/>
            <w:vAlign w:val="bottom"/>
            <w:tcBorders>
              <w:right w:val="single" w:sz="8" w:color="91BBD3"/>
            </w:tcBorders>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673">
              <w:r>
                <w:rPr>
                  <w:rFonts w:ascii="Calibri" w:cs="Calibri" w:eastAsia="Calibri" w:hAnsi="Calibri"/>
                  <w:sz w:val="18"/>
                  <w:szCs w:val="18"/>
                  <w:color w:val="0563C1"/>
                </w:rPr>
                <w:t xml:space="preserve">as trustee, governing the Senior Notes issued by the Company on December 20, 2017, in the form of the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300 million</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673">
              <w:r>
                <w:rPr>
                  <w:rFonts w:ascii="Calibri" w:cs="Calibri" w:eastAsia="Calibri" w:hAnsi="Calibri"/>
                  <w:sz w:val="18"/>
                  <w:szCs w:val="18"/>
                  <w:color w:val="0563C1"/>
                </w:rPr>
                <w:t xml:space="preserve">aggregate principal amount of Floatng Rate Senior Notes due 2019,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500 million aggregate principal amount of 3.500%</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673">
              <w:r>
                <w:rPr>
                  <w:rFonts w:ascii="Calibri" w:cs="Calibri" w:eastAsia="Calibri" w:hAnsi="Calibri"/>
                  <w:sz w:val="18"/>
                  <w:szCs w:val="18"/>
                  <w:color w:val="0563C1"/>
                </w:rPr>
                <w:t xml:space="preserve">Senior Notes due 2027, and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600 million aggregate principal amount of 4.250% Senior Notes due 2047 (incorporated by</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673">
              <w:r>
                <w:rPr>
                  <w:rFonts w:ascii="Calibri" w:cs="Calibri" w:eastAsia="Calibri" w:hAnsi="Calibri"/>
                  <w:sz w:val="18"/>
                  <w:szCs w:val="18"/>
                  <w:color w:val="0563C1"/>
                </w:rPr>
                <w:t>reference to Exhibit 4.2 to the Martn Marieta Materials, Inc. Current Report on Form 8-K, fled on December 20, 2017</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2"/>
          </w:tcPr>
          <w:p>
            <w:pPr>
              <w:spacing w:after="0" w:line="196" w:lineRule="exact"/>
              <w:rPr>
                <w:rFonts w:ascii="Calibri" w:cs="Calibri" w:eastAsia="Calibri" w:hAnsi="Calibri"/>
                <w:sz w:val="18"/>
                <w:szCs w:val="18"/>
                <w:color w:val="0563C1"/>
              </w:rPr>
            </w:pPr>
            <w:hyperlink r:id="rId673">
              <w:r>
                <w:rPr>
                  <w:rFonts w:ascii="Calibri" w:cs="Calibri" w:eastAsia="Calibri" w:hAnsi="Calibri"/>
                  <w:sz w:val="18"/>
                  <w:szCs w:val="18"/>
                  <w:color w:val="0563C1"/>
                </w:rPr>
                <w:t>(Commission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40" w:type="dxa"/>
            <w:vAlign w:val="bottom"/>
            <w:tcBorders>
              <w:left w:val="single" w:sz="8" w:color="91BBD3"/>
              <w:bottom w:val="single" w:sz="8" w:color="91BBD3"/>
            </w:tcBorders>
          </w:tcPr>
          <w:p>
            <w:pPr>
              <w:spacing w:after="0"/>
              <w:rPr>
                <w:sz w:val="2"/>
                <w:szCs w:val="2"/>
                <w:color w:val="auto"/>
              </w:rPr>
            </w:pPr>
          </w:p>
        </w:tc>
        <w:tc>
          <w:tcPr>
            <w:tcW w:w="1260" w:type="dxa"/>
            <w:vAlign w:val="bottom"/>
            <w:tcBorders>
              <w:bottom w:val="single" w:sz="8" w:color="91BBD3"/>
              <w:right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540" w:type="dxa"/>
            <w:vAlign w:val="bottom"/>
            <w:tcBorders>
              <w:top w:val="single" w:sz="8" w:color="0563C1"/>
              <w:bottom w:val="single" w:sz="8" w:color="91BBD3"/>
            </w:tcBorders>
          </w:tcPr>
          <w:p>
            <w:pPr>
              <w:spacing w:after="0"/>
              <w:rPr>
                <w:sz w:val="2"/>
                <w:szCs w:val="2"/>
                <w:color w:val="auto"/>
              </w:rPr>
            </w:pPr>
          </w:p>
        </w:tc>
        <w:tc>
          <w:tcPr>
            <w:tcW w:w="1640" w:type="dxa"/>
            <w:vAlign w:val="bottom"/>
            <w:tcBorders>
              <w:top w:val="single" w:sz="8" w:color="0563C1"/>
              <w:bottom w:val="single" w:sz="8" w:color="91BBD3"/>
            </w:tcBorders>
          </w:tcPr>
          <w:p>
            <w:pPr>
              <w:spacing w:after="0"/>
              <w:rPr>
                <w:sz w:val="2"/>
                <w:szCs w:val="2"/>
                <w:color w:val="auto"/>
              </w:rPr>
            </w:pPr>
          </w:p>
        </w:tc>
        <w:tc>
          <w:tcPr>
            <w:tcW w:w="40" w:type="dxa"/>
            <w:vAlign w:val="bottom"/>
            <w:tcBorders>
              <w:top w:val="single" w:sz="8" w:color="0563C1"/>
              <w:bottom w:val="single" w:sz="8" w:color="91BBD3"/>
            </w:tcBorders>
          </w:tcPr>
          <w:p>
            <w:pPr>
              <w:spacing w:after="0"/>
              <w:rPr>
                <w:sz w:val="2"/>
                <w:szCs w:val="2"/>
                <w:color w:val="auto"/>
              </w:rPr>
            </w:pPr>
          </w:p>
        </w:tc>
        <w:tc>
          <w:tcPr>
            <w:tcW w:w="1020" w:type="dxa"/>
            <w:vAlign w:val="bottom"/>
            <w:tcBorders>
              <w:bottom w:val="single" w:sz="8" w:color="91BBD3"/>
            </w:tcBorders>
          </w:tcPr>
          <w:p>
            <w:pPr>
              <w:spacing w:after="0"/>
              <w:rPr>
                <w:sz w:val="2"/>
                <w:szCs w:val="2"/>
                <w:color w:val="auto"/>
              </w:rPr>
            </w:pPr>
          </w:p>
        </w:tc>
        <w:tc>
          <w:tcPr>
            <w:tcW w:w="132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1640" w:type="dxa"/>
            <w:vAlign w:val="bottom"/>
            <w:tcBorders>
              <w:bottom w:val="single" w:sz="8" w:color="91BBD3"/>
            </w:tcBorders>
          </w:tcPr>
          <w:p>
            <w:pPr>
              <w:spacing w:after="0"/>
              <w:rPr>
                <w:sz w:val="2"/>
                <w:szCs w:val="2"/>
                <w:color w:val="auto"/>
              </w:rPr>
            </w:pPr>
          </w:p>
        </w:tc>
        <w:tc>
          <w:tcPr>
            <w:tcW w:w="2420" w:type="dxa"/>
            <w:vAlign w:val="bottom"/>
            <w:tcBorders>
              <w:bottom w:val="single" w:sz="8" w:color="91BBD3"/>
            </w:tcBorders>
          </w:tcPr>
          <w:p>
            <w:pPr>
              <w:spacing w:after="0"/>
              <w:rPr>
                <w:sz w:val="2"/>
                <w:szCs w:val="2"/>
                <w:color w:val="auto"/>
              </w:rPr>
            </w:pPr>
          </w:p>
        </w:tc>
        <w:tc>
          <w:tcPr>
            <w:tcW w:w="140" w:type="dxa"/>
            <w:vAlign w:val="bottom"/>
            <w:tcBorders>
              <w:bottom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91BBD3"/>
            </w:tcBorders>
            <w:shd w:val="clear" w:color="auto" w:fill="DAE8F0"/>
          </w:tcPr>
          <w:p>
            <w:pPr>
              <w:jc w:val="right"/>
              <w:spacing w:after="0" w:line="156" w:lineRule="exact"/>
              <w:rPr>
                <w:sz w:val="20"/>
                <w:szCs w:val="20"/>
                <w:color w:val="auto"/>
              </w:rPr>
            </w:pPr>
            <w:r>
              <w:rPr>
                <w:rFonts w:ascii="Calibri" w:cs="Calibri" w:eastAsia="Calibri" w:hAnsi="Calibri"/>
                <w:sz w:val="16"/>
                <w:szCs w:val="16"/>
                <w:b w:val="1"/>
                <w:bCs w:val="1"/>
                <w:color w:val="auto"/>
              </w:rPr>
              <w:t>4.15</w:t>
            </w:r>
          </w:p>
        </w:tc>
        <w:tc>
          <w:tcPr>
            <w:tcW w:w="1260" w:type="dxa"/>
            <w:vAlign w:val="bottom"/>
            <w:tcBorders>
              <w:right w:val="single" w:sz="8" w:color="91BBD3"/>
            </w:tcBorders>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2"/>
            <w:shd w:val="clear" w:color="auto" w:fill="DAE8F0"/>
          </w:tcPr>
          <w:p>
            <w:pPr>
              <w:spacing w:after="0" w:line="156" w:lineRule="exact"/>
              <w:rPr>
                <w:rFonts w:ascii="Calibri" w:cs="Calibri" w:eastAsia="Calibri" w:hAnsi="Calibri"/>
                <w:sz w:val="16"/>
                <w:szCs w:val="16"/>
                <w:color w:val="0563C1"/>
              </w:rPr>
            </w:pPr>
            <w:hyperlink r:id="rId673">
              <w:r>
                <w:rPr>
                  <w:rFonts w:ascii="Calibri" w:cs="Calibri" w:eastAsia="Calibri" w:hAnsi="Calibri"/>
                  <w:sz w:val="16"/>
                  <w:szCs w:val="16"/>
                  <w:color w:val="0563C1"/>
                </w:rPr>
                <w:t>Form of 3.500% Senior Notes due 2027 (included in Exhibit 4.14)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2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0563C1"/>
            </w:tcBorders>
            <w:shd w:val="clear" w:color="auto" w:fill="91BBD3"/>
          </w:tcPr>
          <w:p>
            <w:pPr>
              <w:spacing w:after="0" w:line="20" w:lineRule="exact"/>
              <w:rPr>
                <w:sz w:val="1"/>
                <w:szCs w:val="1"/>
                <w:color w:val="auto"/>
              </w:rPr>
            </w:pPr>
          </w:p>
        </w:tc>
        <w:tc>
          <w:tcPr>
            <w:tcW w:w="164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1020" w:type="dxa"/>
            <w:vAlign w:val="bottom"/>
            <w:tcBorders>
              <w:top w:val="single" w:sz="8" w:color="0563C1"/>
            </w:tcBorders>
            <w:shd w:val="clear" w:color="auto" w:fill="91BBD3"/>
          </w:tcPr>
          <w:p>
            <w:pPr>
              <w:spacing w:after="0" w:line="20" w:lineRule="exact"/>
              <w:rPr>
                <w:sz w:val="1"/>
                <w:szCs w:val="1"/>
                <w:color w:val="auto"/>
              </w:rPr>
            </w:pPr>
          </w:p>
        </w:tc>
        <w:tc>
          <w:tcPr>
            <w:tcW w:w="132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1640" w:type="dxa"/>
            <w:vAlign w:val="bottom"/>
            <w:tcBorders>
              <w:top w:val="single" w:sz="8" w:color="DAE8F0"/>
            </w:tcBorders>
            <w:shd w:val="clear" w:color="auto" w:fill="91BBD3"/>
          </w:tcPr>
          <w:p>
            <w:pPr>
              <w:spacing w:after="0" w:line="20" w:lineRule="exact"/>
              <w:rPr>
                <w:sz w:val="1"/>
                <w:szCs w:val="1"/>
                <w:color w:val="auto"/>
              </w:rPr>
            </w:pPr>
          </w:p>
        </w:tc>
        <w:tc>
          <w:tcPr>
            <w:tcW w:w="242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0" w:type="dxa"/>
            <w:vAlign w:val="bottom"/>
            <w:tcBorders>
              <w:left w:val="single" w:sz="8" w:color="91BBD3"/>
            </w:tcBorders>
          </w:tcPr>
          <w:p>
            <w:pPr>
              <w:jc w:val="right"/>
              <w:spacing w:after="0" w:line="156" w:lineRule="exact"/>
              <w:rPr>
                <w:sz w:val="20"/>
                <w:szCs w:val="20"/>
                <w:color w:val="auto"/>
              </w:rPr>
            </w:pPr>
            <w:r>
              <w:rPr>
                <w:rFonts w:ascii="Calibri" w:cs="Calibri" w:eastAsia="Calibri" w:hAnsi="Calibri"/>
                <w:sz w:val="16"/>
                <w:szCs w:val="16"/>
                <w:b w:val="1"/>
                <w:bCs w:val="1"/>
                <w:color w:val="auto"/>
              </w:rPr>
              <w:t>4.16</w:t>
            </w:r>
          </w:p>
        </w:tc>
        <w:tc>
          <w:tcPr>
            <w:tcW w:w="1260" w:type="dxa"/>
            <w:vAlign w:val="bottom"/>
            <w:tcBorders>
              <w:right w:val="single" w:sz="8" w:color="91BBD3"/>
            </w:tcBorders>
          </w:tcPr>
          <w:p>
            <w:pPr>
              <w:spacing w:after="0"/>
              <w:rPr>
                <w:sz w:val="13"/>
                <w:szCs w:val="13"/>
                <w:color w:val="auto"/>
              </w:rPr>
            </w:pPr>
          </w:p>
        </w:tc>
        <w:tc>
          <w:tcPr>
            <w:tcW w:w="80" w:type="dxa"/>
            <w:vAlign w:val="bottom"/>
          </w:tcPr>
          <w:p>
            <w:pPr>
              <w:spacing w:after="0"/>
              <w:rPr>
                <w:sz w:val="13"/>
                <w:szCs w:val="13"/>
                <w:color w:val="auto"/>
              </w:rPr>
            </w:pPr>
          </w:p>
        </w:tc>
        <w:tc>
          <w:tcPr>
            <w:tcW w:w="9120" w:type="dxa"/>
            <w:vAlign w:val="bottom"/>
            <w:tcBorders>
              <w:right w:val="single" w:sz="8" w:color="91BBD3"/>
            </w:tcBorders>
            <w:gridSpan w:val="12"/>
          </w:tcPr>
          <w:p>
            <w:pPr>
              <w:spacing w:after="0" w:line="156" w:lineRule="exact"/>
              <w:rPr>
                <w:rFonts w:ascii="Calibri" w:cs="Calibri" w:eastAsia="Calibri" w:hAnsi="Calibri"/>
                <w:sz w:val="16"/>
                <w:szCs w:val="16"/>
                <w:color w:val="0563C1"/>
              </w:rPr>
            </w:pPr>
            <w:hyperlink r:id="rId673">
              <w:r>
                <w:rPr>
                  <w:rFonts w:ascii="Calibri" w:cs="Calibri" w:eastAsia="Calibri" w:hAnsi="Calibri"/>
                  <w:sz w:val="16"/>
                  <w:szCs w:val="16"/>
                  <w:color w:val="0563C1"/>
                </w:rPr>
                <w:t>Form of 4.250% Senior Notes due 2047 (included in Exhibit 4.14)</w:t>
              </w:r>
            </w:hyperlink>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91BBD3"/>
              <w:bottom w:val="single" w:sz="8" w:color="91BBD3"/>
            </w:tcBorders>
          </w:tcPr>
          <w:p>
            <w:pPr>
              <w:spacing w:after="0"/>
              <w:rPr>
                <w:sz w:val="4"/>
                <w:szCs w:val="4"/>
                <w:color w:val="auto"/>
              </w:rPr>
            </w:pPr>
          </w:p>
        </w:tc>
        <w:tc>
          <w:tcPr>
            <w:tcW w:w="1260" w:type="dxa"/>
            <w:vAlign w:val="bottom"/>
            <w:tcBorders>
              <w:bottom w:val="single" w:sz="8" w:color="91BBD3"/>
              <w:right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540" w:type="dxa"/>
            <w:vAlign w:val="bottom"/>
            <w:tcBorders>
              <w:top w:val="single" w:sz="8" w:color="0563C1"/>
              <w:bottom w:val="single" w:sz="8" w:color="91BBD3"/>
            </w:tcBorders>
          </w:tcPr>
          <w:p>
            <w:pPr>
              <w:spacing w:after="0"/>
              <w:rPr>
                <w:sz w:val="4"/>
                <w:szCs w:val="4"/>
                <w:color w:val="auto"/>
              </w:rPr>
            </w:pPr>
          </w:p>
        </w:tc>
        <w:tc>
          <w:tcPr>
            <w:tcW w:w="1640" w:type="dxa"/>
            <w:vAlign w:val="bottom"/>
            <w:tcBorders>
              <w:top w:val="single" w:sz="8" w:color="0563C1"/>
              <w:bottom w:val="single" w:sz="8" w:color="91BBD3"/>
            </w:tcBorders>
          </w:tcPr>
          <w:p>
            <w:pPr>
              <w:spacing w:after="0"/>
              <w:rPr>
                <w:sz w:val="4"/>
                <w:szCs w:val="4"/>
                <w:color w:val="auto"/>
              </w:rPr>
            </w:pPr>
          </w:p>
        </w:tc>
        <w:tc>
          <w:tcPr>
            <w:tcW w:w="40" w:type="dxa"/>
            <w:vAlign w:val="bottom"/>
            <w:tcBorders>
              <w:top w:val="single" w:sz="8" w:color="0563C1"/>
              <w:bottom w:val="single" w:sz="8" w:color="91BBD3"/>
            </w:tcBorders>
          </w:tcPr>
          <w:p>
            <w:pPr>
              <w:spacing w:after="0"/>
              <w:rPr>
                <w:sz w:val="4"/>
                <w:szCs w:val="4"/>
                <w:color w:val="auto"/>
              </w:rPr>
            </w:pPr>
          </w:p>
        </w:tc>
        <w:tc>
          <w:tcPr>
            <w:tcW w:w="1020" w:type="dxa"/>
            <w:vAlign w:val="bottom"/>
            <w:tcBorders>
              <w:top w:val="single" w:sz="8" w:color="0563C1"/>
              <w:bottom w:val="single" w:sz="8" w:color="91BBD3"/>
            </w:tcBorders>
          </w:tcPr>
          <w:p>
            <w:pPr>
              <w:spacing w:after="0"/>
              <w:rPr>
                <w:sz w:val="4"/>
                <w:szCs w:val="4"/>
                <w:color w:val="auto"/>
              </w:rPr>
            </w:pPr>
          </w:p>
        </w:tc>
        <w:tc>
          <w:tcPr>
            <w:tcW w:w="1320" w:type="dxa"/>
            <w:vAlign w:val="bottom"/>
            <w:tcBorders>
              <w:top w:val="single" w:sz="8" w:color="0563C1"/>
              <w:bottom w:val="single" w:sz="8" w:color="91BBD3"/>
            </w:tcBorders>
          </w:tcPr>
          <w:p>
            <w:pPr>
              <w:spacing w:after="0"/>
              <w:rPr>
                <w:sz w:val="4"/>
                <w:szCs w:val="4"/>
                <w:color w:val="auto"/>
              </w:rPr>
            </w:pPr>
          </w:p>
        </w:tc>
        <w:tc>
          <w:tcPr>
            <w:tcW w:w="20" w:type="dxa"/>
            <w:vAlign w:val="bottom"/>
            <w:tcBorders>
              <w:top w:val="single" w:sz="8" w:color="0563C1"/>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242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91BBD3"/>
            </w:tcBorders>
            <w:shd w:val="clear" w:color="auto" w:fill="DAE8F0"/>
          </w:tcPr>
          <w:p>
            <w:pPr>
              <w:jc w:val="right"/>
              <w:spacing w:after="0" w:line="156" w:lineRule="exact"/>
              <w:rPr>
                <w:sz w:val="20"/>
                <w:szCs w:val="20"/>
                <w:color w:val="auto"/>
              </w:rPr>
            </w:pPr>
            <w:r>
              <w:rPr>
                <w:rFonts w:ascii="Calibri" w:cs="Calibri" w:eastAsia="Calibri" w:hAnsi="Calibri"/>
                <w:sz w:val="16"/>
                <w:szCs w:val="16"/>
                <w:b w:val="1"/>
                <w:bCs w:val="1"/>
                <w:color w:val="auto"/>
              </w:rPr>
              <w:t>4.17</w:t>
            </w:r>
          </w:p>
        </w:tc>
        <w:tc>
          <w:tcPr>
            <w:tcW w:w="1260" w:type="dxa"/>
            <w:vAlign w:val="bottom"/>
            <w:tcBorders>
              <w:right w:val="single" w:sz="8" w:color="91BBD3"/>
            </w:tcBorders>
            <w:shd w:val="clear" w:color="auto" w:fill="DAE8F0"/>
          </w:tcPr>
          <w:p>
            <w:pPr>
              <w:spacing w:after="0"/>
              <w:rPr>
                <w:sz w:val="13"/>
                <w:szCs w:val="13"/>
                <w:color w:val="auto"/>
              </w:rPr>
            </w:pPr>
          </w:p>
        </w:tc>
        <w:tc>
          <w:tcPr>
            <w:tcW w:w="8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2"/>
            <w:shd w:val="clear" w:color="auto" w:fill="DAE8F0"/>
          </w:tcPr>
          <w:p>
            <w:pPr>
              <w:spacing w:after="0" w:line="156" w:lineRule="exact"/>
              <w:rPr>
                <w:rFonts w:ascii="Calibri" w:cs="Calibri" w:eastAsia="Calibri" w:hAnsi="Calibri"/>
                <w:sz w:val="16"/>
                <w:szCs w:val="16"/>
                <w:color w:val="0563C1"/>
              </w:rPr>
            </w:pPr>
            <w:hyperlink r:id="rId674">
              <w:r>
                <w:rPr>
                  <w:rFonts w:ascii="Calibri" w:cs="Calibri" w:eastAsia="Calibri" w:hAnsi="Calibri"/>
                  <w:sz w:val="16"/>
                  <w:szCs w:val="16"/>
                  <w:color w:val="0563C1"/>
                </w:rPr>
                <w:t>Third Supplemental Indenture, dated as of March 16, 2020, between Martn Marieta Materials, Inc. and Regions Bank, as</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shd w:val="clear" w:color="auto" w:fill="DAE8F0"/>
          </w:tcPr>
          <w:p>
            <w:pPr>
              <w:spacing w:after="0" w:line="20" w:lineRule="exact"/>
              <w:rPr>
                <w:sz w:val="1"/>
                <w:szCs w:val="1"/>
                <w:color w:val="auto"/>
              </w:rPr>
            </w:pPr>
          </w:p>
        </w:tc>
        <w:tc>
          <w:tcPr>
            <w:tcW w:w="1260" w:type="dxa"/>
            <w:vAlign w:val="bottom"/>
            <w:tcBorders>
              <w:right w:val="single" w:sz="8" w:color="91BBD3"/>
            </w:tcBorders>
            <w:shd w:val="clear" w:color="auto" w:fill="DAE8F0"/>
          </w:tcPr>
          <w:p>
            <w:pPr>
              <w:spacing w:after="0" w:line="20" w:lineRule="exact"/>
              <w:rPr>
                <w:sz w:val="1"/>
                <w:szCs w:val="1"/>
                <w:color w:val="auto"/>
              </w:rPr>
            </w:pPr>
          </w:p>
        </w:tc>
        <w:tc>
          <w:tcPr>
            <w:tcW w:w="80" w:type="dxa"/>
            <w:vAlign w:val="bottom"/>
            <w:shd w:val="clear" w:color="auto" w:fill="DAE8F0"/>
          </w:tcPr>
          <w:p>
            <w:pPr>
              <w:spacing w:after="0" w:line="20" w:lineRule="exact"/>
              <w:rPr>
                <w:sz w:val="1"/>
                <w:szCs w:val="1"/>
                <w:color w:val="auto"/>
              </w:rPr>
            </w:pPr>
          </w:p>
        </w:tc>
        <w:tc>
          <w:tcPr>
            <w:tcW w:w="2180" w:type="dxa"/>
            <w:vAlign w:val="bottom"/>
            <w:gridSpan w:val="2"/>
            <w:shd w:val="clear" w:color="auto" w:fill="0563C1"/>
          </w:tcPr>
          <w:p>
            <w:pPr>
              <w:spacing w:after="0" w:line="20" w:lineRule="exact"/>
              <w:rPr>
                <w:sz w:val="1"/>
                <w:szCs w:val="1"/>
                <w:color w:val="auto"/>
              </w:rPr>
            </w:pPr>
          </w:p>
        </w:tc>
        <w:tc>
          <w:tcPr>
            <w:tcW w:w="2500" w:type="dxa"/>
            <w:vAlign w:val="bottom"/>
            <w:gridSpan w:val="5"/>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2660" w:type="dxa"/>
            <w:vAlign w:val="bottom"/>
            <w:gridSpan w:val="3"/>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tcBorders>
            <w:shd w:val="clear" w:color="auto" w:fill="DAE8F0"/>
          </w:tcPr>
          <w:p>
            <w:pPr>
              <w:spacing w:after="0"/>
              <w:rPr>
                <w:sz w:val="17"/>
                <w:szCs w:val="17"/>
                <w:color w:val="auto"/>
              </w:rPr>
            </w:pPr>
          </w:p>
        </w:tc>
        <w:tc>
          <w:tcPr>
            <w:tcW w:w="1260" w:type="dxa"/>
            <w:vAlign w:val="bottom"/>
            <w:tcBorders>
              <w:right w:val="single" w:sz="8" w:color="91BBD3"/>
            </w:tcBorders>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2"/>
            <w:shd w:val="clear" w:color="auto" w:fill="DAE8F0"/>
          </w:tcPr>
          <w:p>
            <w:pPr>
              <w:spacing w:after="0" w:line="196" w:lineRule="exact"/>
              <w:rPr>
                <w:rFonts w:ascii="Calibri" w:cs="Calibri" w:eastAsia="Calibri" w:hAnsi="Calibri"/>
                <w:sz w:val="18"/>
                <w:szCs w:val="18"/>
                <w:color w:val="0563C1"/>
              </w:rPr>
            </w:pPr>
            <w:hyperlink r:id="rId674">
              <w:r>
                <w:rPr>
                  <w:rFonts w:ascii="Calibri" w:cs="Calibri" w:eastAsia="Calibri" w:hAnsi="Calibri"/>
                  <w:sz w:val="18"/>
                  <w:szCs w:val="18"/>
                  <w:color w:val="0563C1"/>
                </w:rPr>
                <w:t xml:space="preserve">trustee, governing the Senior Notes issued by the Company on March 16, 2020, in the form of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500 million aggregate</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shd w:val="clear" w:color="auto" w:fill="DAE8F0"/>
          </w:tcPr>
          <w:p>
            <w:pPr>
              <w:spacing w:after="0" w:line="20" w:lineRule="exact"/>
              <w:rPr>
                <w:sz w:val="1"/>
                <w:szCs w:val="1"/>
                <w:color w:val="auto"/>
              </w:rPr>
            </w:pPr>
          </w:p>
        </w:tc>
        <w:tc>
          <w:tcPr>
            <w:tcW w:w="1260" w:type="dxa"/>
            <w:vAlign w:val="bottom"/>
            <w:tcBorders>
              <w:right w:val="single" w:sz="8" w:color="91BBD3"/>
            </w:tcBorders>
            <w:shd w:val="clear" w:color="auto" w:fill="DAE8F0"/>
          </w:tcPr>
          <w:p>
            <w:pPr>
              <w:spacing w:after="0" w:line="20" w:lineRule="exact"/>
              <w:rPr>
                <w:sz w:val="1"/>
                <w:szCs w:val="1"/>
                <w:color w:val="auto"/>
              </w:rPr>
            </w:pPr>
          </w:p>
        </w:tc>
        <w:tc>
          <w:tcPr>
            <w:tcW w:w="80" w:type="dxa"/>
            <w:vAlign w:val="bottom"/>
            <w:shd w:val="clear" w:color="auto" w:fill="DAE8F0"/>
          </w:tcPr>
          <w:p>
            <w:pPr>
              <w:spacing w:after="0" w:line="20" w:lineRule="exact"/>
              <w:rPr>
                <w:sz w:val="1"/>
                <w:szCs w:val="1"/>
                <w:color w:val="auto"/>
              </w:rPr>
            </w:pPr>
          </w:p>
        </w:tc>
        <w:tc>
          <w:tcPr>
            <w:tcW w:w="2180" w:type="dxa"/>
            <w:vAlign w:val="bottom"/>
            <w:gridSpan w:val="2"/>
            <w:shd w:val="clear" w:color="auto" w:fill="0563C1"/>
          </w:tcPr>
          <w:p>
            <w:pPr>
              <w:spacing w:after="0" w:line="20" w:lineRule="exact"/>
              <w:rPr>
                <w:sz w:val="1"/>
                <w:szCs w:val="1"/>
                <w:color w:val="auto"/>
              </w:rPr>
            </w:pPr>
          </w:p>
        </w:tc>
        <w:tc>
          <w:tcPr>
            <w:tcW w:w="2500" w:type="dxa"/>
            <w:vAlign w:val="bottom"/>
            <w:gridSpan w:val="5"/>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2660" w:type="dxa"/>
            <w:vAlign w:val="bottom"/>
            <w:gridSpan w:val="3"/>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bottom w:val="single" w:sz="8" w:color="DAE8F0"/>
            </w:tcBorders>
            <w:shd w:val="clear" w:color="auto" w:fill="DAE8F0"/>
          </w:tcPr>
          <w:p>
            <w:pPr>
              <w:spacing w:after="0"/>
              <w:rPr>
                <w:sz w:val="17"/>
                <w:szCs w:val="17"/>
                <w:color w:val="auto"/>
              </w:rPr>
            </w:pPr>
          </w:p>
        </w:tc>
        <w:tc>
          <w:tcPr>
            <w:tcW w:w="1260" w:type="dxa"/>
            <w:vAlign w:val="bottom"/>
            <w:tcBorders>
              <w:bottom w:val="single" w:sz="8" w:color="DAE8F0"/>
              <w:right w:val="single" w:sz="8" w:color="91BBD3"/>
            </w:tcBorders>
            <w:shd w:val="clear" w:color="auto" w:fill="DAE8F0"/>
          </w:tcPr>
          <w:p>
            <w:pPr>
              <w:spacing w:after="0"/>
              <w:rPr>
                <w:sz w:val="17"/>
                <w:szCs w:val="17"/>
                <w:color w:val="auto"/>
              </w:rPr>
            </w:pPr>
          </w:p>
        </w:tc>
        <w:tc>
          <w:tcPr>
            <w:tcW w:w="8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w w:val="98"/>
              </w:rPr>
            </w:pPr>
            <w:hyperlink r:id="rId674">
              <w:r>
                <w:rPr>
                  <w:rFonts w:ascii="Calibri" w:cs="Calibri" w:eastAsia="Calibri" w:hAnsi="Calibri"/>
                  <w:sz w:val="18"/>
                  <w:szCs w:val="18"/>
                  <w:color w:val="0563C1"/>
                  <w:w w:val="98"/>
                </w:rPr>
                <w:t>principal amount of 2.500% Senior Notes due 2030 (incorporated by reference to Exhibit 4.2 to the Martn Marieta Materials,</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0" w:type="dxa"/>
            <w:vAlign w:val="bottom"/>
            <w:tcBorders>
              <w:left w:val="single" w:sz="8" w:color="91BBD3"/>
            </w:tcBorders>
            <w:shd w:val="clear" w:color="auto" w:fill="DAE8F0"/>
          </w:tcPr>
          <w:p>
            <w:pPr>
              <w:spacing w:after="0"/>
              <w:rPr>
                <w:sz w:val="21"/>
                <w:szCs w:val="21"/>
                <w:color w:val="auto"/>
              </w:rPr>
            </w:pPr>
          </w:p>
        </w:tc>
        <w:tc>
          <w:tcPr>
            <w:tcW w:w="1260" w:type="dxa"/>
            <w:vAlign w:val="bottom"/>
            <w:tcBorders>
              <w:right w:val="single" w:sz="8" w:color="91BBD3"/>
            </w:tcBorders>
            <w:shd w:val="clear" w:color="auto" w:fill="DAE8F0"/>
          </w:tcPr>
          <w:p>
            <w:pPr>
              <w:spacing w:after="0"/>
              <w:rPr>
                <w:sz w:val="21"/>
                <w:szCs w:val="21"/>
                <w:color w:val="auto"/>
              </w:rPr>
            </w:pPr>
          </w:p>
        </w:tc>
        <w:tc>
          <w:tcPr>
            <w:tcW w:w="8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2"/>
            <w:shd w:val="clear" w:color="auto" w:fill="DAE8F0"/>
          </w:tcPr>
          <w:p>
            <w:pPr>
              <w:spacing w:after="0" w:line="196" w:lineRule="exact"/>
              <w:rPr>
                <w:rFonts w:ascii="Calibri" w:cs="Calibri" w:eastAsia="Calibri" w:hAnsi="Calibri"/>
                <w:sz w:val="18"/>
                <w:szCs w:val="18"/>
                <w:color w:val="0563C1"/>
              </w:rPr>
            </w:pPr>
            <w:hyperlink r:id="rId674">
              <w:r>
                <w:rPr>
                  <w:rFonts w:ascii="Calibri" w:cs="Calibri" w:eastAsia="Calibri" w:hAnsi="Calibri"/>
                  <w:sz w:val="18"/>
                  <w:szCs w:val="18"/>
                  <w:color w:val="0563C1"/>
                </w:rPr>
                <w:t>Inc. Current Report on Form 8-K, fled on March 16, 2020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40" w:type="dxa"/>
            <w:vAlign w:val="bottom"/>
            <w:tcBorders>
              <w:top w:val="single" w:sz="8" w:color="91BBD3"/>
              <w:left w:val="single" w:sz="8" w:color="91BBD3"/>
            </w:tcBorders>
          </w:tcPr>
          <w:p>
            <w:pPr>
              <w:jc w:val="right"/>
              <w:spacing w:after="0" w:line="156" w:lineRule="exact"/>
              <w:rPr>
                <w:sz w:val="20"/>
                <w:szCs w:val="20"/>
                <w:color w:val="auto"/>
              </w:rPr>
            </w:pPr>
            <w:r>
              <w:rPr>
                <w:rFonts w:ascii="Calibri" w:cs="Calibri" w:eastAsia="Calibri" w:hAnsi="Calibri"/>
                <w:sz w:val="16"/>
                <w:szCs w:val="16"/>
                <w:b w:val="1"/>
                <w:bCs w:val="1"/>
                <w:color w:val="auto"/>
              </w:rPr>
              <w:t>4.18</w:t>
            </w:r>
          </w:p>
        </w:tc>
        <w:tc>
          <w:tcPr>
            <w:tcW w:w="1260" w:type="dxa"/>
            <w:vAlign w:val="bottom"/>
            <w:tcBorders>
              <w:top w:val="single" w:sz="8" w:color="91BBD3"/>
              <w:right w:val="single" w:sz="8" w:color="91BBD3"/>
            </w:tcBorders>
          </w:tcPr>
          <w:p>
            <w:pPr>
              <w:spacing w:after="0"/>
              <w:rPr>
                <w:sz w:val="13"/>
                <w:szCs w:val="13"/>
                <w:color w:val="auto"/>
              </w:rPr>
            </w:pPr>
          </w:p>
        </w:tc>
        <w:tc>
          <w:tcPr>
            <w:tcW w:w="80" w:type="dxa"/>
            <w:vAlign w:val="bottom"/>
            <w:tcBorders>
              <w:top w:val="single" w:sz="8" w:color="91BBD3"/>
            </w:tcBorders>
          </w:tcPr>
          <w:p>
            <w:pPr>
              <w:spacing w:after="0"/>
              <w:rPr>
                <w:sz w:val="13"/>
                <w:szCs w:val="13"/>
                <w:color w:val="auto"/>
              </w:rPr>
            </w:pPr>
          </w:p>
        </w:tc>
        <w:tc>
          <w:tcPr>
            <w:tcW w:w="6320" w:type="dxa"/>
            <w:vAlign w:val="bottom"/>
            <w:tcBorders>
              <w:top w:val="single" w:sz="8" w:color="0563C1"/>
            </w:tcBorders>
            <w:gridSpan w:val="8"/>
          </w:tcPr>
          <w:p>
            <w:pPr>
              <w:spacing w:after="0" w:line="156" w:lineRule="exact"/>
              <w:rPr>
                <w:rFonts w:ascii="Calibri" w:cs="Calibri" w:eastAsia="Calibri" w:hAnsi="Calibri"/>
                <w:sz w:val="16"/>
                <w:szCs w:val="16"/>
                <w:color w:val="0563C1"/>
              </w:rPr>
            </w:pPr>
            <w:hyperlink r:id="rId674">
              <w:r>
                <w:rPr>
                  <w:rFonts w:ascii="Calibri" w:cs="Calibri" w:eastAsia="Calibri" w:hAnsi="Calibri"/>
                  <w:sz w:val="16"/>
                  <w:szCs w:val="16"/>
                  <w:color w:val="0563C1"/>
                </w:rPr>
                <w:t>Form of 2.500% Senior Notes due 2030 (contained in Exhibit 4.17)</w:t>
              </w:r>
            </w:hyperlink>
          </w:p>
        </w:tc>
        <w:tc>
          <w:tcPr>
            <w:tcW w:w="2800" w:type="dxa"/>
            <w:vAlign w:val="bottom"/>
            <w:tcBorders>
              <w:top w:val="single" w:sz="8" w:color="91BBD3"/>
              <w:right w:val="single" w:sz="8" w:color="91BBD3"/>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91BBD3"/>
              <w:bottom w:val="single" w:sz="8" w:color="91BBD3"/>
            </w:tcBorders>
          </w:tcPr>
          <w:p>
            <w:pPr>
              <w:spacing w:after="0"/>
              <w:rPr>
                <w:sz w:val="4"/>
                <w:szCs w:val="4"/>
                <w:color w:val="auto"/>
              </w:rPr>
            </w:pPr>
          </w:p>
        </w:tc>
        <w:tc>
          <w:tcPr>
            <w:tcW w:w="1260" w:type="dxa"/>
            <w:vAlign w:val="bottom"/>
            <w:tcBorders>
              <w:bottom w:val="single" w:sz="8" w:color="91BBD3"/>
              <w:right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540" w:type="dxa"/>
            <w:vAlign w:val="bottom"/>
            <w:tcBorders>
              <w:top w:val="single" w:sz="8" w:color="0563C1"/>
              <w:bottom w:val="single" w:sz="8" w:color="91BBD3"/>
            </w:tcBorders>
          </w:tcPr>
          <w:p>
            <w:pPr>
              <w:spacing w:after="0"/>
              <w:rPr>
                <w:sz w:val="4"/>
                <w:szCs w:val="4"/>
                <w:color w:val="auto"/>
              </w:rPr>
            </w:pPr>
          </w:p>
        </w:tc>
        <w:tc>
          <w:tcPr>
            <w:tcW w:w="1640" w:type="dxa"/>
            <w:vAlign w:val="bottom"/>
            <w:tcBorders>
              <w:top w:val="single" w:sz="8" w:color="0563C1"/>
              <w:bottom w:val="single" w:sz="8" w:color="91BBD3"/>
            </w:tcBorders>
          </w:tcPr>
          <w:p>
            <w:pPr>
              <w:spacing w:after="0"/>
              <w:rPr>
                <w:sz w:val="4"/>
                <w:szCs w:val="4"/>
                <w:color w:val="auto"/>
              </w:rPr>
            </w:pPr>
          </w:p>
        </w:tc>
        <w:tc>
          <w:tcPr>
            <w:tcW w:w="40" w:type="dxa"/>
            <w:vAlign w:val="bottom"/>
            <w:tcBorders>
              <w:top w:val="single" w:sz="8" w:color="0563C1"/>
              <w:bottom w:val="single" w:sz="8" w:color="91BBD3"/>
            </w:tcBorders>
          </w:tcPr>
          <w:p>
            <w:pPr>
              <w:spacing w:after="0"/>
              <w:rPr>
                <w:sz w:val="4"/>
                <w:szCs w:val="4"/>
                <w:color w:val="auto"/>
              </w:rPr>
            </w:pPr>
          </w:p>
        </w:tc>
        <w:tc>
          <w:tcPr>
            <w:tcW w:w="1020" w:type="dxa"/>
            <w:vAlign w:val="bottom"/>
            <w:tcBorders>
              <w:top w:val="single" w:sz="8" w:color="0563C1"/>
              <w:bottom w:val="single" w:sz="8" w:color="91BBD3"/>
            </w:tcBorders>
          </w:tcPr>
          <w:p>
            <w:pPr>
              <w:spacing w:after="0"/>
              <w:rPr>
                <w:sz w:val="4"/>
                <w:szCs w:val="4"/>
                <w:color w:val="auto"/>
              </w:rPr>
            </w:pPr>
          </w:p>
        </w:tc>
        <w:tc>
          <w:tcPr>
            <w:tcW w:w="1320" w:type="dxa"/>
            <w:vAlign w:val="bottom"/>
            <w:tcBorders>
              <w:top w:val="single" w:sz="8" w:color="0563C1"/>
              <w:bottom w:val="single" w:sz="8" w:color="91BBD3"/>
            </w:tcBorders>
          </w:tcPr>
          <w:p>
            <w:pPr>
              <w:spacing w:after="0"/>
              <w:rPr>
                <w:sz w:val="4"/>
                <w:szCs w:val="4"/>
                <w:color w:val="auto"/>
              </w:rPr>
            </w:pPr>
          </w:p>
        </w:tc>
        <w:tc>
          <w:tcPr>
            <w:tcW w:w="20" w:type="dxa"/>
            <w:vAlign w:val="bottom"/>
            <w:tcBorders>
              <w:top w:val="single" w:sz="8" w:color="0563C1"/>
              <w:bottom w:val="single" w:sz="8" w:color="91BBD3"/>
            </w:tcBorders>
          </w:tcPr>
          <w:p>
            <w:pPr>
              <w:spacing w:after="0"/>
              <w:rPr>
                <w:sz w:val="4"/>
                <w:szCs w:val="4"/>
                <w:color w:val="auto"/>
              </w:rPr>
            </w:pPr>
          </w:p>
        </w:tc>
        <w:tc>
          <w:tcPr>
            <w:tcW w:w="100" w:type="dxa"/>
            <w:vAlign w:val="bottom"/>
            <w:tcBorders>
              <w:top w:val="single" w:sz="8" w:color="0563C1"/>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242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40" w:type="dxa"/>
            <w:vAlign w:val="bottom"/>
            <w:tcBorders>
              <w:left w:val="single" w:sz="8" w:color="91BBD3"/>
            </w:tcBorders>
            <w:shd w:val="clear" w:color="auto" w:fill="DAE8F0"/>
          </w:tcPr>
          <w:p>
            <w:pPr>
              <w:jc w:val="right"/>
              <w:spacing w:after="0" w:line="156" w:lineRule="exact"/>
              <w:rPr>
                <w:sz w:val="20"/>
                <w:szCs w:val="20"/>
                <w:color w:val="auto"/>
              </w:rPr>
            </w:pPr>
            <w:r>
              <w:rPr>
                <w:rFonts w:ascii="Calibri" w:cs="Calibri" w:eastAsia="Calibri" w:hAnsi="Calibri"/>
                <w:sz w:val="16"/>
                <w:szCs w:val="16"/>
                <w:b w:val="1"/>
                <w:bCs w:val="1"/>
                <w:color w:val="auto"/>
              </w:rPr>
              <w:t>4.19</w:t>
            </w:r>
          </w:p>
        </w:tc>
        <w:tc>
          <w:tcPr>
            <w:tcW w:w="1260" w:type="dxa"/>
            <w:vAlign w:val="bottom"/>
            <w:tcBorders>
              <w:right w:val="single" w:sz="8" w:color="91BBD3"/>
            </w:tcBorders>
            <w:shd w:val="clear" w:color="auto" w:fill="DAE8F0"/>
          </w:tcPr>
          <w:p>
            <w:pPr>
              <w:spacing w:after="0"/>
              <w:rPr>
                <w:sz w:val="13"/>
                <w:szCs w:val="13"/>
                <w:color w:val="auto"/>
              </w:rPr>
            </w:pPr>
          </w:p>
        </w:tc>
        <w:tc>
          <w:tcPr>
            <w:tcW w:w="8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2"/>
            <w:shd w:val="clear" w:color="auto" w:fill="DAE8F0"/>
          </w:tcPr>
          <w:p>
            <w:pPr>
              <w:spacing w:after="0" w:line="156" w:lineRule="exact"/>
              <w:rPr>
                <w:rFonts w:ascii="Calibri" w:cs="Calibri" w:eastAsia="Calibri" w:hAnsi="Calibri"/>
                <w:sz w:val="16"/>
                <w:szCs w:val="16"/>
                <w:color w:val="0563C1"/>
              </w:rPr>
            </w:pPr>
            <w:hyperlink r:id="rId675">
              <w:r>
                <w:rPr>
                  <w:rFonts w:ascii="Calibri" w:cs="Calibri" w:eastAsia="Calibri" w:hAnsi="Calibri"/>
                  <w:sz w:val="16"/>
                  <w:szCs w:val="16"/>
                  <w:color w:val="0563C1"/>
                </w:rPr>
                <w:t>Fourth Supplemental Indenture, dated as of July 2, 2021, between Martn Marieta Materials, Inc. and Regions Bank, as</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shd w:val="clear" w:color="auto" w:fill="DAE8F0"/>
          </w:tcPr>
          <w:p>
            <w:pPr>
              <w:spacing w:after="0" w:line="20" w:lineRule="exact"/>
              <w:rPr>
                <w:sz w:val="1"/>
                <w:szCs w:val="1"/>
                <w:color w:val="auto"/>
              </w:rPr>
            </w:pPr>
          </w:p>
        </w:tc>
        <w:tc>
          <w:tcPr>
            <w:tcW w:w="1260" w:type="dxa"/>
            <w:vAlign w:val="bottom"/>
            <w:tcBorders>
              <w:right w:val="single" w:sz="8" w:color="91BBD3"/>
            </w:tcBorders>
            <w:shd w:val="clear" w:color="auto" w:fill="DAE8F0"/>
          </w:tcPr>
          <w:p>
            <w:pPr>
              <w:spacing w:after="0" w:line="20" w:lineRule="exact"/>
              <w:rPr>
                <w:sz w:val="1"/>
                <w:szCs w:val="1"/>
                <w:color w:val="auto"/>
              </w:rPr>
            </w:pPr>
          </w:p>
        </w:tc>
        <w:tc>
          <w:tcPr>
            <w:tcW w:w="80" w:type="dxa"/>
            <w:vAlign w:val="bottom"/>
            <w:shd w:val="clear" w:color="auto" w:fill="DAE8F0"/>
          </w:tcPr>
          <w:p>
            <w:pPr>
              <w:spacing w:after="0" w:line="20" w:lineRule="exact"/>
              <w:rPr>
                <w:sz w:val="1"/>
                <w:szCs w:val="1"/>
                <w:color w:val="auto"/>
              </w:rPr>
            </w:pPr>
          </w:p>
        </w:tc>
        <w:tc>
          <w:tcPr>
            <w:tcW w:w="2180" w:type="dxa"/>
            <w:vAlign w:val="bottom"/>
            <w:gridSpan w:val="2"/>
            <w:shd w:val="clear" w:color="auto" w:fill="0563C1"/>
          </w:tcPr>
          <w:p>
            <w:pPr>
              <w:spacing w:after="0" w:line="20" w:lineRule="exact"/>
              <w:rPr>
                <w:sz w:val="1"/>
                <w:szCs w:val="1"/>
                <w:color w:val="auto"/>
              </w:rPr>
            </w:pPr>
          </w:p>
        </w:tc>
        <w:tc>
          <w:tcPr>
            <w:tcW w:w="6800" w:type="dxa"/>
            <w:vAlign w:val="bottom"/>
            <w:gridSpan w:val="9"/>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bottom w:val="single" w:sz="8" w:color="DAE8F0"/>
            </w:tcBorders>
            <w:shd w:val="clear" w:color="auto" w:fill="DAE8F0"/>
          </w:tcPr>
          <w:p>
            <w:pPr>
              <w:spacing w:after="0"/>
              <w:rPr>
                <w:sz w:val="17"/>
                <w:szCs w:val="17"/>
                <w:color w:val="auto"/>
              </w:rPr>
            </w:pPr>
          </w:p>
        </w:tc>
        <w:tc>
          <w:tcPr>
            <w:tcW w:w="1260" w:type="dxa"/>
            <w:vAlign w:val="bottom"/>
            <w:tcBorders>
              <w:bottom w:val="single" w:sz="8" w:color="DAE8F0"/>
              <w:right w:val="single" w:sz="8" w:color="91BBD3"/>
            </w:tcBorders>
            <w:shd w:val="clear" w:color="auto" w:fill="DAE8F0"/>
          </w:tcPr>
          <w:p>
            <w:pPr>
              <w:spacing w:after="0"/>
              <w:rPr>
                <w:sz w:val="17"/>
                <w:szCs w:val="17"/>
                <w:color w:val="auto"/>
              </w:rPr>
            </w:pPr>
          </w:p>
        </w:tc>
        <w:tc>
          <w:tcPr>
            <w:tcW w:w="8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rPr>
            </w:pPr>
            <w:hyperlink r:id="rId675">
              <w:r>
                <w:rPr>
                  <w:rFonts w:ascii="Calibri" w:cs="Calibri" w:eastAsia="Calibri" w:hAnsi="Calibri"/>
                  <w:sz w:val="18"/>
                  <w:szCs w:val="18"/>
                  <w:color w:val="0563C1"/>
                </w:rPr>
                <w:t>trustee (incorporated by reference to Exhibit 4.2 of the Company’s Current Report on Form 8-K, fled on July 2, 2021)</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0" w:type="dxa"/>
            <w:vAlign w:val="bottom"/>
            <w:tcBorders>
              <w:left w:val="single" w:sz="8" w:color="91BBD3"/>
              <w:bottom w:val="single" w:sz="8" w:color="91BBD3"/>
            </w:tcBorders>
            <w:shd w:val="clear" w:color="auto" w:fill="DAE8F0"/>
          </w:tcPr>
          <w:p>
            <w:pPr>
              <w:spacing w:after="0"/>
              <w:rPr>
                <w:sz w:val="21"/>
                <w:szCs w:val="21"/>
                <w:color w:val="auto"/>
              </w:rPr>
            </w:pPr>
          </w:p>
        </w:tc>
        <w:tc>
          <w:tcPr>
            <w:tcW w:w="1260" w:type="dxa"/>
            <w:vAlign w:val="bottom"/>
            <w:tcBorders>
              <w:bottom w:val="single" w:sz="8" w:color="91BBD3"/>
              <w:right w:val="single" w:sz="8" w:color="91BBD3"/>
            </w:tcBorders>
            <w:shd w:val="clear" w:color="auto" w:fill="DAE8F0"/>
          </w:tcPr>
          <w:p>
            <w:pPr>
              <w:spacing w:after="0"/>
              <w:rPr>
                <w:sz w:val="21"/>
                <w:szCs w:val="21"/>
                <w:color w:val="auto"/>
              </w:rPr>
            </w:pPr>
          </w:p>
        </w:tc>
        <w:tc>
          <w:tcPr>
            <w:tcW w:w="80" w:type="dxa"/>
            <w:vAlign w:val="bottom"/>
            <w:tcBorders>
              <w:bottom w:val="single" w:sz="8" w:color="91BBD3"/>
            </w:tcBorders>
            <w:shd w:val="clear" w:color="auto" w:fill="DAE8F0"/>
          </w:tcPr>
          <w:p>
            <w:pPr>
              <w:spacing w:after="0"/>
              <w:rPr>
                <w:sz w:val="21"/>
                <w:szCs w:val="21"/>
                <w:color w:val="auto"/>
              </w:rPr>
            </w:pPr>
          </w:p>
        </w:tc>
        <w:tc>
          <w:tcPr>
            <w:tcW w:w="2180" w:type="dxa"/>
            <w:vAlign w:val="bottom"/>
            <w:tcBorders>
              <w:bottom w:val="single" w:sz="8" w:color="0563C1"/>
            </w:tcBorders>
            <w:gridSpan w:val="2"/>
            <w:shd w:val="clear" w:color="auto" w:fill="DAE8F0"/>
          </w:tcPr>
          <w:p>
            <w:pPr>
              <w:spacing w:after="0" w:line="196" w:lineRule="exact"/>
              <w:rPr>
                <w:rFonts w:ascii="Calibri" w:cs="Calibri" w:eastAsia="Calibri" w:hAnsi="Calibri"/>
                <w:sz w:val="18"/>
                <w:szCs w:val="18"/>
                <w:color w:val="0563C1"/>
                <w:w w:val="96"/>
              </w:rPr>
            </w:pPr>
            <w:hyperlink r:id="rId675">
              <w:r>
                <w:rPr>
                  <w:rFonts w:ascii="Calibri" w:cs="Calibri" w:eastAsia="Calibri" w:hAnsi="Calibri"/>
                  <w:sz w:val="18"/>
                  <w:szCs w:val="18"/>
                  <w:color w:val="0563C1"/>
                  <w:w w:val="96"/>
                </w:rPr>
                <w:t>(Commission File No. 1-12744)</w:t>
              </w:r>
            </w:hyperlink>
          </w:p>
        </w:tc>
        <w:tc>
          <w:tcPr>
            <w:tcW w:w="6940" w:type="dxa"/>
            <w:vAlign w:val="bottom"/>
            <w:tcBorders>
              <w:bottom w:val="single" w:sz="8" w:color="91BBD3"/>
              <w:right w:val="single" w:sz="8" w:color="91BBD3"/>
            </w:tcBorders>
            <w:gridSpan w:val="10"/>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91BBD3"/>
            </w:tcBorders>
          </w:tcPr>
          <w:p>
            <w:pPr>
              <w:jc w:val="right"/>
              <w:spacing w:after="0" w:line="156" w:lineRule="exact"/>
              <w:rPr>
                <w:sz w:val="20"/>
                <w:szCs w:val="20"/>
                <w:color w:val="auto"/>
              </w:rPr>
            </w:pPr>
            <w:r>
              <w:rPr>
                <w:rFonts w:ascii="Calibri" w:cs="Calibri" w:eastAsia="Calibri" w:hAnsi="Calibri"/>
                <w:sz w:val="16"/>
                <w:szCs w:val="16"/>
                <w:b w:val="1"/>
                <w:bCs w:val="1"/>
                <w:color w:val="auto"/>
              </w:rPr>
              <w:t>4.20</w:t>
            </w:r>
          </w:p>
        </w:tc>
        <w:tc>
          <w:tcPr>
            <w:tcW w:w="1260" w:type="dxa"/>
            <w:vAlign w:val="bottom"/>
            <w:tcBorders>
              <w:right w:val="single" w:sz="8" w:color="91BBD3"/>
            </w:tcBorders>
          </w:tcPr>
          <w:p>
            <w:pPr>
              <w:spacing w:after="0"/>
              <w:rPr>
                <w:sz w:val="13"/>
                <w:szCs w:val="13"/>
                <w:color w:val="auto"/>
              </w:rPr>
            </w:pPr>
          </w:p>
        </w:tc>
        <w:tc>
          <w:tcPr>
            <w:tcW w:w="80" w:type="dxa"/>
            <w:vAlign w:val="bottom"/>
          </w:tcPr>
          <w:p>
            <w:pPr>
              <w:spacing w:after="0"/>
              <w:rPr>
                <w:sz w:val="13"/>
                <w:szCs w:val="13"/>
                <w:color w:val="auto"/>
              </w:rPr>
            </w:pPr>
          </w:p>
        </w:tc>
        <w:tc>
          <w:tcPr>
            <w:tcW w:w="9120" w:type="dxa"/>
            <w:vAlign w:val="bottom"/>
            <w:tcBorders>
              <w:right w:val="single" w:sz="8" w:color="91BBD3"/>
            </w:tcBorders>
            <w:gridSpan w:val="12"/>
          </w:tcPr>
          <w:p>
            <w:pPr>
              <w:spacing w:after="0" w:line="156" w:lineRule="exact"/>
              <w:rPr>
                <w:rFonts w:ascii="Calibri" w:cs="Calibri" w:eastAsia="Calibri" w:hAnsi="Calibri"/>
                <w:sz w:val="16"/>
                <w:szCs w:val="16"/>
                <w:color w:val="0563C1"/>
              </w:rPr>
            </w:pPr>
            <w:hyperlink r:id="rId675">
              <w:r>
                <w:rPr>
                  <w:rFonts w:ascii="Calibri" w:cs="Calibri" w:eastAsia="Calibri" w:hAnsi="Calibri"/>
                  <w:sz w:val="16"/>
                  <w:szCs w:val="16"/>
                  <w:color w:val="0563C1"/>
                </w:rPr>
                <w:t>Form of 2.400% Senior Notes due 2031 (contained in Exhibit 4.19)</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91BBD3"/>
              <w:bottom w:val="single" w:sz="8" w:color="91BBD3"/>
            </w:tcBorders>
          </w:tcPr>
          <w:p>
            <w:pPr>
              <w:spacing w:after="0"/>
              <w:rPr>
                <w:sz w:val="4"/>
                <w:szCs w:val="4"/>
                <w:color w:val="auto"/>
              </w:rPr>
            </w:pPr>
          </w:p>
        </w:tc>
        <w:tc>
          <w:tcPr>
            <w:tcW w:w="1260" w:type="dxa"/>
            <w:vAlign w:val="bottom"/>
            <w:tcBorders>
              <w:bottom w:val="single" w:sz="8" w:color="91BBD3"/>
              <w:right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540" w:type="dxa"/>
            <w:vAlign w:val="bottom"/>
            <w:tcBorders>
              <w:top w:val="single" w:sz="8" w:color="0563C1"/>
              <w:bottom w:val="single" w:sz="8" w:color="91BBD3"/>
            </w:tcBorders>
          </w:tcPr>
          <w:p>
            <w:pPr>
              <w:spacing w:after="0"/>
              <w:rPr>
                <w:sz w:val="4"/>
                <w:szCs w:val="4"/>
                <w:color w:val="auto"/>
              </w:rPr>
            </w:pPr>
          </w:p>
        </w:tc>
        <w:tc>
          <w:tcPr>
            <w:tcW w:w="1640" w:type="dxa"/>
            <w:vAlign w:val="bottom"/>
            <w:tcBorders>
              <w:top w:val="single" w:sz="8" w:color="0563C1"/>
              <w:bottom w:val="single" w:sz="8" w:color="91BBD3"/>
            </w:tcBorders>
          </w:tcPr>
          <w:p>
            <w:pPr>
              <w:spacing w:after="0"/>
              <w:rPr>
                <w:sz w:val="4"/>
                <w:szCs w:val="4"/>
                <w:color w:val="auto"/>
              </w:rPr>
            </w:pPr>
          </w:p>
        </w:tc>
        <w:tc>
          <w:tcPr>
            <w:tcW w:w="40" w:type="dxa"/>
            <w:vAlign w:val="bottom"/>
            <w:tcBorders>
              <w:top w:val="single" w:sz="8" w:color="0563C1"/>
              <w:bottom w:val="single" w:sz="8" w:color="91BBD3"/>
            </w:tcBorders>
          </w:tcPr>
          <w:p>
            <w:pPr>
              <w:spacing w:after="0"/>
              <w:rPr>
                <w:sz w:val="4"/>
                <w:szCs w:val="4"/>
                <w:color w:val="auto"/>
              </w:rPr>
            </w:pPr>
          </w:p>
        </w:tc>
        <w:tc>
          <w:tcPr>
            <w:tcW w:w="1020" w:type="dxa"/>
            <w:vAlign w:val="bottom"/>
            <w:tcBorders>
              <w:top w:val="single" w:sz="8" w:color="0563C1"/>
              <w:bottom w:val="single" w:sz="8" w:color="91BBD3"/>
            </w:tcBorders>
          </w:tcPr>
          <w:p>
            <w:pPr>
              <w:spacing w:after="0"/>
              <w:rPr>
                <w:sz w:val="4"/>
                <w:szCs w:val="4"/>
                <w:color w:val="auto"/>
              </w:rPr>
            </w:pPr>
          </w:p>
        </w:tc>
        <w:tc>
          <w:tcPr>
            <w:tcW w:w="1320" w:type="dxa"/>
            <w:vAlign w:val="bottom"/>
            <w:tcBorders>
              <w:top w:val="single" w:sz="8" w:color="0563C1"/>
              <w:bottom w:val="single" w:sz="8" w:color="91BBD3"/>
            </w:tcBorders>
          </w:tcPr>
          <w:p>
            <w:pPr>
              <w:spacing w:after="0"/>
              <w:rPr>
                <w:sz w:val="4"/>
                <w:szCs w:val="4"/>
                <w:color w:val="auto"/>
              </w:rPr>
            </w:pPr>
          </w:p>
        </w:tc>
        <w:tc>
          <w:tcPr>
            <w:tcW w:w="20" w:type="dxa"/>
            <w:vAlign w:val="bottom"/>
            <w:tcBorders>
              <w:top w:val="single" w:sz="8" w:color="0563C1"/>
              <w:bottom w:val="single" w:sz="8" w:color="91BBD3"/>
            </w:tcBorders>
          </w:tcPr>
          <w:p>
            <w:pPr>
              <w:spacing w:after="0"/>
              <w:rPr>
                <w:sz w:val="4"/>
                <w:szCs w:val="4"/>
                <w:color w:val="auto"/>
              </w:rPr>
            </w:pPr>
          </w:p>
        </w:tc>
        <w:tc>
          <w:tcPr>
            <w:tcW w:w="100" w:type="dxa"/>
            <w:vAlign w:val="bottom"/>
            <w:tcBorders>
              <w:top w:val="single" w:sz="8" w:color="0563C1"/>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242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91BBD3"/>
            </w:tcBorders>
            <w:shd w:val="clear" w:color="auto" w:fill="DAE8F0"/>
          </w:tcPr>
          <w:p>
            <w:pPr>
              <w:jc w:val="right"/>
              <w:spacing w:after="0" w:line="156" w:lineRule="exact"/>
              <w:rPr>
                <w:sz w:val="20"/>
                <w:szCs w:val="20"/>
                <w:color w:val="auto"/>
              </w:rPr>
            </w:pPr>
            <w:r>
              <w:rPr>
                <w:rFonts w:ascii="Calibri" w:cs="Calibri" w:eastAsia="Calibri" w:hAnsi="Calibri"/>
                <w:sz w:val="16"/>
                <w:szCs w:val="16"/>
                <w:b w:val="1"/>
                <w:bCs w:val="1"/>
                <w:color w:val="auto"/>
              </w:rPr>
              <w:t>4.21</w:t>
            </w:r>
          </w:p>
        </w:tc>
        <w:tc>
          <w:tcPr>
            <w:tcW w:w="1260" w:type="dxa"/>
            <w:vAlign w:val="bottom"/>
            <w:tcBorders>
              <w:right w:val="single" w:sz="8" w:color="91BBD3"/>
            </w:tcBorders>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2"/>
            <w:shd w:val="clear" w:color="auto" w:fill="DAE8F0"/>
          </w:tcPr>
          <w:p>
            <w:pPr>
              <w:spacing w:after="0" w:line="156" w:lineRule="exact"/>
              <w:rPr>
                <w:rFonts w:ascii="Calibri" w:cs="Calibri" w:eastAsia="Calibri" w:hAnsi="Calibri"/>
                <w:sz w:val="16"/>
                <w:szCs w:val="16"/>
                <w:color w:val="0563C1"/>
              </w:rPr>
            </w:pPr>
            <w:hyperlink r:id="rId675">
              <w:r>
                <w:rPr>
                  <w:rFonts w:ascii="Calibri" w:cs="Calibri" w:eastAsia="Calibri" w:hAnsi="Calibri"/>
                  <w:sz w:val="16"/>
                  <w:szCs w:val="16"/>
                  <w:color w:val="0563C1"/>
                </w:rPr>
                <w:t>Form of 3.200% Senior Notes due 2051 (contained in Exhibit 4.19)</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2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0563C1"/>
            </w:tcBorders>
            <w:shd w:val="clear" w:color="auto" w:fill="91BBD3"/>
          </w:tcPr>
          <w:p>
            <w:pPr>
              <w:spacing w:after="0" w:line="20" w:lineRule="exact"/>
              <w:rPr>
                <w:sz w:val="1"/>
                <w:szCs w:val="1"/>
                <w:color w:val="auto"/>
              </w:rPr>
            </w:pPr>
          </w:p>
        </w:tc>
        <w:tc>
          <w:tcPr>
            <w:tcW w:w="164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1020" w:type="dxa"/>
            <w:vAlign w:val="bottom"/>
            <w:tcBorders>
              <w:top w:val="single" w:sz="8" w:color="0563C1"/>
            </w:tcBorders>
            <w:shd w:val="clear" w:color="auto" w:fill="91BBD3"/>
          </w:tcPr>
          <w:p>
            <w:pPr>
              <w:spacing w:after="0" w:line="20" w:lineRule="exact"/>
              <w:rPr>
                <w:sz w:val="1"/>
                <w:szCs w:val="1"/>
                <w:color w:val="auto"/>
              </w:rPr>
            </w:pPr>
          </w:p>
        </w:tc>
        <w:tc>
          <w:tcPr>
            <w:tcW w:w="132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100" w:type="dxa"/>
            <w:vAlign w:val="bottom"/>
            <w:tcBorders>
              <w:top w:val="single" w:sz="8" w:color="0563C1"/>
            </w:tcBorders>
            <w:shd w:val="clear" w:color="auto" w:fill="91BBD3"/>
          </w:tcPr>
          <w:p>
            <w:pPr>
              <w:spacing w:after="0" w:line="20" w:lineRule="exact"/>
              <w:rPr>
                <w:sz w:val="1"/>
                <w:szCs w:val="1"/>
                <w:color w:val="auto"/>
              </w:rPr>
            </w:pPr>
          </w:p>
        </w:tc>
        <w:tc>
          <w:tcPr>
            <w:tcW w:w="1640" w:type="dxa"/>
            <w:vAlign w:val="bottom"/>
            <w:tcBorders>
              <w:top w:val="single" w:sz="8" w:color="DAE8F0"/>
            </w:tcBorders>
            <w:shd w:val="clear" w:color="auto" w:fill="91BBD3"/>
          </w:tcPr>
          <w:p>
            <w:pPr>
              <w:spacing w:after="0" w:line="20" w:lineRule="exact"/>
              <w:rPr>
                <w:sz w:val="1"/>
                <w:szCs w:val="1"/>
                <w:color w:val="auto"/>
              </w:rPr>
            </w:pPr>
          </w:p>
        </w:tc>
        <w:tc>
          <w:tcPr>
            <w:tcW w:w="242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-175260</wp:posOffset>
            </wp:positionV>
            <wp:extent cx="325755" cy="1974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6">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0"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308"/>
        </w:trPr>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gridSpan w:val="11"/>
          </w:tcPr>
          <w:p>
            <w:pPr>
              <w:ind w:left="60"/>
              <w:spacing w:after="0"/>
              <w:rPr>
                <w:sz w:val="20"/>
                <w:szCs w:val="20"/>
                <w:color w:val="auto"/>
              </w:rPr>
            </w:pPr>
            <w:r>
              <w:rPr>
                <w:rFonts w:ascii="Calibri" w:cs="Calibri" w:eastAsia="Calibri" w:hAnsi="Calibri"/>
                <w:sz w:val="18"/>
                <w:szCs w:val="18"/>
                <w:color w:val="auto"/>
                <w:w w:val="98"/>
              </w:rPr>
              <w:t xml:space="preserve">Part IV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164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2180" w:type="dxa"/>
            <w:vAlign w:val="bottom"/>
            <w:tcBorders>
              <w:bottom w:val="single" w:sz="8" w:color="007DC6"/>
            </w:tcBorders>
          </w:tcPr>
          <w:p>
            <w:pPr>
              <w:spacing w:after="0"/>
              <w:rPr>
                <w:sz w:val="14"/>
                <w:szCs w:val="14"/>
                <w:color w:val="auto"/>
              </w:rPr>
            </w:pPr>
          </w:p>
        </w:tc>
        <w:tc>
          <w:tcPr>
            <w:tcW w:w="780" w:type="dxa"/>
            <w:vAlign w:val="bottom"/>
            <w:tcBorders>
              <w:bottom w:val="single" w:sz="8" w:color="007DC6"/>
            </w:tcBorders>
          </w:tcPr>
          <w:p>
            <w:pPr>
              <w:spacing w:after="0"/>
              <w:rPr>
                <w:sz w:val="14"/>
                <w:szCs w:val="14"/>
                <w:color w:val="auto"/>
              </w:rPr>
            </w:pPr>
          </w:p>
        </w:tc>
        <w:tc>
          <w:tcPr>
            <w:tcW w:w="1560" w:type="dxa"/>
            <w:vAlign w:val="bottom"/>
            <w:tcBorders>
              <w:bottom w:val="single" w:sz="8" w:color="007DC6"/>
            </w:tcBorders>
          </w:tcPr>
          <w:p>
            <w:pPr>
              <w:spacing w:after="0"/>
              <w:rPr>
                <w:sz w:val="14"/>
                <w:szCs w:val="14"/>
                <w:color w:val="auto"/>
              </w:rPr>
            </w:pPr>
          </w:p>
        </w:tc>
        <w:tc>
          <w:tcPr>
            <w:tcW w:w="160" w:type="dxa"/>
            <w:vAlign w:val="bottom"/>
            <w:tcBorders>
              <w:bottom w:val="single" w:sz="8" w:color="007DC6"/>
            </w:tcBorders>
          </w:tcPr>
          <w:p>
            <w:pPr>
              <w:spacing w:after="0"/>
              <w:rPr>
                <w:sz w:val="14"/>
                <w:szCs w:val="14"/>
                <w:color w:val="auto"/>
              </w:rPr>
            </w:pPr>
          </w:p>
        </w:tc>
        <w:tc>
          <w:tcPr>
            <w:tcW w:w="2240" w:type="dxa"/>
            <w:vAlign w:val="bottom"/>
            <w:tcBorders>
              <w:bottom w:val="single" w:sz="8" w:color="007DC6"/>
            </w:tcBorders>
          </w:tcPr>
          <w:p>
            <w:pPr>
              <w:spacing w:after="0"/>
              <w:rPr>
                <w:sz w:val="14"/>
                <w:szCs w:val="14"/>
                <w:color w:val="auto"/>
              </w:rPr>
            </w:pPr>
          </w:p>
        </w:tc>
        <w:tc>
          <w:tcPr>
            <w:tcW w:w="620" w:type="dxa"/>
            <w:vAlign w:val="bottom"/>
            <w:tcBorders>
              <w:bottom w:val="single" w:sz="8" w:color="007DC6"/>
            </w:tcBorders>
          </w:tcPr>
          <w:p>
            <w:pPr>
              <w:spacing w:after="0"/>
              <w:rPr>
                <w:sz w:val="14"/>
                <w:szCs w:val="14"/>
                <w:color w:val="auto"/>
              </w:rPr>
            </w:pPr>
          </w:p>
        </w:tc>
        <w:tc>
          <w:tcPr>
            <w:tcW w:w="480" w:type="dxa"/>
            <w:vAlign w:val="bottom"/>
            <w:tcBorders>
              <w:bottom w:val="single" w:sz="8" w:color="007DC6"/>
            </w:tcBorders>
          </w:tcPr>
          <w:p>
            <w:pPr>
              <w:spacing w:after="0"/>
              <w:rPr>
                <w:sz w:val="14"/>
                <w:szCs w:val="14"/>
                <w:color w:val="auto"/>
              </w:rPr>
            </w:pPr>
          </w:p>
        </w:tc>
        <w:tc>
          <w:tcPr>
            <w:tcW w:w="80" w:type="dxa"/>
            <w:vAlign w:val="bottom"/>
            <w:tcBorders>
              <w:bottom w:val="single" w:sz="8" w:color="007DC6"/>
            </w:tcBorders>
          </w:tcPr>
          <w:p>
            <w:pPr>
              <w:spacing w:after="0"/>
              <w:rPr>
                <w:sz w:val="14"/>
                <w:szCs w:val="14"/>
                <w:color w:val="auto"/>
              </w:rPr>
            </w:pPr>
          </w:p>
        </w:tc>
        <w:tc>
          <w:tcPr>
            <w:tcW w:w="160" w:type="dxa"/>
            <w:vAlign w:val="bottom"/>
            <w:tcBorders>
              <w:bottom w:val="single" w:sz="8" w:color="007DC6"/>
            </w:tcBorders>
          </w:tcPr>
          <w:p>
            <w:pPr>
              <w:spacing w:after="0"/>
              <w:rPr>
                <w:sz w:val="14"/>
                <w:szCs w:val="14"/>
                <w:color w:val="auto"/>
              </w:rPr>
            </w:pPr>
          </w:p>
        </w:tc>
        <w:tc>
          <w:tcPr>
            <w:tcW w:w="280" w:type="dxa"/>
            <w:vAlign w:val="bottom"/>
            <w:tcBorders>
              <w:bottom w:val="single" w:sz="8" w:color="007DC6"/>
            </w:tcBorders>
          </w:tcPr>
          <w:p>
            <w:pPr>
              <w:spacing w:after="0"/>
              <w:rPr>
                <w:sz w:val="14"/>
                <w:szCs w:val="14"/>
                <w:color w:val="auto"/>
              </w:rPr>
            </w:pPr>
          </w:p>
        </w:tc>
        <w:tc>
          <w:tcPr>
            <w:tcW w:w="320" w:type="dxa"/>
            <w:vAlign w:val="bottom"/>
            <w:tcBorders>
              <w:bottom w:val="single" w:sz="8" w:color="007DC6"/>
            </w:tcBorders>
          </w:tcPr>
          <w:p>
            <w:pPr>
              <w:spacing w:after="0"/>
              <w:rPr>
                <w:sz w:val="14"/>
                <w:szCs w:val="14"/>
                <w:color w:val="auto"/>
              </w:rPr>
            </w:pPr>
          </w:p>
        </w:tc>
        <w:tc>
          <w:tcPr>
            <w:tcW w:w="14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4"/>
        </w:trPr>
        <w:tc>
          <w:tcPr>
            <w:tcW w:w="220" w:type="dxa"/>
            <w:vAlign w:val="bottom"/>
            <w:tcBorders>
              <w:right w:val="single" w:sz="8" w:color="91BBD3"/>
            </w:tcBorders>
          </w:tcPr>
          <w:p>
            <w:pPr>
              <w:spacing w:after="0"/>
              <w:rPr>
                <w:sz w:val="24"/>
                <w:szCs w:val="24"/>
                <w:color w:val="auto"/>
              </w:rPr>
            </w:pPr>
          </w:p>
        </w:tc>
        <w:tc>
          <w:tcPr>
            <w:tcW w:w="1640" w:type="dxa"/>
            <w:vAlign w:val="bottom"/>
            <w:tcBorders>
              <w:bottom w:val="single" w:sz="8" w:color="007DC6"/>
              <w:right w:val="single" w:sz="8" w:color="91BBD3"/>
            </w:tcBorders>
            <w:shd w:val="clear" w:color="auto" w:fill="007DC6"/>
          </w:tcPr>
          <w:p>
            <w:pPr>
              <w:ind w:left="400"/>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2180" w:type="dxa"/>
            <w:vAlign w:val="bottom"/>
            <w:tcBorders>
              <w:bottom w:val="single" w:sz="8" w:color="007DC6"/>
            </w:tcBorders>
            <w:shd w:val="clear" w:color="auto" w:fill="007DC6"/>
          </w:tcPr>
          <w:p>
            <w:pPr>
              <w:spacing w:after="0"/>
              <w:rPr>
                <w:sz w:val="24"/>
                <w:szCs w:val="24"/>
                <w:color w:val="auto"/>
              </w:rPr>
            </w:pPr>
          </w:p>
        </w:tc>
        <w:tc>
          <w:tcPr>
            <w:tcW w:w="780" w:type="dxa"/>
            <w:vAlign w:val="bottom"/>
            <w:tcBorders>
              <w:bottom w:val="single" w:sz="8" w:color="007DC6"/>
            </w:tcBorders>
            <w:shd w:val="clear" w:color="auto" w:fill="007DC6"/>
          </w:tcPr>
          <w:p>
            <w:pPr>
              <w:spacing w:after="0"/>
              <w:rPr>
                <w:sz w:val="24"/>
                <w:szCs w:val="24"/>
                <w:color w:val="auto"/>
              </w:rPr>
            </w:pPr>
          </w:p>
        </w:tc>
        <w:tc>
          <w:tcPr>
            <w:tcW w:w="1560" w:type="dxa"/>
            <w:vAlign w:val="bottom"/>
            <w:tcBorders>
              <w:bottom w:val="single" w:sz="8" w:color="007DC6"/>
            </w:tcBorders>
            <w:shd w:val="clear" w:color="auto" w:fill="007DC6"/>
          </w:tcPr>
          <w:p>
            <w:pPr>
              <w:spacing w:after="0"/>
              <w:rPr>
                <w:sz w:val="24"/>
                <w:szCs w:val="24"/>
                <w:color w:val="auto"/>
              </w:rPr>
            </w:pPr>
          </w:p>
        </w:tc>
        <w:tc>
          <w:tcPr>
            <w:tcW w:w="160" w:type="dxa"/>
            <w:vAlign w:val="bottom"/>
            <w:tcBorders>
              <w:bottom w:val="single" w:sz="8" w:color="007DC6"/>
            </w:tcBorders>
            <w:shd w:val="clear" w:color="auto" w:fill="007DC6"/>
          </w:tcPr>
          <w:p>
            <w:pPr>
              <w:spacing w:after="0"/>
              <w:rPr>
                <w:sz w:val="24"/>
                <w:szCs w:val="24"/>
                <w:color w:val="auto"/>
              </w:rPr>
            </w:pPr>
          </w:p>
        </w:tc>
        <w:tc>
          <w:tcPr>
            <w:tcW w:w="2240" w:type="dxa"/>
            <w:vAlign w:val="bottom"/>
            <w:tcBorders>
              <w:bottom w:val="single" w:sz="8" w:color="007DC6"/>
            </w:tcBorders>
            <w:shd w:val="clear" w:color="auto" w:fill="007DC6"/>
          </w:tcPr>
          <w:p>
            <w:pPr>
              <w:spacing w:after="0"/>
              <w:rPr>
                <w:sz w:val="24"/>
                <w:szCs w:val="24"/>
                <w:color w:val="auto"/>
              </w:rPr>
            </w:pPr>
          </w:p>
        </w:tc>
        <w:tc>
          <w:tcPr>
            <w:tcW w:w="620" w:type="dxa"/>
            <w:vAlign w:val="bottom"/>
            <w:tcBorders>
              <w:bottom w:val="single" w:sz="8" w:color="007DC6"/>
            </w:tcBorders>
            <w:shd w:val="clear" w:color="auto" w:fill="007DC6"/>
          </w:tcPr>
          <w:p>
            <w:pPr>
              <w:spacing w:after="0"/>
              <w:rPr>
                <w:sz w:val="24"/>
                <w:szCs w:val="24"/>
                <w:color w:val="auto"/>
              </w:rPr>
            </w:pPr>
          </w:p>
        </w:tc>
        <w:tc>
          <w:tcPr>
            <w:tcW w:w="480" w:type="dxa"/>
            <w:vAlign w:val="bottom"/>
            <w:tcBorders>
              <w:bottom w:val="single" w:sz="8" w:color="007DC6"/>
            </w:tcBorders>
            <w:shd w:val="clear" w:color="auto" w:fill="007DC6"/>
          </w:tcPr>
          <w:p>
            <w:pPr>
              <w:spacing w:after="0"/>
              <w:rPr>
                <w:sz w:val="24"/>
                <w:szCs w:val="24"/>
                <w:color w:val="auto"/>
              </w:rPr>
            </w:pPr>
          </w:p>
        </w:tc>
        <w:tc>
          <w:tcPr>
            <w:tcW w:w="80" w:type="dxa"/>
            <w:vAlign w:val="bottom"/>
            <w:tcBorders>
              <w:bottom w:val="single" w:sz="8" w:color="007DC6"/>
            </w:tcBorders>
            <w:shd w:val="clear" w:color="auto" w:fill="007DC6"/>
          </w:tcPr>
          <w:p>
            <w:pPr>
              <w:spacing w:after="0"/>
              <w:rPr>
                <w:sz w:val="24"/>
                <w:szCs w:val="24"/>
                <w:color w:val="auto"/>
              </w:rPr>
            </w:pPr>
          </w:p>
        </w:tc>
        <w:tc>
          <w:tcPr>
            <w:tcW w:w="160" w:type="dxa"/>
            <w:vAlign w:val="bottom"/>
            <w:tcBorders>
              <w:bottom w:val="single" w:sz="8" w:color="007DC6"/>
            </w:tcBorders>
            <w:shd w:val="clear" w:color="auto" w:fill="007DC6"/>
          </w:tcPr>
          <w:p>
            <w:pPr>
              <w:spacing w:after="0"/>
              <w:rPr>
                <w:sz w:val="24"/>
                <w:szCs w:val="24"/>
                <w:color w:val="auto"/>
              </w:rPr>
            </w:pPr>
          </w:p>
        </w:tc>
        <w:tc>
          <w:tcPr>
            <w:tcW w:w="280" w:type="dxa"/>
            <w:vAlign w:val="bottom"/>
            <w:tcBorders>
              <w:bottom w:val="single" w:sz="8" w:color="007DC6"/>
            </w:tcBorders>
            <w:shd w:val="clear" w:color="auto" w:fill="007DC6"/>
          </w:tcPr>
          <w:p>
            <w:pPr>
              <w:spacing w:after="0"/>
              <w:rPr>
                <w:sz w:val="24"/>
                <w:szCs w:val="24"/>
                <w:color w:val="auto"/>
              </w:rPr>
            </w:pPr>
          </w:p>
        </w:tc>
        <w:tc>
          <w:tcPr>
            <w:tcW w:w="320" w:type="dxa"/>
            <w:vAlign w:val="bottom"/>
            <w:tcBorders>
              <w:bottom w:val="single" w:sz="8" w:color="007DC6"/>
            </w:tcBorders>
            <w:shd w:val="clear" w:color="auto" w:fill="007DC6"/>
          </w:tcPr>
          <w:p>
            <w:pPr>
              <w:spacing w:after="0"/>
              <w:rPr>
                <w:sz w:val="24"/>
                <w:szCs w:val="24"/>
                <w:color w:val="auto"/>
              </w:rPr>
            </w:pPr>
          </w:p>
        </w:tc>
        <w:tc>
          <w:tcPr>
            <w:tcW w:w="140" w:type="dxa"/>
            <w:vAlign w:val="bottom"/>
            <w:tcBorders>
              <w:bottom w:val="single" w:sz="8" w:color="007DC6"/>
              <w:right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100" w:type="dxa"/>
            <w:vAlign w:val="bottom"/>
            <w:tcBorders>
              <w:bottom w:val="single" w:sz="8" w:color="007DC6"/>
              <w:right w:val="single" w:sz="8" w:color="007DC6"/>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20" w:type="dxa"/>
            <w:vAlign w:val="bottom"/>
            <w:tcBorders>
              <w:right w:val="single" w:sz="8" w:color="91BBD3"/>
            </w:tcBorders>
          </w:tcPr>
          <w:p>
            <w:pPr>
              <w:spacing w:after="0"/>
              <w:rPr>
                <w:sz w:val="11"/>
                <w:szCs w:val="11"/>
                <w:color w:val="auto"/>
              </w:rPr>
            </w:pPr>
          </w:p>
        </w:tc>
        <w:tc>
          <w:tcPr>
            <w:tcW w:w="1640" w:type="dxa"/>
            <w:vAlign w:val="bottom"/>
            <w:tcBorders>
              <w:top w:val="single" w:sz="8" w:color="91BBD3"/>
              <w:right w:val="single" w:sz="8" w:color="91BBD3"/>
            </w:tcBorders>
          </w:tcPr>
          <w:p>
            <w:pPr>
              <w:ind w:left="80"/>
              <w:spacing w:after="0" w:line="135" w:lineRule="exact"/>
              <w:rPr>
                <w:sz w:val="20"/>
                <w:szCs w:val="20"/>
                <w:color w:val="auto"/>
              </w:rPr>
            </w:pPr>
            <w:r>
              <w:rPr>
                <w:rFonts w:ascii="Calibri" w:cs="Calibri" w:eastAsia="Calibri" w:hAnsi="Calibri"/>
                <w:sz w:val="13"/>
                <w:szCs w:val="13"/>
                <w:b w:val="1"/>
                <w:bCs w:val="1"/>
                <w:color w:val="auto"/>
              </w:rPr>
              <w:t>4.22</w:t>
            </w:r>
          </w:p>
        </w:tc>
        <w:tc>
          <w:tcPr>
            <w:tcW w:w="100" w:type="dxa"/>
            <w:vAlign w:val="bottom"/>
            <w:tcBorders>
              <w:top w:val="single" w:sz="8" w:color="91BBD3"/>
            </w:tcBorders>
          </w:tcPr>
          <w:p>
            <w:pPr>
              <w:spacing w:after="0"/>
              <w:rPr>
                <w:sz w:val="11"/>
                <w:szCs w:val="11"/>
                <w:color w:val="auto"/>
              </w:rPr>
            </w:pPr>
          </w:p>
        </w:tc>
        <w:tc>
          <w:tcPr>
            <w:tcW w:w="9000" w:type="dxa"/>
            <w:vAlign w:val="bottom"/>
            <w:tcBorders>
              <w:top w:val="single" w:sz="8" w:color="91BBD3"/>
              <w:bottom w:val="single" w:sz="8" w:color="0563C1"/>
            </w:tcBorders>
            <w:gridSpan w:val="12"/>
          </w:tcPr>
          <w:p>
            <w:pPr>
              <w:spacing w:after="0" w:line="135" w:lineRule="exact"/>
              <w:rPr>
                <w:rFonts w:ascii="Calibri" w:cs="Calibri" w:eastAsia="Calibri" w:hAnsi="Calibri"/>
                <w:sz w:val="13"/>
                <w:szCs w:val="13"/>
                <w:color w:val="0563C1"/>
              </w:rPr>
            </w:pPr>
            <w:hyperlink r:id="rId678">
              <w:r>
                <w:rPr>
                  <w:rFonts w:ascii="Calibri" w:cs="Calibri" w:eastAsia="Calibri" w:hAnsi="Calibri"/>
                  <w:sz w:val="13"/>
                  <w:szCs w:val="13"/>
                  <w:color w:val="0563C1"/>
                </w:rPr>
                <w:t>Fifh Supplemental Indenture, dated as of November 4, 2024, between Martn Marieta Materials, Inc. and Regions Bank, as</w:t>
              </w:r>
            </w:hyperlink>
          </w:p>
        </w:tc>
        <w:tc>
          <w:tcPr>
            <w:tcW w:w="120" w:type="dxa"/>
            <w:vAlign w:val="bottom"/>
            <w:tcBorders>
              <w:top w:val="single" w:sz="8" w:color="91BBD3"/>
              <w:right w:val="single" w:sz="8" w:color="91BBD3"/>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bottom w:val="single" w:sz="8" w:color="0563C1"/>
              <w:right w:val="single" w:sz="8" w:color="91BBD3"/>
            </w:tcBorders>
            <w:gridSpan w:val="14"/>
          </w:tcPr>
          <w:p>
            <w:pPr>
              <w:spacing w:after="0" w:line="196" w:lineRule="exact"/>
              <w:rPr>
                <w:rFonts w:ascii="Calibri" w:cs="Calibri" w:eastAsia="Calibri" w:hAnsi="Calibri"/>
                <w:sz w:val="18"/>
                <w:szCs w:val="18"/>
                <w:color w:val="0563C1"/>
              </w:rPr>
            </w:pPr>
            <w:hyperlink r:id="rId678">
              <w:r>
                <w:rPr>
                  <w:rFonts w:ascii="Calibri" w:cs="Calibri" w:eastAsia="Calibri" w:hAnsi="Calibri"/>
                  <w:sz w:val="18"/>
                  <w:szCs w:val="18"/>
                  <w:color w:val="0563C1"/>
                </w:rPr>
                <w:t>trustee, (incorporated by reference to Exhibit 4.2 of the Company’s Current Report on Form 8-K, fled on November 4, 2024)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line="196" w:lineRule="exact"/>
              <w:rPr>
                <w:rFonts w:ascii="Calibri" w:cs="Calibri" w:eastAsia="Calibri" w:hAnsi="Calibri"/>
                <w:sz w:val="18"/>
                <w:szCs w:val="18"/>
                <w:color w:val="0563C1"/>
              </w:rPr>
            </w:pPr>
            <w:hyperlink r:id="rId678">
              <w:r>
                <w:rPr>
                  <w:rFonts w:ascii="Calibri" w:cs="Calibri" w:eastAsia="Calibri" w:hAnsi="Calibri"/>
                  <w:sz w:val="18"/>
                  <w:szCs w:val="18"/>
                  <w:color w:val="0563C1"/>
                </w:rPr>
                <w:t>(Commission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20" w:type="dxa"/>
            <w:vAlign w:val="bottom"/>
            <w:tcBorders>
              <w:right w:val="single" w:sz="8" w:color="91BBD3"/>
            </w:tcBorders>
          </w:tcPr>
          <w:p>
            <w:pPr>
              <w:spacing w:after="0"/>
              <w:rPr>
                <w:sz w:val="2"/>
                <w:szCs w:val="2"/>
                <w:color w:val="auto"/>
              </w:rPr>
            </w:pPr>
          </w:p>
        </w:tc>
        <w:tc>
          <w:tcPr>
            <w:tcW w:w="164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2180" w:type="dxa"/>
            <w:vAlign w:val="bottom"/>
            <w:tcBorders>
              <w:top w:val="single" w:sz="8" w:color="0563C1"/>
              <w:bottom w:val="single" w:sz="8" w:color="91BBD3"/>
            </w:tcBorders>
          </w:tcPr>
          <w:p>
            <w:pPr>
              <w:spacing w:after="0"/>
              <w:rPr>
                <w:sz w:val="2"/>
                <w:szCs w:val="2"/>
                <w:color w:val="auto"/>
              </w:rPr>
            </w:pPr>
          </w:p>
        </w:tc>
        <w:tc>
          <w:tcPr>
            <w:tcW w:w="780" w:type="dxa"/>
            <w:vAlign w:val="bottom"/>
            <w:tcBorders>
              <w:bottom w:val="single" w:sz="8" w:color="91BBD3"/>
            </w:tcBorders>
          </w:tcPr>
          <w:p>
            <w:pPr>
              <w:spacing w:after="0"/>
              <w:rPr>
                <w:sz w:val="2"/>
                <w:szCs w:val="2"/>
                <w:color w:val="auto"/>
              </w:rPr>
            </w:pPr>
          </w:p>
        </w:tc>
        <w:tc>
          <w:tcPr>
            <w:tcW w:w="156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2240" w:type="dxa"/>
            <w:vAlign w:val="bottom"/>
            <w:tcBorders>
              <w:bottom w:val="single" w:sz="8" w:color="91BBD3"/>
            </w:tcBorders>
          </w:tcPr>
          <w:p>
            <w:pPr>
              <w:spacing w:after="0"/>
              <w:rPr>
                <w:sz w:val="2"/>
                <w:szCs w:val="2"/>
                <w:color w:val="auto"/>
              </w:rPr>
            </w:pPr>
          </w:p>
        </w:tc>
        <w:tc>
          <w:tcPr>
            <w:tcW w:w="620" w:type="dxa"/>
            <w:vAlign w:val="bottom"/>
            <w:tcBorders>
              <w:bottom w:val="single" w:sz="8" w:color="91BBD3"/>
            </w:tcBorders>
          </w:tcPr>
          <w:p>
            <w:pPr>
              <w:spacing w:after="0"/>
              <w:rPr>
                <w:sz w:val="2"/>
                <w:szCs w:val="2"/>
                <w:color w:val="auto"/>
              </w:rPr>
            </w:pPr>
          </w:p>
        </w:tc>
        <w:tc>
          <w:tcPr>
            <w:tcW w:w="480" w:type="dxa"/>
            <w:vAlign w:val="bottom"/>
            <w:tcBorders>
              <w:bottom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14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0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shd w:val="clear" w:color="auto" w:fill="DAE8F0"/>
          </w:tcPr>
          <w:p>
            <w:pPr>
              <w:ind w:left="80"/>
              <w:spacing w:after="0" w:line="156" w:lineRule="exact"/>
              <w:rPr>
                <w:sz w:val="20"/>
                <w:szCs w:val="20"/>
                <w:color w:val="auto"/>
              </w:rPr>
            </w:pPr>
            <w:r>
              <w:rPr>
                <w:rFonts w:ascii="Calibri" w:cs="Calibri" w:eastAsia="Calibri" w:hAnsi="Calibri"/>
                <w:sz w:val="16"/>
                <w:szCs w:val="16"/>
                <w:b w:val="1"/>
                <w:bCs w:val="1"/>
                <w:color w:val="auto"/>
              </w:rPr>
              <w:t>4.23</w:t>
            </w: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4"/>
            <w:shd w:val="clear" w:color="auto" w:fill="DAE8F0"/>
          </w:tcPr>
          <w:p>
            <w:pPr>
              <w:spacing w:after="0" w:line="156" w:lineRule="exact"/>
              <w:rPr>
                <w:rFonts w:ascii="Calibri" w:cs="Calibri" w:eastAsia="Calibri" w:hAnsi="Calibri"/>
                <w:sz w:val="16"/>
                <w:szCs w:val="16"/>
                <w:color w:val="0563C1"/>
              </w:rPr>
            </w:pPr>
            <w:hyperlink r:id="rId678">
              <w:r>
                <w:rPr>
                  <w:rFonts w:ascii="Calibri" w:cs="Calibri" w:eastAsia="Calibri" w:hAnsi="Calibri"/>
                  <w:sz w:val="16"/>
                  <w:szCs w:val="16"/>
                  <w:color w:val="0563C1"/>
                </w:rPr>
                <w:t>Form of 5.150% Senior Notes due 2034 (contained in Exhibit 4.22)</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vMerge w:val="restart"/>
          </w:tcPr>
          <w:p>
            <w:pPr>
              <w:spacing w:after="0" w:line="20" w:lineRule="exact"/>
              <w:rPr>
                <w:sz w:val="1"/>
                <w:szCs w:val="1"/>
                <w:color w:val="auto"/>
              </w:rPr>
            </w:pPr>
          </w:p>
        </w:tc>
        <w:tc>
          <w:tcPr>
            <w:tcW w:w="16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2180" w:type="dxa"/>
            <w:vAlign w:val="bottom"/>
            <w:tcBorders>
              <w:top w:val="single" w:sz="8" w:color="0563C1"/>
            </w:tcBorders>
            <w:shd w:val="clear" w:color="auto" w:fill="91BBD3"/>
          </w:tcPr>
          <w:p>
            <w:pPr>
              <w:spacing w:after="0" w:line="20" w:lineRule="exact"/>
              <w:rPr>
                <w:sz w:val="1"/>
                <w:szCs w:val="1"/>
                <w:color w:val="auto"/>
              </w:rPr>
            </w:pPr>
          </w:p>
        </w:tc>
        <w:tc>
          <w:tcPr>
            <w:tcW w:w="780" w:type="dxa"/>
            <w:vAlign w:val="bottom"/>
            <w:tcBorders>
              <w:top w:val="single" w:sz="8" w:color="0563C1"/>
            </w:tcBorders>
            <w:shd w:val="clear" w:color="auto" w:fill="91BBD3"/>
          </w:tcPr>
          <w:p>
            <w:pPr>
              <w:spacing w:after="0" w:line="20" w:lineRule="exact"/>
              <w:rPr>
                <w:sz w:val="1"/>
                <w:szCs w:val="1"/>
                <w:color w:val="auto"/>
              </w:rPr>
            </w:pPr>
          </w:p>
        </w:tc>
        <w:tc>
          <w:tcPr>
            <w:tcW w:w="156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224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480" w:type="dxa"/>
            <w:vAlign w:val="bottom"/>
            <w:tcBorders>
              <w:top w:val="single" w:sz="8" w:color="DAE8F0"/>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32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0" w:type="dxa"/>
            <w:vAlign w:val="bottom"/>
            <w:tcBorders>
              <w:right w:val="single" w:sz="8" w:color="91BBD3"/>
            </w:tcBorders>
            <w:vMerge w:val="continue"/>
          </w:tcPr>
          <w:p>
            <w:pPr>
              <w:spacing w:after="0"/>
              <w:rPr>
                <w:sz w:val="13"/>
                <w:szCs w:val="13"/>
                <w:color w:val="auto"/>
              </w:rPr>
            </w:pPr>
          </w:p>
        </w:tc>
        <w:tc>
          <w:tcPr>
            <w:tcW w:w="1640" w:type="dxa"/>
            <w:vAlign w:val="bottom"/>
            <w:tcBorders>
              <w:right w:val="single" w:sz="8" w:color="91BBD3"/>
            </w:tcBorders>
          </w:tcPr>
          <w:p>
            <w:pPr>
              <w:ind w:left="80"/>
              <w:spacing w:after="0" w:line="156" w:lineRule="exact"/>
              <w:rPr>
                <w:sz w:val="20"/>
                <w:szCs w:val="20"/>
                <w:color w:val="auto"/>
              </w:rPr>
            </w:pPr>
            <w:r>
              <w:rPr>
                <w:rFonts w:ascii="Calibri" w:cs="Calibri" w:eastAsia="Calibri" w:hAnsi="Calibri"/>
                <w:sz w:val="16"/>
                <w:szCs w:val="16"/>
                <w:b w:val="1"/>
                <w:bCs w:val="1"/>
                <w:color w:val="auto"/>
              </w:rPr>
              <w:t>4.24</w:t>
            </w:r>
          </w:p>
        </w:tc>
        <w:tc>
          <w:tcPr>
            <w:tcW w:w="100" w:type="dxa"/>
            <w:vAlign w:val="bottom"/>
          </w:tcPr>
          <w:p>
            <w:pPr>
              <w:spacing w:after="0"/>
              <w:rPr>
                <w:sz w:val="13"/>
                <w:szCs w:val="13"/>
                <w:color w:val="auto"/>
              </w:rPr>
            </w:pPr>
          </w:p>
        </w:tc>
        <w:tc>
          <w:tcPr>
            <w:tcW w:w="9120" w:type="dxa"/>
            <w:vAlign w:val="bottom"/>
            <w:tcBorders>
              <w:right w:val="single" w:sz="8" w:color="91BBD3"/>
            </w:tcBorders>
            <w:gridSpan w:val="14"/>
          </w:tcPr>
          <w:p>
            <w:pPr>
              <w:spacing w:after="0" w:line="156" w:lineRule="exact"/>
              <w:rPr>
                <w:rFonts w:ascii="Calibri" w:cs="Calibri" w:eastAsia="Calibri" w:hAnsi="Calibri"/>
                <w:sz w:val="16"/>
                <w:szCs w:val="16"/>
                <w:color w:val="0563C1"/>
              </w:rPr>
            </w:pPr>
            <w:hyperlink r:id="rId678">
              <w:r>
                <w:rPr>
                  <w:rFonts w:ascii="Calibri" w:cs="Calibri" w:eastAsia="Calibri" w:hAnsi="Calibri"/>
                  <w:sz w:val="16"/>
                  <w:szCs w:val="16"/>
                  <w:color w:val="0563C1"/>
                </w:rPr>
                <w:t>Form of 5.500% Senior Notes due 2054 (contained in Exhibit 4.22)</w:t>
              </w:r>
            </w:hyperlink>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20" w:type="dxa"/>
            <w:vAlign w:val="bottom"/>
            <w:tcBorders>
              <w:right w:val="single" w:sz="8" w:color="91BBD3"/>
            </w:tcBorders>
            <w:vMerge w:val="restart"/>
          </w:tcPr>
          <w:p>
            <w:pPr>
              <w:spacing w:after="0"/>
              <w:rPr>
                <w:sz w:val="4"/>
                <w:szCs w:val="4"/>
                <w:color w:val="auto"/>
              </w:rPr>
            </w:pPr>
          </w:p>
        </w:tc>
        <w:tc>
          <w:tcPr>
            <w:tcW w:w="164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2180" w:type="dxa"/>
            <w:vAlign w:val="bottom"/>
            <w:tcBorders>
              <w:top w:val="single" w:sz="8" w:color="0563C1"/>
              <w:bottom w:val="single" w:sz="8" w:color="91BBD3"/>
            </w:tcBorders>
          </w:tcPr>
          <w:p>
            <w:pPr>
              <w:spacing w:after="0"/>
              <w:rPr>
                <w:sz w:val="4"/>
                <w:szCs w:val="4"/>
                <w:color w:val="auto"/>
              </w:rPr>
            </w:pPr>
          </w:p>
        </w:tc>
        <w:tc>
          <w:tcPr>
            <w:tcW w:w="780" w:type="dxa"/>
            <w:vAlign w:val="bottom"/>
            <w:tcBorders>
              <w:top w:val="single" w:sz="8" w:color="0563C1"/>
              <w:bottom w:val="single" w:sz="8" w:color="91BBD3"/>
            </w:tcBorders>
          </w:tcPr>
          <w:p>
            <w:pPr>
              <w:spacing w:after="0"/>
              <w:rPr>
                <w:sz w:val="4"/>
                <w:szCs w:val="4"/>
                <w:color w:val="auto"/>
              </w:rPr>
            </w:pPr>
          </w:p>
        </w:tc>
        <w:tc>
          <w:tcPr>
            <w:tcW w:w="1560" w:type="dxa"/>
            <w:vAlign w:val="bottom"/>
            <w:tcBorders>
              <w:top w:val="single" w:sz="8" w:color="0563C1"/>
              <w:bottom w:val="single" w:sz="8" w:color="91BBD3"/>
            </w:tcBorders>
          </w:tcPr>
          <w:p>
            <w:pPr>
              <w:spacing w:after="0"/>
              <w:rPr>
                <w:sz w:val="4"/>
                <w:szCs w:val="4"/>
                <w:color w:val="auto"/>
              </w:rPr>
            </w:pPr>
          </w:p>
        </w:tc>
        <w:tc>
          <w:tcPr>
            <w:tcW w:w="160" w:type="dxa"/>
            <w:vAlign w:val="bottom"/>
            <w:tcBorders>
              <w:top w:val="single" w:sz="8" w:color="0563C1"/>
              <w:bottom w:val="single" w:sz="8" w:color="91BBD3"/>
            </w:tcBorders>
          </w:tcPr>
          <w:p>
            <w:pPr>
              <w:spacing w:after="0"/>
              <w:rPr>
                <w:sz w:val="4"/>
                <w:szCs w:val="4"/>
                <w:color w:val="auto"/>
              </w:rPr>
            </w:pPr>
          </w:p>
        </w:tc>
        <w:tc>
          <w:tcPr>
            <w:tcW w:w="2240" w:type="dxa"/>
            <w:vAlign w:val="bottom"/>
            <w:tcBorders>
              <w:bottom w:val="single" w:sz="8" w:color="91BBD3"/>
            </w:tcBorders>
          </w:tcPr>
          <w:p>
            <w:pPr>
              <w:spacing w:after="0"/>
              <w:rPr>
                <w:sz w:val="4"/>
                <w:szCs w:val="4"/>
                <w:color w:val="auto"/>
              </w:rPr>
            </w:pPr>
          </w:p>
        </w:tc>
        <w:tc>
          <w:tcPr>
            <w:tcW w:w="620" w:type="dxa"/>
            <w:vAlign w:val="bottom"/>
            <w:tcBorders>
              <w:bottom w:val="single" w:sz="8" w:color="91BBD3"/>
            </w:tcBorders>
          </w:tcPr>
          <w:p>
            <w:pPr>
              <w:spacing w:after="0"/>
              <w:rPr>
                <w:sz w:val="4"/>
                <w:szCs w:val="4"/>
                <w:color w:val="auto"/>
              </w:rPr>
            </w:pPr>
          </w:p>
        </w:tc>
        <w:tc>
          <w:tcPr>
            <w:tcW w:w="48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160" w:type="dxa"/>
            <w:vAlign w:val="bottom"/>
            <w:tcBorders>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32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1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0" w:type="dxa"/>
            <w:vAlign w:val="bottom"/>
            <w:tcBorders>
              <w:right w:val="single" w:sz="8" w:color="91BBD3"/>
            </w:tcBorders>
            <w:vMerge w:val="continue"/>
          </w:tcPr>
          <w:p>
            <w:pPr>
              <w:spacing w:after="0"/>
              <w:rPr>
                <w:sz w:val="13"/>
                <w:szCs w:val="13"/>
                <w:color w:val="auto"/>
              </w:rPr>
            </w:pPr>
          </w:p>
        </w:tc>
        <w:tc>
          <w:tcPr>
            <w:tcW w:w="1640" w:type="dxa"/>
            <w:vAlign w:val="bottom"/>
            <w:tcBorders>
              <w:right w:val="single" w:sz="8" w:color="91BBD3"/>
            </w:tcBorders>
          </w:tcPr>
          <w:p>
            <w:pPr>
              <w:ind w:left="80"/>
              <w:spacing w:after="0" w:line="156" w:lineRule="exact"/>
              <w:rPr>
                <w:sz w:val="20"/>
                <w:szCs w:val="20"/>
                <w:color w:val="auto"/>
              </w:rPr>
            </w:pPr>
            <w:r>
              <w:rPr>
                <w:rFonts w:ascii="Calibri" w:cs="Calibri" w:eastAsia="Calibri" w:hAnsi="Calibri"/>
                <w:sz w:val="16"/>
                <w:szCs w:val="16"/>
                <w:b w:val="1"/>
                <w:bCs w:val="1"/>
                <w:color w:val="auto"/>
              </w:rPr>
              <w:t>4.25</w:t>
            </w:r>
          </w:p>
        </w:tc>
        <w:tc>
          <w:tcPr>
            <w:tcW w:w="100" w:type="dxa"/>
            <w:vAlign w:val="bottom"/>
          </w:tcPr>
          <w:p>
            <w:pPr>
              <w:spacing w:after="0"/>
              <w:rPr>
                <w:sz w:val="13"/>
                <w:szCs w:val="13"/>
                <w:color w:val="auto"/>
              </w:rPr>
            </w:pPr>
          </w:p>
        </w:tc>
        <w:tc>
          <w:tcPr>
            <w:tcW w:w="9120" w:type="dxa"/>
            <w:vAlign w:val="bottom"/>
            <w:tcBorders>
              <w:right w:val="single" w:sz="8" w:color="91BBD3"/>
            </w:tcBorders>
            <w:gridSpan w:val="14"/>
          </w:tcPr>
          <w:p>
            <w:pPr>
              <w:spacing w:after="0" w:line="156" w:lineRule="exact"/>
              <w:rPr>
                <w:rFonts w:ascii="Calibri" w:cs="Calibri" w:eastAsia="Calibri" w:hAnsi="Calibri"/>
                <w:sz w:val="16"/>
                <w:szCs w:val="16"/>
                <w:color w:val="0563C1"/>
              </w:rPr>
            </w:pPr>
            <w:hyperlink r:id="rId679">
              <w:r>
                <w:rPr>
                  <w:rFonts w:ascii="Calibri" w:cs="Calibri" w:eastAsia="Calibri" w:hAnsi="Calibri"/>
                  <w:sz w:val="16"/>
                  <w:szCs w:val="16"/>
                  <w:color w:val="0563C1"/>
                </w:rPr>
                <w:t>Descripton of the Company’s Capital Stock (incorporated by reference to Exhibit 4.17 to the Martn Marieta Materials, Inc.</w:t>
              </w:r>
            </w:hyperlink>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top w:val="single" w:sz="8" w:color="0563C1"/>
            </w:tcBorders>
            <w:gridSpan w:val="12"/>
          </w:tcPr>
          <w:p>
            <w:pPr>
              <w:spacing w:after="0" w:line="196" w:lineRule="exact"/>
              <w:rPr>
                <w:rFonts w:ascii="Calibri" w:cs="Calibri" w:eastAsia="Calibri" w:hAnsi="Calibri"/>
                <w:sz w:val="18"/>
                <w:szCs w:val="18"/>
                <w:color w:val="0563C1"/>
              </w:rPr>
            </w:pPr>
            <w:hyperlink r:id="rId679">
              <w:r>
                <w:rPr>
                  <w:rFonts w:ascii="Calibri" w:cs="Calibri" w:eastAsia="Calibri" w:hAnsi="Calibri"/>
                  <w:sz w:val="18"/>
                  <w:szCs w:val="18"/>
                  <w:color w:val="0563C1"/>
                </w:rPr>
                <w:t>Current Report on Form 10-K for the fscal year ended December 31, 2019 (Commission File No. 1-12744))</w:t>
              </w:r>
            </w:hyperlink>
          </w:p>
        </w:tc>
        <w:tc>
          <w:tcPr>
            <w:tcW w:w="12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20" w:type="dxa"/>
            <w:vAlign w:val="bottom"/>
            <w:tcBorders>
              <w:right w:val="single" w:sz="8" w:color="91BBD3"/>
            </w:tcBorders>
          </w:tcPr>
          <w:p>
            <w:pPr>
              <w:spacing w:after="0"/>
              <w:rPr>
                <w:sz w:val="2"/>
                <w:szCs w:val="2"/>
                <w:color w:val="auto"/>
              </w:rPr>
            </w:pPr>
          </w:p>
        </w:tc>
        <w:tc>
          <w:tcPr>
            <w:tcW w:w="164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2180" w:type="dxa"/>
            <w:vAlign w:val="bottom"/>
            <w:tcBorders>
              <w:top w:val="single" w:sz="8" w:color="0563C1"/>
              <w:bottom w:val="single" w:sz="8" w:color="91BBD3"/>
            </w:tcBorders>
          </w:tcPr>
          <w:p>
            <w:pPr>
              <w:spacing w:after="0"/>
              <w:rPr>
                <w:sz w:val="2"/>
                <w:szCs w:val="2"/>
                <w:color w:val="auto"/>
              </w:rPr>
            </w:pPr>
          </w:p>
        </w:tc>
        <w:tc>
          <w:tcPr>
            <w:tcW w:w="780" w:type="dxa"/>
            <w:vAlign w:val="bottom"/>
            <w:tcBorders>
              <w:top w:val="single" w:sz="8" w:color="0563C1"/>
              <w:bottom w:val="single" w:sz="8" w:color="91BBD3"/>
            </w:tcBorders>
          </w:tcPr>
          <w:p>
            <w:pPr>
              <w:spacing w:after="0"/>
              <w:rPr>
                <w:sz w:val="2"/>
                <w:szCs w:val="2"/>
                <w:color w:val="auto"/>
              </w:rPr>
            </w:pPr>
          </w:p>
        </w:tc>
        <w:tc>
          <w:tcPr>
            <w:tcW w:w="1560" w:type="dxa"/>
            <w:vAlign w:val="bottom"/>
            <w:tcBorders>
              <w:top w:val="single" w:sz="8" w:color="0563C1"/>
              <w:bottom w:val="single" w:sz="8" w:color="91BBD3"/>
            </w:tcBorders>
          </w:tcPr>
          <w:p>
            <w:pPr>
              <w:spacing w:after="0"/>
              <w:rPr>
                <w:sz w:val="2"/>
                <w:szCs w:val="2"/>
                <w:color w:val="auto"/>
              </w:rPr>
            </w:pPr>
          </w:p>
        </w:tc>
        <w:tc>
          <w:tcPr>
            <w:tcW w:w="160" w:type="dxa"/>
            <w:vAlign w:val="bottom"/>
            <w:tcBorders>
              <w:top w:val="single" w:sz="8" w:color="0563C1"/>
              <w:bottom w:val="single" w:sz="8" w:color="91BBD3"/>
            </w:tcBorders>
          </w:tcPr>
          <w:p>
            <w:pPr>
              <w:spacing w:after="0"/>
              <w:rPr>
                <w:sz w:val="2"/>
                <w:szCs w:val="2"/>
                <w:color w:val="auto"/>
              </w:rPr>
            </w:pPr>
          </w:p>
        </w:tc>
        <w:tc>
          <w:tcPr>
            <w:tcW w:w="2240" w:type="dxa"/>
            <w:vAlign w:val="bottom"/>
            <w:tcBorders>
              <w:top w:val="single" w:sz="8" w:color="0563C1"/>
              <w:bottom w:val="single" w:sz="8" w:color="91BBD3"/>
            </w:tcBorders>
          </w:tcPr>
          <w:p>
            <w:pPr>
              <w:spacing w:after="0"/>
              <w:rPr>
                <w:sz w:val="2"/>
                <w:szCs w:val="2"/>
                <w:color w:val="auto"/>
              </w:rPr>
            </w:pPr>
          </w:p>
        </w:tc>
        <w:tc>
          <w:tcPr>
            <w:tcW w:w="620" w:type="dxa"/>
            <w:vAlign w:val="bottom"/>
            <w:tcBorders>
              <w:top w:val="single" w:sz="8" w:color="0563C1"/>
              <w:bottom w:val="single" w:sz="8" w:color="91BBD3"/>
            </w:tcBorders>
          </w:tcPr>
          <w:p>
            <w:pPr>
              <w:spacing w:after="0"/>
              <w:rPr>
                <w:sz w:val="2"/>
                <w:szCs w:val="2"/>
                <w:color w:val="auto"/>
              </w:rPr>
            </w:pPr>
          </w:p>
        </w:tc>
        <w:tc>
          <w:tcPr>
            <w:tcW w:w="480" w:type="dxa"/>
            <w:vAlign w:val="bottom"/>
            <w:tcBorders>
              <w:bottom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14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0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0" w:type="dxa"/>
            <w:vAlign w:val="bottom"/>
            <w:tcBorders>
              <w:right w:val="single" w:sz="8" w:color="91BBD3"/>
            </w:tcBorders>
          </w:tcPr>
          <w:p>
            <w:pPr>
              <w:spacing w:after="0"/>
              <w:rPr>
                <w:sz w:val="13"/>
                <w:szCs w:val="13"/>
                <w:color w:val="auto"/>
              </w:rPr>
            </w:pPr>
          </w:p>
        </w:tc>
        <w:tc>
          <w:tcPr>
            <w:tcW w:w="1640" w:type="dxa"/>
            <w:vAlign w:val="bottom"/>
            <w:tcBorders>
              <w:bottom w:val="single" w:sz="8" w:color="DAE8F0"/>
              <w:right w:val="single" w:sz="8" w:color="91BBD3"/>
            </w:tcBorders>
            <w:shd w:val="clear" w:color="auto" w:fill="DAE8F0"/>
          </w:tcPr>
          <w:p>
            <w:pPr>
              <w:ind w:left="80"/>
              <w:spacing w:after="0" w:line="156" w:lineRule="exact"/>
              <w:rPr>
                <w:sz w:val="20"/>
                <w:szCs w:val="20"/>
                <w:color w:val="auto"/>
              </w:rPr>
            </w:pPr>
            <w:r>
              <w:rPr>
                <w:rFonts w:ascii="Calibri" w:cs="Calibri" w:eastAsia="Calibri" w:hAnsi="Calibri"/>
                <w:sz w:val="16"/>
                <w:szCs w:val="16"/>
                <w:b w:val="1"/>
                <w:bCs w:val="1"/>
                <w:color w:val="auto"/>
              </w:rPr>
              <w:t>10.01</w:t>
            </w:r>
          </w:p>
        </w:tc>
        <w:tc>
          <w:tcPr>
            <w:tcW w:w="100" w:type="dxa"/>
            <w:vAlign w:val="bottom"/>
            <w:tcBorders>
              <w:bottom w:val="single" w:sz="8" w:color="DAE8F0"/>
            </w:tcBorders>
            <w:shd w:val="clear" w:color="auto" w:fill="DAE8F0"/>
          </w:tcPr>
          <w:p>
            <w:pPr>
              <w:spacing w:after="0"/>
              <w:rPr>
                <w:sz w:val="13"/>
                <w:szCs w:val="13"/>
                <w:color w:val="auto"/>
              </w:rPr>
            </w:pPr>
          </w:p>
        </w:tc>
        <w:tc>
          <w:tcPr>
            <w:tcW w:w="9020" w:type="dxa"/>
            <w:vAlign w:val="bottom"/>
            <w:tcBorders>
              <w:bottom w:val="single" w:sz="8" w:color="0000EE"/>
            </w:tcBorders>
            <w:gridSpan w:val="13"/>
            <w:shd w:val="clear" w:color="auto" w:fill="DAE8F0"/>
          </w:tcPr>
          <w:p>
            <w:pPr>
              <w:spacing w:after="0" w:line="156" w:lineRule="exact"/>
              <w:rPr>
                <w:rFonts w:ascii="Calibri" w:cs="Calibri" w:eastAsia="Calibri" w:hAnsi="Calibri"/>
                <w:sz w:val="16"/>
                <w:szCs w:val="16"/>
                <w:color w:val="0563C1"/>
              </w:rPr>
            </w:pPr>
            <w:hyperlink r:id="rId680">
              <w:r>
                <w:rPr>
                  <w:rFonts w:ascii="Calibri" w:cs="Calibri" w:eastAsia="Calibri" w:hAnsi="Calibri"/>
                  <w:sz w:val="16"/>
                  <w:szCs w:val="16"/>
                  <w:color w:val="0563C1"/>
                </w:rPr>
                <w:t>$800,000,000 Credit Agreement dated as of December 21, 2021 among Martn Marieta Materials, Inc., JPMorgan Chase</w:t>
              </w:r>
            </w:hyperlink>
          </w:p>
        </w:tc>
        <w:tc>
          <w:tcPr>
            <w:tcW w:w="100" w:type="dxa"/>
            <w:vAlign w:val="bottom"/>
            <w:tcBorders>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000EE"/>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680">
              <w:r>
                <w:rPr>
                  <w:rFonts w:ascii="Calibri" w:cs="Calibri" w:eastAsia="Calibri" w:hAnsi="Calibri"/>
                  <w:sz w:val="18"/>
                  <w:szCs w:val="18"/>
                  <w:color w:val="0563C1"/>
                </w:rPr>
                <w:t>Bank, N.A., as Administratve Agent, and Deutsche Bank AG New York Branch, PNC Bank, Natonal Associaton, Truist Bank,</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000EE"/>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680">
              <w:r>
                <w:rPr>
                  <w:rFonts w:ascii="Calibri" w:cs="Calibri" w:eastAsia="Calibri" w:hAnsi="Calibri"/>
                  <w:sz w:val="18"/>
                  <w:szCs w:val="18"/>
                  <w:color w:val="0563C1"/>
                </w:rPr>
                <w:t>and Wells Fargo Bank, Natonal Associaton, as Co-Syndicaton Agents (incorporated by reference to Exhibit 10.01 to the</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Borders>
              <w:right w:val="single" w:sz="8" w:color="91BBD3"/>
            </w:tcBorders>
          </w:tcPr>
          <w:p>
            <w:pPr>
              <w:spacing w:after="0"/>
              <w:rPr>
                <w:sz w:val="20"/>
                <w:szCs w:val="20"/>
                <w:color w:val="auto"/>
              </w:rPr>
            </w:pPr>
          </w:p>
        </w:tc>
        <w:tc>
          <w:tcPr>
            <w:tcW w:w="1640" w:type="dxa"/>
            <w:vAlign w:val="bottom"/>
            <w:tcBorders>
              <w:right w:val="single" w:sz="8" w:color="91BBD3"/>
            </w:tcBorders>
            <w:shd w:val="clear" w:color="auto" w:fill="DAE8F0"/>
          </w:tcPr>
          <w:p>
            <w:pPr>
              <w:spacing w:after="0"/>
              <w:rPr>
                <w:sz w:val="20"/>
                <w:szCs w:val="20"/>
                <w:color w:val="auto"/>
              </w:rPr>
            </w:pPr>
          </w:p>
        </w:tc>
        <w:tc>
          <w:tcPr>
            <w:tcW w:w="10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4"/>
            <w:shd w:val="clear" w:color="auto" w:fill="DAE8F0"/>
          </w:tcPr>
          <w:p>
            <w:pPr>
              <w:spacing w:after="0" w:line="196" w:lineRule="exact"/>
              <w:rPr>
                <w:rFonts w:ascii="Calibri" w:cs="Calibri" w:eastAsia="Calibri" w:hAnsi="Calibri"/>
                <w:sz w:val="18"/>
                <w:szCs w:val="18"/>
                <w:color w:val="0563C1"/>
              </w:rPr>
            </w:pPr>
            <w:hyperlink r:id="rId680">
              <w:r>
                <w:rPr>
                  <w:rFonts w:ascii="Calibri" w:cs="Calibri" w:eastAsia="Calibri" w:hAnsi="Calibri"/>
                  <w:sz w:val="18"/>
                  <w:szCs w:val="18"/>
                  <w:color w:val="0563C1"/>
                </w:rPr>
                <w:t>Martn Marieta Materials, Inc., Current Report on Form 8-K fled on December 27, 2021) (Commission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vMerge w:val="restart"/>
          </w:tcPr>
          <w:p>
            <w:pPr>
              <w:spacing w:after="0" w:line="20" w:lineRule="exact"/>
              <w:rPr>
                <w:sz w:val="1"/>
                <w:szCs w:val="1"/>
                <w:color w:val="auto"/>
              </w:rPr>
            </w:pPr>
          </w:p>
        </w:tc>
        <w:tc>
          <w:tcPr>
            <w:tcW w:w="16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2180" w:type="dxa"/>
            <w:vAlign w:val="bottom"/>
            <w:tcBorders>
              <w:top w:val="single" w:sz="8" w:color="0000EE"/>
            </w:tcBorders>
            <w:shd w:val="clear" w:color="auto" w:fill="91BBD3"/>
          </w:tcPr>
          <w:p>
            <w:pPr>
              <w:spacing w:after="0" w:line="20" w:lineRule="exact"/>
              <w:rPr>
                <w:sz w:val="1"/>
                <w:szCs w:val="1"/>
                <w:color w:val="auto"/>
              </w:rPr>
            </w:pPr>
          </w:p>
        </w:tc>
        <w:tc>
          <w:tcPr>
            <w:tcW w:w="780" w:type="dxa"/>
            <w:vAlign w:val="bottom"/>
            <w:tcBorders>
              <w:top w:val="single" w:sz="8" w:color="0000EE"/>
            </w:tcBorders>
            <w:shd w:val="clear" w:color="auto" w:fill="91BBD3"/>
          </w:tcPr>
          <w:p>
            <w:pPr>
              <w:spacing w:after="0" w:line="20" w:lineRule="exact"/>
              <w:rPr>
                <w:sz w:val="1"/>
                <w:szCs w:val="1"/>
                <w:color w:val="auto"/>
              </w:rPr>
            </w:pPr>
          </w:p>
        </w:tc>
        <w:tc>
          <w:tcPr>
            <w:tcW w:w="1560" w:type="dxa"/>
            <w:vAlign w:val="bottom"/>
            <w:tcBorders>
              <w:top w:val="single" w:sz="8" w:color="0000EE"/>
            </w:tcBorders>
            <w:shd w:val="clear" w:color="auto" w:fill="91BBD3"/>
          </w:tcPr>
          <w:p>
            <w:pPr>
              <w:spacing w:after="0" w:line="20" w:lineRule="exact"/>
              <w:rPr>
                <w:sz w:val="1"/>
                <w:szCs w:val="1"/>
                <w:color w:val="auto"/>
              </w:rPr>
            </w:pPr>
          </w:p>
        </w:tc>
        <w:tc>
          <w:tcPr>
            <w:tcW w:w="160" w:type="dxa"/>
            <w:vAlign w:val="bottom"/>
            <w:tcBorders>
              <w:top w:val="single" w:sz="8" w:color="0000EE"/>
            </w:tcBorders>
            <w:shd w:val="clear" w:color="auto" w:fill="91BBD3"/>
          </w:tcPr>
          <w:p>
            <w:pPr>
              <w:spacing w:after="0" w:line="20" w:lineRule="exact"/>
              <w:rPr>
                <w:sz w:val="1"/>
                <w:szCs w:val="1"/>
                <w:color w:val="auto"/>
              </w:rPr>
            </w:pPr>
          </w:p>
        </w:tc>
        <w:tc>
          <w:tcPr>
            <w:tcW w:w="2240" w:type="dxa"/>
            <w:vAlign w:val="bottom"/>
            <w:tcBorders>
              <w:top w:val="single" w:sz="8" w:color="0000EE"/>
            </w:tcBorders>
            <w:shd w:val="clear" w:color="auto" w:fill="91BBD3"/>
          </w:tcPr>
          <w:p>
            <w:pPr>
              <w:spacing w:after="0" w:line="20" w:lineRule="exact"/>
              <w:rPr>
                <w:sz w:val="1"/>
                <w:szCs w:val="1"/>
                <w:color w:val="auto"/>
              </w:rPr>
            </w:pPr>
          </w:p>
        </w:tc>
        <w:tc>
          <w:tcPr>
            <w:tcW w:w="620" w:type="dxa"/>
            <w:vAlign w:val="bottom"/>
            <w:tcBorders>
              <w:top w:val="single" w:sz="8" w:color="0000EE"/>
            </w:tcBorders>
            <w:shd w:val="clear" w:color="auto" w:fill="91BBD3"/>
          </w:tcPr>
          <w:p>
            <w:pPr>
              <w:spacing w:after="0" w:line="20" w:lineRule="exact"/>
              <w:rPr>
                <w:sz w:val="1"/>
                <w:szCs w:val="1"/>
                <w:color w:val="auto"/>
              </w:rPr>
            </w:pPr>
          </w:p>
        </w:tc>
        <w:tc>
          <w:tcPr>
            <w:tcW w:w="480" w:type="dxa"/>
            <w:vAlign w:val="bottom"/>
            <w:tcBorders>
              <w:top w:val="single" w:sz="8" w:color="0000EE"/>
            </w:tcBorders>
            <w:shd w:val="clear" w:color="auto" w:fill="91BBD3"/>
          </w:tcPr>
          <w:p>
            <w:pPr>
              <w:spacing w:after="0" w:line="20" w:lineRule="exact"/>
              <w:rPr>
                <w:sz w:val="1"/>
                <w:szCs w:val="1"/>
                <w:color w:val="auto"/>
              </w:rPr>
            </w:pPr>
          </w:p>
        </w:tc>
        <w:tc>
          <w:tcPr>
            <w:tcW w:w="80" w:type="dxa"/>
            <w:vAlign w:val="bottom"/>
            <w:tcBorders>
              <w:top w:val="single" w:sz="8" w:color="0000EE"/>
            </w:tcBorders>
            <w:shd w:val="clear" w:color="auto" w:fill="91BBD3"/>
          </w:tcPr>
          <w:p>
            <w:pPr>
              <w:spacing w:after="0" w:line="20" w:lineRule="exact"/>
              <w:rPr>
                <w:sz w:val="1"/>
                <w:szCs w:val="1"/>
                <w:color w:val="auto"/>
              </w:rPr>
            </w:pPr>
          </w:p>
        </w:tc>
        <w:tc>
          <w:tcPr>
            <w:tcW w:w="160" w:type="dxa"/>
            <w:vAlign w:val="bottom"/>
            <w:tcBorders>
              <w:top w:val="single" w:sz="8" w:color="0000EE"/>
            </w:tcBorders>
            <w:shd w:val="clear" w:color="auto" w:fill="91BBD3"/>
          </w:tcPr>
          <w:p>
            <w:pPr>
              <w:spacing w:after="0" w:line="20" w:lineRule="exact"/>
              <w:rPr>
                <w:sz w:val="1"/>
                <w:szCs w:val="1"/>
                <w:color w:val="auto"/>
              </w:rPr>
            </w:pPr>
          </w:p>
        </w:tc>
        <w:tc>
          <w:tcPr>
            <w:tcW w:w="280" w:type="dxa"/>
            <w:vAlign w:val="bottom"/>
            <w:tcBorders>
              <w:top w:val="single" w:sz="8" w:color="0000EE"/>
            </w:tcBorders>
            <w:shd w:val="clear" w:color="auto" w:fill="91BBD3"/>
          </w:tcPr>
          <w:p>
            <w:pPr>
              <w:spacing w:after="0" w:line="20" w:lineRule="exact"/>
              <w:rPr>
                <w:sz w:val="1"/>
                <w:szCs w:val="1"/>
                <w:color w:val="auto"/>
              </w:rPr>
            </w:pPr>
          </w:p>
        </w:tc>
        <w:tc>
          <w:tcPr>
            <w:tcW w:w="32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0" w:type="dxa"/>
            <w:vAlign w:val="bottom"/>
            <w:tcBorders>
              <w:right w:val="single" w:sz="8" w:color="91BBD3"/>
            </w:tcBorders>
            <w:vMerge w:val="continue"/>
          </w:tcPr>
          <w:p>
            <w:pPr>
              <w:spacing w:after="0"/>
              <w:rPr>
                <w:sz w:val="13"/>
                <w:szCs w:val="13"/>
                <w:color w:val="auto"/>
              </w:rPr>
            </w:pPr>
          </w:p>
        </w:tc>
        <w:tc>
          <w:tcPr>
            <w:tcW w:w="1640" w:type="dxa"/>
            <w:vAlign w:val="bottom"/>
            <w:tcBorders>
              <w:right w:val="single" w:sz="8" w:color="91BBD3"/>
            </w:tcBorders>
          </w:tcPr>
          <w:p>
            <w:pPr>
              <w:ind w:left="80"/>
              <w:spacing w:after="0" w:line="156" w:lineRule="exact"/>
              <w:rPr>
                <w:sz w:val="20"/>
                <w:szCs w:val="20"/>
                <w:color w:val="auto"/>
              </w:rPr>
            </w:pPr>
            <w:r>
              <w:rPr>
                <w:rFonts w:ascii="Calibri" w:cs="Calibri" w:eastAsia="Calibri" w:hAnsi="Calibri"/>
                <w:sz w:val="16"/>
                <w:szCs w:val="16"/>
                <w:b w:val="1"/>
                <w:bCs w:val="1"/>
                <w:color w:val="auto"/>
              </w:rPr>
              <w:t>10.02</w:t>
            </w:r>
          </w:p>
        </w:tc>
        <w:tc>
          <w:tcPr>
            <w:tcW w:w="100" w:type="dxa"/>
            <w:vAlign w:val="bottom"/>
          </w:tcPr>
          <w:p>
            <w:pPr>
              <w:spacing w:after="0"/>
              <w:rPr>
                <w:sz w:val="13"/>
                <w:szCs w:val="13"/>
                <w:color w:val="auto"/>
              </w:rPr>
            </w:pPr>
          </w:p>
        </w:tc>
        <w:tc>
          <w:tcPr>
            <w:tcW w:w="9120" w:type="dxa"/>
            <w:vAlign w:val="bottom"/>
            <w:tcBorders>
              <w:right w:val="single" w:sz="8" w:color="91BBD3"/>
            </w:tcBorders>
            <w:gridSpan w:val="14"/>
          </w:tcPr>
          <w:p>
            <w:pPr>
              <w:spacing w:after="0" w:line="156" w:lineRule="exact"/>
              <w:rPr>
                <w:rFonts w:ascii="Calibri" w:cs="Calibri" w:eastAsia="Calibri" w:hAnsi="Calibri"/>
                <w:sz w:val="16"/>
                <w:szCs w:val="16"/>
                <w:color w:val="0563C1"/>
              </w:rPr>
            </w:pPr>
            <w:hyperlink r:id="rId681">
              <w:r>
                <w:rPr>
                  <w:rFonts w:ascii="Calibri" w:cs="Calibri" w:eastAsia="Calibri" w:hAnsi="Calibri"/>
                  <w:sz w:val="16"/>
                  <w:szCs w:val="16"/>
                  <w:color w:val="0563C1"/>
                </w:rPr>
                <w:t>Loan Modifcaton No. 1 and Extension Agreement dated as of December 22, 2022, among Martn Marieta Materials, Inc., the</w:t>
              </w:r>
            </w:hyperlink>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1560" w:type="dxa"/>
            <w:vAlign w:val="bottom"/>
            <w:shd w:val="clear" w:color="auto" w:fill="0563C1"/>
          </w:tcPr>
          <w:p>
            <w:pPr>
              <w:spacing w:after="0" w:line="20" w:lineRule="exact"/>
              <w:rPr>
                <w:sz w:val="1"/>
                <w:szCs w:val="1"/>
                <w:color w:val="auto"/>
              </w:rPr>
            </w:pPr>
          </w:p>
        </w:tc>
        <w:tc>
          <w:tcPr>
            <w:tcW w:w="2400" w:type="dxa"/>
            <w:vAlign w:val="bottom"/>
            <w:gridSpan w:val="2"/>
            <w:shd w:val="clear" w:color="auto" w:fill="0563C1"/>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40" w:type="dxa"/>
            <w:vAlign w:val="bottom"/>
            <w:tcBorders>
              <w:right w:val="single" w:sz="8" w:color="0000EE"/>
            </w:tcBorders>
            <w:shd w:val="clear" w:color="auto" w:fill="0563C1"/>
          </w:tcPr>
          <w:p>
            <w:pPr>
              <w:spacing w:after="0" w:line="20" w:lineRule="exact"/>
              <w:rPr>
                <w:sz w:val="1"/>
                <w:szCs w:val="1"/>
                <w:color w:val="auto"/>
              </w:rPr>
            </w:pPr>
          </w:p>
        </w:tc>
        <w:tc>
          <w:tcPr>
            <w:tcW w:w="120" w:type="dxa"/>
            <w:vAlign w:val="bottom"/>
            <w:tcBorders>
              <w:right w:val="single" w:sz="8" w:color="91BBD3"/>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2"/>
          </w:tcPr>
          <w:p>
            <w:pPr>
              <w:spacing w:after="0" w:line="196" w:lineRule="exact"/>
              <w:rPr>
                <w:rFonts w:ascii="Calibri" w:cs="Calibri" w:eastAsia="Calibri" w:hAnsi="Calibri"/>
                <w:sz w:val="18"/>
                <w:szCs w:val="18"/>
                <w:color w:val="0563C1"/>
                <w:w w:val="99"/>
              </w:rPr>
            </w:pPr>
            <w:hyperlink r:id="rId681">
              <w:r>
                <w:rPr>
                  <w:rFonts w:ascii="Calibri" w:cs="Calibri" w:eastAsia="Calibri" w:hAnsi="Calibri"/>
                  <w:sz w:val="18"/>
                  <w:szCs w:val="18"/>
                  <w:color w:val="0563C1"/>
                  <w:w w:val="99"/>
                </w:rPr>
                <w:t>Lenders party thereto and JPMorgan Chase Bank, N.A., as Administratve Agent (incorporated by reference to Exhibit 10.1 to</w:t>
              </w:r>
            </w:hyperlink>
          </w:p>
        </w:tc>
        <w:tc>
          <w:tcPr>
            <w:tcW w:w="12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line="196" w:lineRule="exact"/>
              <w:rPr>
                <w:rFonts w:ascii="Calibri" w:cs="Calibri" w:eastAsia="Calibri" w:hAnsi="Calibri"/>
                <w:sz w:val="18"/>
                <w:szCs w:val="18"/>
                <w:color w:val="0563C1"/>
              </w:rPr>
            </w:pPr>
            <w:hyperlink r:id="rId681">
              <w:r>
                <w:rPr>
                  <w:rFonts w:ascii="Calibri" w:cs="Calibri" w:eastAsia="Calibri" w:hAnsi="Calibri"/>
                  <w:sz w:val="18"/>
                  <w:szCs w:val="18"/>
                  <w:color w:val="0563C1"/>
                </w:rPr>
                <w:t>the Martn Marieta Materials, Inc., Current Report on Form 8-K fled on December 22, 2022)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20" w:type="dxa"/>
            <w:vAlign w:val="bottom"/>
            <w:tcBorders>
              <w:right w:val="single" w:sz="8" w:color="91BBD3"/>
            </w:tcBorders>
          </w:tcPr>
          <w:p>
            <w:pPr>
              <w:spacing w:after="0"/>
              <w:rPr>
                <w:sz w:val="2"/>
                <w:szCs w:val="2"/>
                <w:color w:val="auto"/>
              </w:rPr>
            </w:pPr>
          </w:p>
        </w:tc>
        <w:tc>
          <w:tcPr>
            <w:tcW w:w="164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2180" w:type="dxa"/>
            <w:vAlign w:val="bottom"/>
            <w:tcBorders>
              <w:top w:val="single" w:sz="8" w:color="0000EE"/>
              <w:bottom w:val="single" w:sz="8" w:color="91BBD3"/>
            </w:tcBorders>
          </w:tcPr>
          <w:p>
            <w:pPr>
              <w:spacing w:after="0"/>
              <w:rPr>
                <w:sz w:val="2"/>
                <w:szCs w:val="2"/>
                <w:color w:val="auto"/>
              </w:rPr>
            </w:pPr>
          </w:p>
        </w:tc>
        <w:tc>
          <w:tcPr>
            <w:tcW w:w="780" w:type="dxa"/>
            <w:vAlign w:val="bottom"/>
            <w:tcBorders>
              <w:top w:val="single" w:sz="8" w:color="0000EE"/>
              <w:bottom w:val="single" w:sz="8" w:color="91BBD3"/>
            </w:tcBorders>
          </w:tcPr>
          <w:p>
            <w:pPr>
              <w:spacing w:after="0"/>
              <w:rPr>
                <w:sz w:val="2"/>
                <w:szCs w:val="2"/>
                <w:color w:val="auto"/>
              </w:rPr>
            </w:pPr>
          </w:p>
        </w:tc>
        <w:tc>
          <w:tcPr>
            <w:tcW w:w="1560" w:type="dxa"/>
            <w:vAlign w:val="bottom"/>
            <w:tcBorders>
              <w:top w:val="single" w:sz="8" w:color="0000EE"/>
              <w:bottom w:val="single" w:sz="8" w:color="91BBD3"/>
            </w:tcBorders>
          </w:tcPr>
          <w:p>
            <w:pPr>
              <w:spacing w:after="0"/>
              <w:rPr>
                <w:sz w:val="2"/>
                <w:szCs w:val="2"/>
                <w:color w:val="auto"/>
              </w:rPr>
            </w:pPr>
          </w:p>
        </w:tc>
        <w:tc>
          <w:tcPr>
            <w:tcW w:w="160" w:type="dxa"/>
            <w:vAlign w:val="bottom"/>
            <w:tcBorders>
              <w:top w:val="single" w:sz="8" w:color="0000EE"/>
              <w:bottom w:val="single" w:sz="8" w:color="91BBD3"/>
            </w:tcBorders>
          </w:tcPr>
          <w:p>
            <w:pPr>
              <w:spacing w:after="0"/>
              <w:rPr>
                <w:sz w:val="2"/>
                <w:szCs w:val="2"/>
                <w:color w:val="auto"/>
              </w:rPr>
            </w:pPr>
          </w:p>
        </w:tc>
        <w:tc>
          <w:tcPr>
            <w:tcW w:w="2240" w:type="dxa"/>
            <w:vAlign w:val="bottom"/>
            <w:tcBorders>
              <w:top w:val="single" w:sz="8" w:color="0000EE"/>
              <w:bottom w:val="single" w:sz="8" w:color="91BBD3"/>
            </w:tcBorders>
          </w:tcPr>
          <w:p>
            <w:pPr>
              <w:spacing w:after="0"/>
              <w:rPr>
                <w:sz w:val="2"/>
                <w:szCs w:val="2"/>
                <w:color w:val="auto"/>
              </w:rPr>
            </w:pPr>
          </w:p>
        </w:tc>
        <w:tc>
          <w:tcPr>
            <w:tcW w:w="620" w:type="dxa"/>
            <w:vAlign w:val="bottom"/>
            <w:tcBorders>
              <w:top w:val="single" w:sz="8" w:color="0000EE"/>
              <w:bottom w:val="single" w:sz="8" w:color="91BBD3"/>
            </w:tcBorders>
          </w:tcPr>
          <w:p>
            <w:pPr>
              <w:spacing w:after="0"/>
              <w:rPr>
                <w:sz w:val="2"/>
                <w:szCs w:val="2"/>
                <w:color w:val="auto"/>
              </w:rPr>
            </w:pPr>
          </w:p>
        </w:tc>
        <w:tc>
          <w:tcPr>
            <w:tcW w:w="480" w:type="dxa"/>
            <w:vAlign w:val="bottom"/>
            <w:tcBorders>
              <w:top w:val="single" w:sz="8" w:color="0000EE"/>
              <w:bottom w:val="single" w:sz="8" w:color="91BBD3"/>
            </w:tcBorders>
          </w:tcPr>
          <w:p>
            <w:pPr>
              <w:spacing w:after="0"/>
              <w:rPr>
                <w:sz w:val="2"/>
                <w:szCs w:val="2"/>
                <w:color w:val="auto"/>
              </w:rPr>
            </w:pPr>
          </w:p>
        </w:tc>
        <w:tc>
          <w:tcPr>
            <w:tcW w:w="80" w:type="dxa"/>
            <w:vAlign w:val="bottom"/>
            <w:tcBorders>
              <w:top w:val="single" w:sz="8" w:color="0000EE"/>
              <w:bottom w:val="single" w:sz="8" w:color="91BBD3"/>
            </w:tcBorders>
          </w:tcPr>
          <w:p>
            <w:pPr>
              <w:spacing w:after="0"/>
              <w:rPr>
                <w:sz w:val="2"/>
                <w:szCs w:val="2"/>
                <w:color w:val="auto"/>
              </w:rPr>
            </w:pPr>
          </w:p>
        </w:tc>
        <w:tc>
          <w:tcPr>
            <w:tcW w:w="160" w:type="dxa"/>
            <w:vAlign w:val="bottom"/>
            <w:tcBorders>
              <w:top w:val="single" w:sz="8" w:color="0000EE"/>
              <w:bottom w:val="single" w:sz="8" w:color="91BBD3"/>
            </w:tcBorders>
          </w:tcPr>
          <w:p>
            <w:pPr>
              <w:spacing w:after="0"/>
              <w:rPr>
                <w:sz w:val="2"/>
                <w:szCs w:val="2"/>
                <w:color w:val="auto"/>
              </w:rPr>
            </w:pPr>
          </w:p>
        </w:tc>
        <w:tc>
          <w:tcPr>
            <w:tcW w:w="280" w:type="dxa"/>
            <w:vAlign w:val="bottom"/>
            <w:tcBorders>
              <w:top w:val="single" w:sz="8" w:color="0000EE"/>
              <w:bottom w:val="single" w:sz="8" w:color="91BBD3"/>
            </w:tcBorders>
          </w:tcPr>
          <w:p>
            <w:pPr>
              <w:spacing w:after="0"/>
              <w:rPr>
                <w:sz w:val="2"/>
                <w:szCs w:val="2"/>
                <w:color w:val="auto"/>
              </w:rPr>
            </w:pPr>
          </w:p>
        </w:tc>
        <w:tc>
          <w:tcPr>
            <w:tcW w:w="320" w:type="dxa"/>
            <w:vAlign w:val="bottom"/>
            <w:tcBorders>
              <w:top w:val="single" w:sz="8" w:color="0000EE"/>
              <w:bottom w:val="single" w:sz="8" w:color="91BBD3"/>
            </w:tcBorders>
          </w:tcPr>
          <w:p>
            <w:pPr>
              <w:spacing w:after="0"/>
              <w:rPr>
                <w:sz w:val="2"/>
                <w:szCs w:val="2"/>
                <w:color w:val="auto"/>
              </w:rPr>
            </w:pPr>
          </w:p>
        </w:tc>
        <w:tc>
          <w:tcPr>
            <w:tcW w:w="14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0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0" w:type="dxa"/>
            <w:vAlign w:val="bottom"/>
            <w:tcBorders>
              <w:right w:val="single" w:sz="8" w:color="91BBD3"/>
            </w:tcBorders>
          </w:tcPr>
          <w:p>
            <w:pPr>
              <w:spacing w:after="0"/>
              <w:rPr>
                <w:sz w:val="13"/>
                <w:szCs w:val="13"/>
                <w:color w:val="auto"/>
              </w:rPr>
            </w:pPr>
          </w:p>
        </w:tc>
        <w:tc>
          <w:tcPr>
            <w:tcW w:w="1640" w:type="dxa"/>
            <w:vAlign w:val="bottom"/>
            <w:tcBorders>
              <w:bottom w:val="single" w:sz="8" w:color="DAE8F0"/>
              <w:right w:val="single" w:sz="8" w:color="91BBD3"/>
            </w:tcBorders>
            <w:shd w:val="clear" w:color="auto" w:fill="DAE8F0"/>
          </w:tcPr>
          <w:p>
            <w:pPr>
              <w:ind w:left="80"/>
              <w:spacing w:after="0" w:line="156" w:lineRule="exact"/>
              <w:rPr>
                <w:sz w:val="20"/>
                <w:szCs w:val="20"/>
                <w:color w:val="auto"/>
              </w:rPr>
            </w:pPr>
            <w:r>
              <w:rPr>
                <w:rFonts w:ascii="Calibri" w:cs="Calibri" w:eastAsia="Calibri" w:hAnsi="Calibri"/>
                <w:sz w:val="16"/>
                <w:szCs w:val="16"/>
                <w:b w:val="1"/>
                <w:bCs w:val="1"/>
                <w:color w:val="auto"/>
              </w:rPr>
              <w:t>10.03</w:t>
            </w:r>
          </w:p>
        </w:tc>
        <w:tc>
          <w:tcPr>
            <w:tcW w:w="100" w:type="dxa"/>
            <w:vAlign w:val="bottom"/>
            <w:tcBorders>
              <w:bottom w:val="single" w:sz="8" w:color="DAE8F0"/>
            </w:tcBorders>
            <w:shd w:val="clear" w:color="auto" w:fill="DAE8F0"/>
          </w:tcPr>
          <w:p>
            <w:pPr>
              <w:spacing w:after="0"/>
              <w:rPr>
                <w:sz w:val="13"/>
                <w:szCs w:val="13"/>
                <w:color w:val="auto"/>
              </w:rPr>
            </w:pPr>
          </w:p>
        </w:tc>
        <w:tc>
          <w:tcPr>
            <w:tcW w:w="9020" w:type="dxa"/>
            <w:vAlign w:val="bottom"/>
            <w:tcBorders>
              <w:bottom w:val="single" w:sz="8" w:color="0563C1"/>
            </w:tcBorders>
            <w:gridSpan w:val="13"/>
            <w:shd w:val="clear" w:color="auto" w:fill="DAE8F0"/>
          </w:tcPr>
          <w:p>
            <w:pPr>
              <w:spacing w:after="0" w:line="156" w:lineRule="exact"/>
              <w:rPr>
                <w:rFonts w:ascii="Calibri" w:cs="Calibri" w:eastAsia="Calibri" w:hAnsi="Calibri"/>
                <w:sz w:val="16"/>
                <w:szCs w:val="16"/>
                <w:color w:val="0563C1"/>
              </w:rPr>
            </w:pPr>
            <w:hyperlink r:id="rId682">
              <w:r>
                <w:rPr>
                  <w:rFonts w:ascii="Calibri" w:cs="Calibri" w:eastAsia="Calibri" w:hAnsi="Calibri"/>
                  <w:sz w:val="16"/>
                  <w:szCs w:val="16"/>
                  <w:color w:val="0563C1"/>
                </w:rPr>
                <w:t>Loan Modifcaton No. 2 and Extension Agreement dated as of December 21, 2023 among the Corporaton, the Lenders party</w:t>
              </w:r>
            </w:hyperlink>
          </w:p>
        </w:tc>
        <w:tc>
          <w:tcPr>
            <w:tcW w:w="100" w:type="dxa"/>
            <w:vAlign w:val="bottom"/>
            <w:tcBorders>
              <w:bottom w:val="single" w:sz="8" w:color="0000EE"/>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682">
              <w:r>
                <w:rPr>
                  <w:rFonts w:ascii="Calibri" w:cs="Calibri" w:eastAsia="Calibri" w:hAnsi="Calibri"/>
                  <w:sz w:val="18"/>
                  <w:szCs w:val="18"/>
                  <w:color w:val="0563C1"/>
                </w:rPr>
                <w:t>thereto and JPMorgan Chase Bank, N.A., as Administratve Agent (incorporated by reference to Exhibit 10.1 to the Martn</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Borders>
              <w:right w:val="single" w:sz="8" w:color="91BBD3"/>
            </w:tcBorders>
          </w:tcPr>
          <w:p>
            <w:pPr>
              <w:spacing w:after="0"/>
              <w:rPr>
                <w:sz w:val="20"/>
                <w:szCs w:val="20"/>
                <w:color w:val="auto"/>
              </w:rPr>
            </w:pPr>
          </w:p>
        </w:tc>
        <w:tc>
          <w:tcPr>
            <w:tcW w:w="1640" w:type="dxa"/>
            <w:vAlign w:val="bottom"/>
            <w:tcBorders>
              <w:right w:val="single" w:sz="8" w:color="91BBD3"/>
            </w:tcBorders>
            <w:shd w:val="clear" w:color="auto" w:fill="DAE8F0"/>
          </w:tcPr>
          <w:p>
            <w:pPr>
              <w:spacing w:after="0"/>
              <w:rPr>
                <w:sz w:val="20"/>
                <w:szCs w:val="20"/>
                <w:color w:val="auto"/>
              </w:rPr>
            </w:pPr>
          </w:p>
        </w:tc>
        <w:tc>
          <w:tcPr>
            <w:tcW w:w="10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4"/>
            <w:shd w:val="clear" w:color="auto" w:fill="DAE8F0"/>
          </w:tcPr>
          <w:p>
            <w:pPr>
              <w:spacing w:after="0" w:line="196" w:lineRule="exact"/>
              <w:rPr>
                <w:rFonts w:ascii="Calibri" w:cs="Calibri" w:eastAsia="Calibri" w:hAnsi="Calibri"/>
                <w:sz w:val="18"/>
                <w:szCs w:val="18"/>
                <w:color w:val="0563C1"/>
              </w:rPr>
            </w:pPr>
            <w:hyperlink r:id="rId682">
              <w:r>
                <w:rPr>
                  <w:rFonts w:ascii="Calibri" w:cs="Calibri" w:eastAsia="Calibri" w:hAnsi="Calibri"/>
                  <w:sz w:val="18"/>
                  <w:szCs w:val="18"/>
                  <w:color w:val="0563C1"/>
                </w:rPr>
                <w:t>Marieta Materials, Inc., Current Report on Form 8-K fled on December 21, 2023) (Commission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vMerge w:val="restart"/>
          </w:tcPr>
          <w:p>
            <w:pPr>
              <w:spacing w:after="0" w:line="20" w:lineRule="exact"/>
              <w:rPr>
                <w:sz w:val="1"/>
                <w:szCs w:val="1"/>
                <w:color w:val="auto"/>
              </w:rPr>
            </w:pPr>
          </w:p>
        </w:tc>
        <w:tc>
          <w:tcPr>
            <w:tcW w:w="16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2180" w:type="dxa"/>
            <w:vAlign w:val="bottom"/>
            <w:tcBorders>
              <w:top w:val="single" w:sz="8" w:color="0563C1"/>
            </w:tcBorders>
            <w:shd w:val="clear" w:color="auto" w:fill="91BBD3"/>
          </w:tcPr>
          <w:p>
            <w:pPr>
              <w:spacing w:after="0" w:line="20" w:lineRule="exact"/>
              <w:rPr>
                <w:sz w:val="1"/>
                <w:szCs w:val="1"/>
                <w:color w:val="auto"/>
              </w:rPr>
            </w:pPr>
          </w:p>
        </w:tc>
        <w:tc>
          <w:tcPr>
            <w:tcW w:w="780" w:type="dxa"/>
            <w:vAlign w:val="bottom"/>
            <w:tcBorders>
              <w:top w:val="single" w:sz="8" w:color="0563C1"/>
            </w:tcBorders>
            <w:shd w:val="clear" w:color="auto" w:fill="91BBD3"/>
          </w:tcPr>
          <w:p>
            <w:pPr>
              <w:spacing w:after="0" w:line="20" w:lineRule="exact"/>
              <w:rPr>
                <w:sz w:val="1"/>
                <w:szCs w:val="1"/>
                <w:color w:val="auto"/>
              </w:rPr>
            </w:pPr>
          </w:p>
        </w:tc>
        <w:tc>
          <w:tcPr>
            <w:tcW w:w="156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224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480" w:type="dxa"/>
            <w:vAlign w:val="bottom"/>
            <w:tcBorders>
              <w:top w:val="single" w:sz="8" w:color="0563C1"/>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32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 w:type="dxa"/>
            <w:vAlign w:val="bottom"/>
            <w:tcBorders>
              <w:right w:val="single" w:sz="8" w:color="91BBD3"/>
            </w:tcBorders>
            <w:vMerge w:val="continue"/>
          </w:tcPr>
          <w:p>
            <w:pPr>
              <w:spacing w:after="0"/>
              <w:rPr>
                <w:sz w:val="13"/>
                <w:szCs w:val="13"/>
                <w:color w:val="auto"/>
              </w:rPr>
            </w:pPr>
          </w:p>
        </w:tc>
        <w:tc>
          <w:tcPr>
            <w:tcW w:w="1640" w:type="dxa"/>
            <w:vAlign w:val="bottom"/>
            <w:tcBorders>
              <w:right w:val="single" w:sz="8" w:color="91BBD3"/>
            </w:tcBorders>
          </w:tcPr>
          <w:p>
            <w:pPr>
              <w:ind w:left="80"/>
              <w:spacing w:after="0" w:line="156" w:lineRule="exact"/>
              <w:rPr>
                <w:sz w:val="20"/>
                <w:szCs w:val="20"/>
                <w:color w:val="auto"/>
              </w:rPr>
            </w:pPr>
            <w:r>
              <w:rPr>
                <w:rFonts w:ascii="Calibri" w:cs="Calibri" w:eastAsia="Calibri" w:hAnsi="Calibri"/>
                <w:sz w:val="16"/>
                <w:szCs w:val="16"/>
                <w:b w:val="1"/>
                <w:bCs w:val="1"/>
                <w:color w:val="auto"/>
              </w:rPr>
              <w:t>10.04</w:t>
            </w:r>
          </w:p>
        </w:tc>
        <w:tc>
          <w:tcPr>
            <w:tcW w:w="100" w:type="dxa"/>
            <w:vAlign w:val="bottom"/>
          </w:tcPr>
          <w:p>
            <w:pPr>
              <w:spacing w:after="0"/>
              <w:rPr>
                <w:sz w:val="13"/>
                <w:szCs w:val="13"/>
                <w:color w:val="auto"/>
              </w:rPr>
            </w:pPr>
          </w:p>
        </w:tc>
        <w:tc>
          <w:tcPr>
            <w:tcW w:w="9120" w:type="dxa"/>
            <w:vAlign w:val="bottom"/>
            <w:tcBorders>
              <w:bottom w:val="single" w:sz="8" w:color="0563C1"/>
              <w:right w:val="single" w:sz="8" w:color="91BBD3"/>
            </w:tcBorders>
            <w:gridSpan w:val="14"/>
          </w:tcPr>
          <w:p>
            <w:pPr>
              <w:spacing w:after="0" w:line="156" w:lineRule="exact"/>
              <w:rPr>
                <w:sz w:val="20"/>
                <w:szCs w:val="20"/>
                <w:color w:val="auto"/>
              </w:rPr>
            </w:pPr>
            <w:r>
              <w:rPr>
                <w:rFonts w:ascii="Calibri" w:cs="Calibri" w:eastAsia="Calibri" w:hAnsi="Calibri"/>
                <w:sz w:val="16"/>
                <w:szCs w:val="16"/>
                <w:color w:val="0563C1"/>
              </w:rPr>
              <w:t>Loan Modifcaton No. 3 and Extension Agreement dated as of December 20, 2024 among the Corporaton, the Lenders party</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2"/>
          </w:tcPr>
          <w:p>
            <w:pPr>
              <w:spacing w:after="0" w:line="196" w:lineRule="exact"/>
              <w:rPr>
                <w:sz w:val="20"/>
                <w:szCs w:val="20"/>
                <w:color w:val="auto"/>
              </w:rPr>
            </w:pPr>
            <w:r>
              <w:rPr>
                <w:rFonts w:ascii="Calibri" w:cs="Calibri" w:eastAsia="Calibri" w:hAnsi="Calibri"/>
                <w:sz w:val="18"/>
                <w:szCs w:val="18"/>
                <w:color w:val="0563C1"/>
              </w:rPr>
              <w:t>thereto and JPMorgan Chase Bank, N.A., as Administratve Agent (incorporated by reference to Exhibit 10.1 to the Martn</w:t>
            </w:r>
          </w:p>
        </w:tc>
        <w:tc>
          <w:tcPr>
            <w:tcW w:w="12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line="196" w:lineRule="exact"/>
              <w:rPr>
                <w:sz w:val="20"/>
                <w:szCs w:val="20"/>
                <w:color w:val="auto"/>
              </w:rPr>
            </w:pPr>
            <w:r>
              <w:rPr>
                <w:rFonts w:ascii="Calibri" w:cs="Calibri" w:eastAsia="Calibri" w:hAnsi="Calibri"/>
                <w:sz w:val="18"/>
                <w:szCs w:val="18"/>
                <w:color w:val="0563C1"/>
              </w:rPr>
              <w:t>Marieta Materials, Inc., Current Report on Form 8-K fled on December 20, 2024) (Commission File No. 1-12744)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20" w:type="dxa"/>
            <w:vAlign w:val="bottom"/>
            <w:tcBorders>
              <w:right w:val="single" w:sz="8" w:color="91BBD3"/>
            </w:tcBorders>
          </w:tcPr>
          <w:p>
            <w:pPr>
              <w:spacing w:after="0"/>
              <w:rPr>
                <w:sz w:val="2"/>
                <w:szCs w:val="2"/>
                <w:color w:val="auto"/>
              </w:rPr>
            </w:pPr>
          </w:p>
        </w:tc>
        <w:tc>
          <w:tcPr>
            <w:tcW w:w="164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2180" w:type="dxa"/>
            <w:vAlign w:val="bottom"/>
            <w:tcBorders>
              <w:top w:val="single" w:sz="8" w:color="0563C1"/>
              <w:bottom w:val="single" w:sz="8" w:color="91BBD3"/>
            </w:tcBorders>
          </w:tcPr>
          <w:p>
            <w:pPr>
              <w:spacing w:after="0"/>
              <w:rPr>
                <w:sz w:val="2"/>
                <w:szCs w:val="2"/>
                <w:color w:val="auto"/>
              </w:rPr>
            </w:pPr>
          </w:p>
        </w:tc>
        <w:tc>
          <w:tcPr>
            <w:tcW w:w="780" w:type="dxa"/>
            <w:vAlign w:val="bottom"/>
            <w:tcBorders>
              <w:top w:val="single" w:sz="8" w:color="0563C1"/>
              <w:bottom w:val="single" w:sz="8" w:color="91BBD3"/>
            </w:tcBorders>
          </w:tcPr>
          <w:p>
            <w:pPr>
              <w:spacing w:after="0"/>
              <w:rPr>
                <w:sz w:val="2"/>
                <w:szCs w:val="2"/>
                <w:color w:val="auto"/>
              </w:rPr>
            </w:pPr>
          </w:p>
        </w:tc>
        <w:tc>
          <w:tcPr>
            <w:tcW w:w="1560" w:type="dxa"/>
            <w:vAlign w:val="bottom"/>
            <w:tcBorders>
              <w:top w:val="single" w:sz="8" w:color="0563C1"/>
              <w:bottom w:val="single" w:sz="8" w:color="91BBD3"/>
            </w:tcBorders>
          </w:tcPr>
          <w:p>
            <w:pPr>
              <w:spacing w:after="0"/>
              <w:rPr>
                <w:sz w:val="2"/>
                <w:szCs w:val="2"/>
                <w:color w:val="auto"/>
              </w:rPr>
            </w:pPr>
          </w:p>
        </w:tc>
        <w:tc>
          <w:tcPr>
            <w:tcW w:w="160" w:type="dxa"/>
            <w:vAlign w:val="bottom"/>
            <w:tcBorders>
              <w:top w:val="single" w:sz="8" w:color="0563C1"/>
              <w:bottom w:val="single" w:sz="8" w:color="91BBD3"/>
            </w:tcBorders>
          </w:tcPr>
          <w:p>
            <w:pPr>
              <w:spacing w:after="0"/>
              <w:rPr>
                <w:sz w:val="2"/>
                <w:szCs w:val="2"/>
                <w:color w:val="auto"/>
              </w:rPr>
            </w:pPr>
          </w:p>
        </w:tc>
        <w:tc>
          <w:tcPr>
            <w:tcW w:w="2240" w:type="dxa"/>
            <w:vAlign w:val="bottom"/>
            <w:tcBorders>
              <w:top w:val="single" w:sz="8" w:color="0563C1"/>
              <w:bottom w:val="single" w:sz="8" w:color="91BBD3"/>
            </w:tcBorders>
          </w:tcPr>
          <w:p>
            <w:pPr>
              <w:spacing w:after="0"/>
              <w:rPr>
                <w:sz w:val="2"/>
                <w:szCs w:val="2"/>
                <w:color w:val="auto"/>
              </w:rPr>
            </w:pPr>
          </w:p>
        </w:tc>
        <w:tc>
          <w:tcPr>
            <w:tcW w:w="620" w:type="dxa"/>
            <w:vAlign w:val="bottom"/>
            <w:tcBorders>
              <w:top w:val="single" w:sz="8" w:color="0563C1"/>
              <w:bottom w:val="single" w:sz="8" w:color="91BBD3"/>
            </w:tcBorders>
          </w:tcPr>
          <w:p>
            <w:pPr>
              <w:spacing w:after="0"/>
              <w:rPr>
                <w:sz w:val="2"/>
                <w:szCs w:val="2"/>
                <w:color w:val="auto"/>
              </w:rPr>
            </w:pPr>
          </w:p>
        </w:tc>
        <w:tc>
          <w:tcPr>
            <w:tcW w:w="480" w:type="dxa"/>
            <w:vAlign w:val="bottom"/>
            <w:tcBorders>
              <w:top w:val="single" w:sz="8" w:color="0563C1"/>
              <w:bottom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14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0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20" w:type="dxa"/>
            <w:vAlign w:val="bottom"/>
            <w:tcBorders>
              <w:right w:val="single" w:sz="8" w:color="91BBD3"/>
            </w:tcBorders>
          </w:tcPr>
          <w:p>
            <w:pPr>
              <w:spacing w:after="0"/>
              <w:rPr>
                <w:sz w:val="13"/>
                <w:szCs w:val="13"/>
                <w:color w:val="auto"/>
              </w:rPr>
            </w:pPr>
          </w:p>
        </w:tc>
        <w:tc>
          <w:tcPr>
            <w:tcW w:w="1640" w:type="dxa"/>
            <w:vAlign w:val="bottom"/>
            <w:tcBorders>
              <w:bottom w:val="single" w:sz="8" w:color="DAE8F0"/>
              <w:right w:val="single" w:sz="8" w:color="91BBD3"/>
            </w:tcBorders>
            <w:shd w:val="clear" w:color="auto" w:fill="DAE8F0"/>
          </w:tcPr>
          <w:p>
            <w:pPr>
              <w:ind w:left="80"/>
              <w:spacing w:after="0" w:line="156" w:lineRule="exact"/>
              <w:rPr>
                <w:sz w:val="20"/>
                <w:szCs w:val="20"/>
                <w:color w:val="auto"/>
              </w:rPr>
            </w:pPr>
            <w:r>
              <w:rPr>
                <w:rFonts w:ascii="Calibri" w:cs="Calibri" w:eastAsia="Calibri" w:hAnsi="Calibri"/>
                <w:sz w:val="16"/>
                <w:szCs w:val="16"/>
                <w:b w:val="1"/>
                <w:bCs w:val="1"/>
                <w:color w:val="auto"/>
              </w:rPr>
              <w:t>10.05</w:t>
            </w:r>
          </w:p>
        </w:tc>
        <w:tc>
          <w:tcPr>
            <w:tcW w:w="100" w:type="dxa"/>
            <w:vAlign w:val="bottom"/>
            <w:tcBorders>
              <w:bottom w:val="single" w:sz="8" w:color="DAE8F0"/>
            </w:tcBorders>
            <w:shd w:val="clear" w:color="auto" w:fill="DAE8F0"/>
          </w:tcPr>
          <w:p>
            <w:pPr>
              <w:spacing w:after="0"/>
              <w:rPr>
                <w:sz w:val="13"/>
                <w:szCs w:val="13"/>
                <w:color w:val="auto"/>
              </w:rPr>
            </w:pPr>
          </w:p>
        </w:tc>
        <w:tc>
          <w:tcPr>
            <w:tcW w:w="9000" w:type="dxa"/>
            <w:vAlign w:val="bottom"/>
            <w:tcBorders>
              <w:bottom w:val="single" w:sz="8" w:color="0563C1"/>
              <w:right w:val="single" w:sz="8" w:color="DAE8F0"/>
            </w:tcBorders>
            <w:gridSpan w:val="12"/>
            <w:shd w:val="clear" w:color="auto" w:fill="DAE8F0"/>
          </w:tcPr>
          <w:p>
            <w:pPr>
              <w:spacing w:after="0" w:line="156" w:lineRule="exact"/>
              <w:rPr>
                <w:rFonts w:ascii="Calibri" w:cs="Calibri" w:eastAsia="Calibri" w:hAnsi="Calibri"/>
                <w:sz w:val="16"/>
                <w:szCs w:val="16"/>
                <w:color w:val="0563C1"/>
              </w:rPr>
            </w:pPr>
            <w:hyperlink r:id="rId683">
              <w:r>
                <w:rPr>
                  <w:rFonts w:ascii="Calibri" w:cs="Calibri" w:eastAsia="Calibri" w:hAnsi="Calibri"/>
                  <w:sz w:val="16"/>
                  <w:szCs w:val="16"/>
                  <w:color w:val="0563C1"/>
                </w:rPr>
                <w:t>Credit and Security Agreement dated as of April 19, 2013, among Martn Marieta Funding LLC, as borrower, Martn Marieta</w:t>
              </w:r>
            </w:hyperlink>
          </w:p>
        </w:tc>
        <w:tc>
          <w:tcPr>
            <w:tcW w:w="120" w:type="dxa"/>
            <w:vAlign w:val="bottom"/>
            <w:tcBorders>
              <w:bottom w:val="single" w:sz="8" w:color="DAE8F0"/>
              <w:right w:val="single" w:sz="8" w:color="91BBD3"/>
            </w:tcBorders>
            <w:gridSpan w:val="2"/>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683">
              <w:r>
                <w:rPr>
                  <w:rFonts w:ascii="Calibri" w:cs="Calibri" w:eastAsia="Calibri" w:hAnsi="Calibri"/>
                  <w:sz w:val="18"/>
                  <w:szCs w:val="18"/>
                  <w:color w:val="0563C1"/>
                </w:rPr>
                <w:t>Materials, Inc., as servicer, and Truist Bank, as lender, together with the other lenders from tme to tme party thereto, and</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rPr>
            </w:pPr>
            <w:hyperlink r:id="rId683">
              <w:r>
                <w:rPr>
                  <w:rFonts w:ascii="Calibri" w:cs="Calibri" w:eastAsia="Calibri" w:hAnsi="Calibri"/>
                  <w:sz w:val="18"/>
                  <w:szCs w:val="18"/>
                  <w:color w:val="0563C1"/>
                </w:rPr>
                <w:t>Truist Bank, as administratve agent for the lenders (incorporated by reference to Exhibit 10.01 to the Martn Marieta</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Borders>
              <w:right w:val="single" w:sz="8" w:color="91BBD3"/>
            </w:tcBorders>
          </w:tcPr>
          <w:p>
            <w:pPr>
              <w:spacing w:after="0"/>
              <w:rPr>
                <w:sz w:val="21"/>
                <w:szCs w:val="21"/>
                <w:color w:val="auto"/>
              </w:rPr>
            </w:pPr>
          </w:p>
        </w:tc>
        <w:tc>
          <w:tcPr>
            <w:tcW w:w="1640" w:type="dxa"/>
            <w:vAlign w:val="bottom"/>
            <w:tcBorders>
              <w:bottom w:val="single" w:sz="8" w:color="91BBD3"/>
              <w:right w:val="single" w:sz="8" w:color="91BBD3"/>
            </w:tcBorders>
            <w:shd w:val="clear" w:color="auto" w:fill="DAE8F0"/>
          </w:tcPr>
          <w:p>
            <w:pPr>
              <w:spacing w:after="0"/>
              <w:rPr>
                <w:sz w:val="21"/>
                <w:szCs w:val="21"/>
                <w:color w:val="auto"/>
              </w:rPr>
            </w:pPr>
          </w:p>
        </w:tc>
        <w:tc>
          <w:tcPr>
            <w:tcW w:w="100" w:type="dxa"/>
            <w:vAlign w:val="bottom"/>
            <w:tcBorders>
              <w:bottom w:val="single" w:sz="8" w:color="91BBD3"/>
            </w:tcBorders>
            <w:shd w:val="clear" w:color="auto" w:fill="DAE8F0"/>
          </w:tcPr>
          <w:p>
            <w:pPr>
              <w:spacing w:after="0"/>
              <w:rPr>
                <w:sz w:val="21"/>
                <w:szCs w:val="21"/>
                <w:color w:val="auto"/>
              </w:rPr>
            </w:pPr>
          </w:p>
        </w:tc>
        <w:tc>
          <w:tcPr>
            <w:tcW w:w="6920" w:type="dxa"/>
            <w:vAlign w:val="bottom"/>
            <w:tcBorders>
              <w:bottom w:val="single" w:sz="8" w:color="0563C1"/>
            </w:tcBorders>
            <w:gridSpan w:val="5"/>
            <w:shd w:val="clear" w:color="auto" w:fill="DAE8F0"/>
          </w:tcPr>
          <w:p>
            <w:pPr>
              <w:spacing w:after="0" w:line="196" w:lineRule="exact"/>
              <w:rPr>
                <w:rFonts w:ascii="Calibri" w:cs="Calibri" w:eastAsia="Calibri" w:hAnsi="Calibri"/>
                <w:sz w:val="18"/>
                <w:szCs w:val="18"/>
                <w:color w:val="0563C1"/>
                <w:w w:val="97"/>
              </w:rPr>
            </w:pPr>
            <w:hyperlink r:id="rId683">
              <w:r>
                <w:rPr>
                  <w:rFonts w:ascii="Calibri" w:cs="Calibri" w:eastAsia="Calibri" w:hAnsi="Calibri"/>
                  <w:sz w:val="18"/>
                  <w:szCs w:val="18"/>
                  <w:color w:val="0563C1"/>
                  <w:w w:val="97"/>
                </w:rPr>
                <w:t>Materials, Inc. Current Report on Form 8-K fled on April 24, 2013) (Commission File No. 1-12744)</w:t>
              </w:r>
            </w:hyperlink>
          </w:p>
        </w:tc>
        <w:tc>
          <w:tcPr>
            <w:tcW w:w="2200" w:type="dxa"/>
            <w:vAlign w:val="bottom"/>
            <w:tcBorders>
              <w:bottom w:val="single" w:sz="8" w:color="91BBD3"/>
              <w:right w:val="single" w:sz="8" w:color="91BBD3"/>
            </w:tcBorders>
            <w:gridSpan w:val="9"/>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20" w:type="dxa"/>
            <w:vAlign w:val="bottom"/>
            <w:tcBorders>
              <w:right w:val="single" w:sz="8" w:color="91BBD3"/>
            </w:tcBorders>
          </w:tcPr>
          <w:p>
            <w:pPr>
              <w:spacing w:after="0"/>
              <w:rPr>
                <w:sz w:val="13"/>
                <w:szCs w:val="13"/>
                <w:color w:val="auto"/>
              </w:rPr>
            </w:pPr>
          </w:p>
        </w:tc>
        <w:tc>
          <w:tcPr>
            <w:tcW w:w="1640" w:type="dxa"/>
            <w:vAlign w:val="bottom"/>
            <w:tcBorders>
              <w:right w:val="single" w:sz="8" w:color="91BBD3"/>
            </w:tcBorders>
          </w:tcPr>
          <w:p>
            <w:pPr>
              <w:ind w:left="80"/>
              <w:spacing w:after="0" w:line="156" w:lineRule="exact"/>
              <w:rPr>
                <w:sz w:val="20"/>
                <w:szCs w:val="20"/>
                <w:color w:val="auto"/>
              </w:rPr>
            </w:pPr>
            <w:r>
              <w:rPr>
                <w:rFonts w:ascii="Calibri" w:cs="Calibri" w:eastAsia="Calibri" w:hAnsi="Calibri"/>
                <w:sz w:val="16"/>
                <w:szCs w:val="16"/>
                <w:b w:val="1"/>
                <w:bCs w:val="1"/>
                <w:color w:val="auto"/>
              </w:rPr>
              <w:t>10.06</w:t>
            </w:r>
          </w:p>
        </w:tc>
        <w:tc>
          <w:tcPr>
            <w:tcW w:w="100" w:type="dxa"/>
            <w:vAlign w:val="bottom"/>
          </w:tcPr>
          <w:p>
            <w:pPr>
              <w:spacing w:after="0"/>
              <w:rPr>
                <w:sz w:val="13"/>
                <w:szCs w:val="13"/>
                <w:color w:val="auto"/>
              </w:rPr>
            </w:pPr>
          </w:p>
        </w:tc>
        <w:tc>
          <w:tcPr>
            <w:tcW w:w="9120" w:type="dxa"/>
            <w:vAlign w:val="bottom"/>
            <w:tcBorders>
              <w:right w:val="single" w:sz="8" w:color="91BBD3"/>
            </w:tcBorders>
            <w:gridSpan w:val="14"/>
          </w:tcPr>
          <w:p>
            <w:pPr>
              <w:spacing w:after="0" w:line="156" w:lineRule="exact"/>
              <w:rPr>
                <w:rFonts w:ascii="Calibri" w:cs="Calibri" w:eastAsia="Calibri" w:hAnsi="Calibri"/>
                <w:sz w:val="16"/>
                <w:szCs w:val="16"/>
                <w:color w:val="0563C1"/>
              </w:rPr>
            </w:pPr>
            <w:hyperlink r:id="rId684">
              <w:r>
                <w:rPr>
                  <w:rFonts w:ascii="Calibri" w:cs="Calibri" w:eastAsia="Calibri" w:hAnsi="Calibri"/>
                  <w:sz w:val="16"/>
                  <w:szCs w:val="16"/>
                  <w:color w:val="0563C1"/>
                </w:rPr>
                <w:t>Commitment Leter dated as of June 20, 2014 to the Credit and Security Agreement, dated as of April 19, 2013 (as last</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1560" w:type="dxa"/>
            <w:vAlign w:val="bottom"/>
            <w:shd w:val="clear" w:color="auto" w:fill="0563C1"/>
          </w:tcPr>
          <w:p>
            <w:pPr>
              <w:spacing w:after="0" w:line="20" w:lineRule="exact"/>
              <w:rPr>
                <w:sz w:val="1"/>
                <w:szCs w:val="1"/>
                <w:color w:val="auto"/>
              </w:rPr>
            </w:pPr>
          </w:p>
        </w:tc>
        <w:tc>
          <w:tcPr>
            <w:tcW w:w="3580" w:type="dxa"/>
            <w:vAlign w:val="bottom"/>
            <w:gridSpan w:val="5"/>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40" w:type="dxa"/>
            <w:vAlign w:val="bottom"/>
            <w:tcBorders>
              <w:right w:val="single" w:sz="8" w:color="0000EE"/>
            </w:tcBorders>
            <w:gridSpan w:val="3"/>
            <w:shd w:val="clear" w:color="auto" w:fill="0563C1"/>
          </w:tcPr>
          <w:p>
            <w:pPr>
              <w:spacing w:after="0" w:line="20" w:lineRule="exact"/>
              <w:rPr>
                <w:sz w:val="1"/>
                <w:szCs w:val="1"/>
                <w:color w:val="auto"/>
              </w:rPr>
            </w:pPr>
          </w:p>
        </w:tc>
        <w:tc>
          <w:tcPr>
            <w:tcW w:w="120" w:type="dxa"/>
            <w:vAlign w:val="bottom"/>
            <w:tcBorders>
              <w:right w:val="single" w:sz="8" w:color="91BBD3"/>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2"/>
          </w:tcPr>
          <w:p>
            <w:pPr>
              <w:spacing w:after="0" w:line="196" w:lineRule="exact"/>
              <w:rPr>
                <w:rFonts w:ascii="Calibri" w:cs="Calibri" w:eastAsia="Calibri" w:hAnsi="Calibri"/>
                <w:sz w:val="18"/>
                <w:szCs w:val="18"/>
                <w:color w:val="0563C1"/>
              </w:rPr>
            </w:pPr>
            <w:hyperlink r:id="rId684">
              <w:r>
                <w:rPr>
                  <w:rFonts w:ascii="Calibri" w:cs="Calibri" w:eastAsia="Calibri" w:hAnsi="Calibri"/>
                  <w:sz w:val="18"/>
                  <w:szCs w:val="18"/>
                  <w:color w:val="0563C1"/>
                </w:rPr>
                <w:t>amended April 18, 2014), among Martn Marieta Funding LLC, as borrower, Martn Marieta Materials, Inc., as servicer, and</w:t>
              </w:r>
            </w:hyperlink>
          </w:p>
        </w:tc>
        <w:tc>
          <w:tcPr>
            <w:tcW w:w="12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2"/>
          </w:tcPr>
          <w:p>
            <w:pPr>
              <w:spacing w:after="0" w:line="196" w:lineRule="exact"/>
              <w:rPr>
                <w:rFonts w:ascii="Calibri" w:cs="Calibri" w:eastAsia="Calibri" w:hAnsi="Calibri"/>
                <w:sz w:val="18"/>
                <w:szCs w:val="18"/>
                <w:color w:val="0563C1"/>
              </w:rPr>
            </w:pPr>
            <w:hyperlink r:id="rId684">
              <w:r>
                <w:rPr>
                  <w:rFonts w:ascii="Calibri" w:cs="Calibri" w:eastAsia="Calibri" w:hAnsi="Calibri"/>
                  <w:sz w:val="18"/>
                  <w:szCs w:val="18"/>
                  <w:color w:val="0563C1"/>
                </w:rPr>
                <w:t>Truist Bank, as lender, together with the other lenders from tme to tme party thereto, and Truist Bank, as administratve</w:t>
              </w:r>
            </w:hyperlink>
          </w:p>
        </w:tc>
        <w:tc>
          <w:tcPr>
            <w:tcW w:w="12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3"/>
          </w:tcPr>
          <w:p>
            <w:pPr>
              <w:spacing w:after="0" w:line="196" w:lineRule="exact"/>
              <w:rPr>
                <w:rFonts w:ascii="Calibri" w:cs="Calibri" w:eastAsia="Calibri" w:hAnsi="Calibri"/>
                <w:sz w:val="18"/>
                <w:szCs w:val="18"/>
                <w:color w:val="0563C1"/>
              </w:rPr>
            </w:pPr>
            <w:hyperlink r:id="rId684">
              <w:r>
                <w:rPr>
                  <w:rFonts w:ascii="Calibri" w:cs="Calibri" w:eastAsia="Calibri" w:hAnsi="Calibri"/>
                  <w:sz w:val="18"/>
                  <w:szCs w:val="18"/>
                  <w:color w:val="0563C1"/>
                </w:rPr>
                <w:t>agent for the lenders (incorporated by reference to Exhibit 10.01 to the Martn Marieta Materials, Inc. Current Report on</w:t>
              </w:r>
            </w:hyperlink>
          </w:p>
        </w:tc>
        <w:tc>
          <w:tcPr>
            <w:tcW w:w="10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line="196" w:lineRule="exact"/>
              <w:rPr>
                <w:rFonts w:ascii="Calibri" w:cs="Calibri" w:eastAsia="Calibri" w:hAnsi="Calibri"/>
                <w:sz w:val="18"/>
                <w:szCs w:val="18"/>
                <w:color w:val="0563C1"/>
              </w:rPr>
            </w:pPr>
            <w:hyperlink r:id="rId684">
              <w:r>
                <w:rPr>
                  <w:rFonts w:ascii="Calibri" w:cs="Calibri" w:eastAsia="Calibri" w:hAnsi="Calibri"/>
                  <w:sz w:val="18"/>
                  <w:szCs w:val="18"/>
                  <w:color w:val="0563C1"/>
                </w:rPr>
                <w:t>Form 8-K fled on June 25, 2014)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20" w:type="dxa"/>
            <w:vAlign w:val="bottom"/>
            <w:tcBorders>
              <w:right w:val="single" w:sz="8" w:color="91BBD3"/>
            </w:tcBorders>
          </w:tcPr>
          <w:p>
            <w:pPr>
              <w:spacing w:after="0"/>
              <w:rPr>
                <w:sz w:val="2"/>
                <w:szCs w:val="2"/>
                <w:color w:val="auto"/>
              </w:rPr>
            </w:pPr>
          </w:p>
        </w:tc>
        <w:tc>
          <w:tcPr>
            <w:tcW w:w="164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2180" w:type="dxa"/>
            <w:vAlign w:val="bottom"/>
            <w:tcBorders>
              <w:top w:val="single" w:sz="8" w:color="0563C1"/>
              <w:bottom w:val="single" w:sz="8" w:color="91BBD3"/>
            </w:tcBorders>
          </w:tcPr>
          <w:p>
            <w:pPr>
              <w:spacing w:after="0"/>
              <w:rPr>
                <w:sz w:val="2"/>
                <w:szCs w:val="2"/>
                <w:color w:val="auto"/>
              </w:rPr>
            </w:pPr>
          </w:p>
        </w:tc>
        <w:tc>
          <w:tcPr>
            <w:tcW w:w="780" w:type="dxa"/>
            <w:vAlign w:val="bottom"/>
            <w:tcBorders>
              <w:top w:val="single" w:sz="8" w:color="0563C1"/>
              <w:bottom w:val="single" w:sz="8" w:color="91BBD3"/>
            </w:tcBorders>
          </w:tcPr>
          <w:p>
            <w:pPr>
              <w:spacing w:after="0"/>
              <w:rPr>
                <w:sz w:val="2"/>
                <w:szCs w:val="2"/>
                <w:color w:val="auto"/>
              </w:rPr>
            </w:pPr>
          </w:p>
        </w:tc>
        <w:tc>
          <w:tcPr>
            <w:tcW w:w="1560" w:type="dxa"/>
            <w:vAlign w:val="bottom"/>
            <w:tcBorders>
              <w:top w:val="single" w:sz="8" w:color="0563C1"/>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2240" w:type="dxa"/>
            <w:vAlign w:val="bottom"/>
            <w:tcBorders>
              <w:bottom w:val="single" w:sz="8" w:color="91BBD3"/>
            </w:tcBorders>
          </w:tcPr>
          <w:p>
            <w:pPr>
              <w:spacing w:after="0"/>
              <w:rPr>
                <w:sz w:val="2"/>
                <w:szCs w:val="2"/>
                <w:color w:val="auto"/>
              </w:rPr>
            </w:pPr>
          </w:p>
        </w:tc>
        <w:tc>
          <w:tcPr>
            <w:tcW w:w="620" w:type="dxa"/>
            <w:vAlign w:val="bottom"/>
            <w:tcBorders>
              <w:bottom w:val="single" w:sz="8" w:color="91BBD3"/>
            </w:tcBorders>
          </w:tcPr>
          <w:p>
            <w:pPr>
              <w:spacing w:after="0"/>
              <w:rPr>
                <w:sz w:val="2"/>
                <w:szCs w:val="2"/>
                <w:color w:val="auto"/>
              </w:rPr>
            </w:pPr>
          </w:p>
        </w:tc>
        <w:tc>
          <w:tcPr>
            <w:tcW w:w="480" w:type="dxa"/>
            <w:vAlign w:val="bottom"/>
            <w:tcBorders>
              <w:bottom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14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0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0" w:type="dxa"/>
            <w:vAlign w:val="bottom"/>
            <w:tcBorders>
              <w:right w:val="single" w:sz="8" w:color="91BBD3"/>
            </w:tcBorders>
          </w:tcPr>
          <w:p>
            <w:pPr>
              <w:spacing w:after="0"/>
              <w:rPr>
                <w:sz w:val="13"/>
                <w:szCs w:val="13"/>
                <w:color w:val="auto"/>
              </w:rPr>
            </w:pPr>
          </w:p>
        </w:tc>
        <w:tc>
          <w:tcPr>
            <w:tcW w:w="1640" w:type="dxa"/>
            <w:vAlign w:val="bottom"/>
            <w:tcBorders>
              <w:bottom w:val="single" w:sz="8" w:color="DAE8F0"/>
              <w:right w:val="single" w:sz="8" w:color="91BBD3"/>
            </w:tcBorders>
            <w:shd w:val="clear" w:color="auto" w:fill="DAE8F0"/>
          </w:tcPr>
          <w:p>
            <w:pPr>
              <w:ind w:left="80"/>
              <w:spacing w:after="0" w:line="156" w:lineRule="exact"/>
              <w:rPr>
                <w:sz w:val="20"/>
                <w:szCs w:val="20"/>
                <w:color w:val="auto"/>
              </w:rPr>
            </w:pPr>
            <w:r>
              <w:rPr>
                <w:rFonts w:ascii="Calibri" w:cs="Calibri" w:eastAsia="Calibri" w:hAnsi="Calibri"/>
                <w:sz w:val="16"/>
                <w:szCs w:val="16"/>
                <w:b w:val="1"/>
                <w:bCs w:val="1"/>
                <w:color w:val="auto"/>
              </w:rPr>
              <w:t>10.07</w:t>
            </w:r>
          </w:p>
        </w:tc>
        <w:tc>
          <w:tcPr>
            <w:tcW w:w="100" w:type="dxa"/>
            <w:vAlign w:val="bottom"/>
            <w:tcBorders>
              <w:bottom w:val="single" w:sz="8" w:color="DAE8F0"/>
            </w:tcBorders>
            <w:shd w:val="clear" w:color="auto" w:fill="DAE8F0"/>
          </w:tcPr>
          <w:p>
            <w:pPr>
              <w:spacing w:after="0"/>
              <w:rPr>
                <w:sz w:val="13"/>
                <w:szCs w:val="13"/>
                <w:color w:val="auto"/>
              </w:rPr>
            </w:pPr>
          </w:p>
        </w:tc>
        <w:tc>
          <w:tcPr>
            <w:tcW w:w="9000" w:type="dxa"/>
            <w:vAlign w:val="bottom"/>
            <w:tcBorders>
              <w:bottom w:val="single" w:sz="8" w:color="0563C1"/>
              <w:right w:val="single" w:sz="8" w:color="DAE8F0"/>
            </w:tcBorders>
            <w:gridSpan w:val="12"/>
            <w:shd w:val="clear" w:color="auto" w:fill="DAE8F0"/>
          </w:tcPr>
          <w:p>
            <w:pPr>
              <w:spacing w:after="0" w:line="156" w:lineRule="exact"/>
              <w:rPr>
                <w:rFonts w:ascii="Calibri" w:cs="Calibri" w:eastAsia="Calibri" w:hAnsi="Calibri"/>
                <w:sz w:val="16"/>
                <w:szCs w:val="16"/>
                <w:color w:val="0563C1"/>
              </w:rPr>
            </w:pPr>
            <w:hyperlink r:id="rId685">
              <w:r>
                <w:rPr>
                  <w:rFonts w:ascii="Calibri" w:cs="Calibri" w:eastAsia="Calibri" w:hAnsi="Calibri"/>
                  <w:sz w:val="16"/>
                  <w:szCs w:val="16"/>
                  <w:color w:val="0563C1"/>
                </w:rPr>
                <w:t>Second Amendment to Credit and Security Agreement, dated as of April 18, 2014, among Martn Marieta Funding LLC, as</w:t>
              </w:r>
            </w:hyperlink>
          </w:p>
        </w:tc>
        <w:tc>
          <w:tcPr>
            <w:tcW w:w="120" w:type="dxa"/>
            <w:vAlign w:val="bottom"/>
            <w:tcBorders>
              <w:bottom w:val="single" w:sz="8" w:color="DAE8F0"/>
              <w:right w:val="single" w:sz="8" w:color="91BBD3"/>
            </w:tcBorders>
            <w:gridSpan w:val="2"/>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w w:val="98"/>
              </w:rPr>
            </w:pPr>
            <w:hyperlink r:id="rId685">
              <w:r>
                <w:rPr>
                  <w:rFonts w:ascii="Calibri" w:cs="Calibri" w:eastAsia="Calibri" w:hAnsi="Calibri"/>
                  <w:sz w:val="18"/>
                  <w:szCs w:val="18"/>
                  <w:color w:val="0563C1"/>
                  <w:w w:val="98"/>
                </w:rPr>
                <w:t>borrower, Martn Marieta Materials, Inc., as servicer, and Truist Bank, as lender, together with the other lenders from tme to</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w w:val="98"/>
              </w:rPr>
            </w:pPr>
            <w:hyperlink r:id="rId685">
              <w:r>
                <w:rPr>
                  <w:rFonts w:ascii="Calibri" w:cs="Calibri" w:eastAsia="Calibri" w:hAnsi="Calibri"/>
                  <w:sz w:val="18"/>
                  <w:szCs w:val="18"/>
                  <w:color w:val="0563C1"/>
                  <w:w w:val="98"/>
                </w:rPr>
                <w:t>tme party thereto, and Truist Bank, as administratve agent for the lenders (incorporated by reference to Exhibit 10.01 to the</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Borders>
              <w:right w:val="single" w:sz="8" w:color="91BBD3"/>
            </w:tcBorders>
          </w:tcPr>
          <w:p>
            <w:pPr>
              <w:spacing w:after="0"/>
              <w:rPr>
                <w:sz w:val="21"/>
                <w:szCs w:val="21"/>
                <w:color w:val="auto"/>
              </w:rPr>
            </w:pPr>
          </w:p>
        </w:tc>
        <w:tc>
          <w:tcPr>
            <w:tcW w:w="1640" w:type="dxa"/>
            <w:vAlign w:val="bottom"/>
            <w:tcBorders>
              <w:bottom w:val="single" w:sz="8" w:color="91BBD3"/>
              <w:right w:val="single" w:sz="8" w:color="91BBD3"/>
            </w:tcBorders>
            <w:shd w:val="clear" w:color="auto" w:fill="DAE8F0"/>
          </w:tcPr>
          <w:p>
            <w:pPr>
              <w:spacing w:after="0"/>
              <w:rPr>
                <w:sz w:val="21"/>
                <w:szCs w:val="21"/>
                <w:color w:val="auto"/>
              </w:rPr>
            </w:pPr>
          </w:p>
        </w:tc>
        <w:tc>
          <w:tcPr>
            <w:tcW w:w="100" w:type="dxa"/>
            <w:vAlign w:val="bottom"/>
            <w:tcBorders>
              <w:bottom w:val="single" w:sz="8" w:color="91BBD3"/>
            </w:tcBorders>
            <w:shd w:val="clear" w:color="auto" w:fill="DAE8F0"/>
          </w:tcPr>
          <w:p>
            <w:pPr>
              <w:spacing w:after="0"/>
              <w:rPr>
                <w:sz w:val="21"/>
                <w:szCs w:val="21"/>
                <w:color w:val="auto"/>
              </w:rPr>
            </w:pPr>
          </w:p>
        </w:tc>
        <w:tc>
          <w:tcPr>
            <w:tcW w:w="8100" w:type="dxa"/>
            <w:vAlign w:val="bottom"/>
            <w:tcBorders>
              <w:bottom w:val="single" w:sz="8" w:color="0563C1"/>
            </w:tcBorders>
            <w:gridSpan w:val="8"/>
            <w:shd w:val="clear" w:color="auto" w:fill="DAE8F0"/>
          </w:tcPr>
          <w:p>
            <w:pPr>
              <w:spacing w:after="0" w:line="196" w:lineRule="exact"/>
              <w:rPr>
                <w:rFonts w:ascii="Calibri" w:cs="Calibri" w:eastAsia="Calibri" w:hAnsi="Calibri"/>
                <w:sz w:val="18"/>
                <w:szCs w:val="18"/>
                <w:color w:val="0563C1"/>
                <w:w w:val="98"/>
              </w:rPr>
            </w:pPr>
            <w:hyperlink r:id="rId685">
              <w:r>
                <w:rPr>
                  <w:rFonts w:ascii="Calibri" w:cs="Calibri" w:eastAsia="Calibri" w:hAnsi="Calibri"/>
                  <w:sz w:val="18"/>
                  <w:szCs w:val="18"/>
                  <w:color w:val="0563C1"/>
                  <w:w w:val="98"/>
                </w:rPr>
                <w:t>Martn Marieta Materials, Inc. Current Report on Form 8-K fled on April 24, 2014) (Commission File No. 1-12744)</w:t>
              </w:r>
            </w:hyperlink>
          </w:p>
        </w:tc>
        <w:tc>
          <w:tcPr>
            <w:tcW w:w="1020" w:type="dxa"/>
            <w:vAlign w:val="bottom"/>
            <w:tcBorders>
              <w:bottom w:val="single" w:sz="8" w:color="91BBD3"/>
              <w:right w:val="single" w:sz="8" w:color="91BBD3"/>
            </w:tcBorders>
            <w:gridSpan w:val="6"/>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20" w:type="dxa"/>
            <w:vAlign w:val="bottom"/>
            <w:tcBorders>
              <w:right w:val="single" w:sz="8" w:color="91BBD3"/>
            </w:tcBorders>
          </w:tcPr>
          <w:p>
            <w:pPr>
              <w:spacing w:after="0"/>
              <w:rPr>
                <w:sz w:val="13"/>
                <w:szCs w:val="13"/>
                <w:color w:val="auto"/>
              </w:rPr>
            </w:pPr>
          </w:p>
        </w:tc>
        <w:tc>
          <w:tcPr>
            <w:tcW w:w="1640" w:type="dxa"/>
            <w:vAlign w:val="bottom"/>
            <w:tcBorders>
              <w:right w:val="single" w:sz="8" w:color="91BBD3"/>
            </w:tcBorders>
          </w:tcPr>
          <w:p>
            <w:pPr>
              <w:ind w:left="80"/>
              <w:spacing w:after="0" w:line="156" w:lineRule="exact"/>
              <w:rPr>
                <w:sz w:val="20"/>
                <w:szCs w:val="20"/>
                <w:color w:val="auto"/>
              </w:rPr>
            </w:pPr>
            <w:r>
              <w:rPr>
                <w:rFonts w:ascii="Calibri" w:cs="Calibri" w:eastAsia="Calibri" w:hAnsi="Calibri"/>
                <w:sz w:val="16"/>
                <w:szCs w:val="16"/>
                <w:b w:val="1"/>
                <w:bCs w:val="1"/>
                <w:color w:val="auto"/>
              </w:rPr>
              <w:t>10.08</w:t>
            </w:r>
          </w:p>
        </w:tc>
        <w:tc>
          <w:tcPr>
            <w:tcW w:w="100" w:type="dxa"/>
            <w:vAlign w:val="bottom"/>
          </w:tcPr>
          <w:p>
            <w:pPr>
              <w:spacing w:after="0"/>
              <w:rPr>
                <w:sz w:val="13"/>
                <w:szCs w:val="13"/>
                <w:color w:val="auto"/>
              </w:rPr>
            </w:pPr>
          </w:p>
        </w:tc>
        <w:tc>
          <w:tcPr>
            <w:tcW w:w="9000" w:type="dxa"/>
            <w:vAlign w:val="bottom"/>
            <w:tcBorders>
              <w:bottom w:val="single" w:sz="8" w:color="0563C1"/>
            </w:tcBorders>
            <w:gridSpan w:val="12"/>
          </w:tcPr>
          <w:p>
            <w:pPr>
              <w:spacing w:after="0" w:line="156" w:lineRule="exact"/>
              <w:rPr>
                <w:rFonts w:ascii="Calibri" w:cs="Calibri" w:eastAsia="Calibri" w:hAnsi="Calibri"/>
                <w:sz w:val="16"/>
                <w:szCs w:val="16"/>
                <w:color w:val="0563C1"/>
              </w:rPr>
            </w:pPr>
            <w:hyperlink r:id="rId686">
              <w:r>
                <w:rPr>
                  <w:rFonts w:ascii="Calibri" w:cs="Calibri" w:eastAsia="Calibri" w:hAnsi="Calibri"/>
                  <w:sz w:val="16"/>
                  <w:szCs w:val="16"/>
                  <w:color w:val="0563C1"/>
                </w:rPr>
                <w:t>Fifh Amendment to Credit and Security Agreement, dated as of September 30, 2014, among Martn Marieta Funding LLC, as</w:t>
              </w:r>
            </w:hyperlink>
          </w:p>
        </w:tc>
        <w:tc>
          <w:tcPr>
            <w:tcW w:w="120" w:type="dxa"/>
            <w:vAlign w:val="bottom"/>
            <w:tcBorders>
              <w:right w:val="single" w:sz="8" w:color="91BBD3"/>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2"/>
          </w:tcPr>
          <w:p>
            <w:pPr>
              <w:spacing w:after="0" w:line="196" w:lineRule="exact"/>
              <w:rPr>
                <w:rFonts w:ascii="Calibri" w:cs="Calibri" w:eastAsia="Calibri" w:hAnsi="Calibri"/>
                <w:sz w:val="18"/>
                <w:szCs w:val="18"/>
                <w:color w:val="0563C1"/>
                <w:w w:val="98"/>
              </w:rPr>
            </w:pPr>
            <w:hyperlink r:id="rId686">
              <w:r>
                <w:rPr>
                  <w:rFonts w:ascii="Calibri" w:cs="Calibri" w:eastAsia="Calibri" w:hAnsi="Calibri"/>
                  <w:sz w:val="18"/>
                  <w:szCs w:val="18"/>
                  <w:color w:val="0563C1"/>
                  <w:w w:val="98"/>
                </w:rPr>
                <w:t>borrower, Martn Marieta Materials, Inc., as servicer, and Truist Bank, as lender, together with the other lenders from tme to</w:t>
              </w:r>
            </w:hyperlink>
          </w:p>
        </w:tc>
        <w:tc>
          <w:tcPr>
            <w:tcW w:w="12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2"/>
          </w:tcPr>
          <w:p>
            <w:pPr>
              <w:spacing w:after="0" w:line="196" w:lineRule="exact"/>
              <w:rPr>
                <w:rFonts w:ascii="Calibri" w:cs="Calibri" w:eastAsia="Calibri" w:hAnsi="Calibri"/>
                <w:sz w:val="18"/>
                <w:szCs w:val="18"/>
                <w:color w:val="0563C1"/>
                <w:w w:val="98"/>
              </w:rPr>
            </w:pPr>
            <w:hyperlink r:id="rId686">
              <w:r>
                <w:rPr>
                  <w:rFonts w:ascii="Calibri" w:cs="Calibri" w:eastAsia="Calibri" w:hAnsi="Calibri"/>
                  <w:sz w:val="18"/>
                  <w:szCs w:val="18"/>
                  <w:color w:val="0563C1"/>
                  <w:w w:val="98"/>
                </w:rPr>
                <w:t>tme party thereto, and Truist Bank, as administratve agent for the lenders (incorporated by reference to Exhibit 10.01 to the</w:t>
              </w:r>
            </w:hyperlink>
          </w:p>
        </w:tc>
        <w:tc>
          <w:tcPr>
            <w:tcW w:w="12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line="196" w:lineRule="exact"/>
              <w:rPr>
                <w:rFonts w:ascii="Calibri" w:cs="Calibri" w:eastAsia="Calibri" w:hAnsi="Calibri"/>
                <w:sz w:val="18"/>
                <w:szCs w:val="18"/>
                <w:color w:val="0563C1"/>
              </w:rPr>
            </w:pPr>
            <w:hyperlink r:id="rId686">
              <w:r>
                <w:rPr>
                  <w:rFonts w:ascii="Calibri" w:cs="Calibri" w:eastAsia="Calibri" w:hAnsi="Calibri"/>
                  <w:sz w:val="18"/>
                  <w:szCs w:val="18"/>
                  <w:color w:val="0563C1"/>
                </w:rPr>
                <w:t>Martn Marieta Materials, Inc. Current Report on Form 8-K fled on October 3, 2014)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20" w:type="dxa"/>
            <w:vAlign w:val="bottom"/>
            <w:tcBorders>
              <w:right w:val="single" w:sz="8" w:color="91BBD3"/>
            </w:tcBorders>
          </w:tcPr>
          <w:p>
            <w:pPr>
              <w:spacing w:after="0"/>
              <w:rPr>
                <w:sz w:val="2"/>
                <w:szCs w:val="2"/>
                <w:color w:val="auto"/>
              </w:rPr>
            </w:pPr>
          </w:p>
        </w:tc>
        <w:tc>
          <w:tcPr>
            <w:tcW w:w="164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2180" w:type="dxa"/>
            <w:vAlign w:val="bottom"/>
            <w:tcBorders>
              <w:top w:val="single" w:sz="8" w:color="0563C1"/>
              <w:bottom w:val="single" w:sz="8" w:color="91BBD3"/>
            </w:tcBorders>
          </w:tcPr>
          <w:p>
            <w:pPr>
              <w:spacing w:after="0"/>
              <w:rPr>
                <w:sz w:val="2"/>
                <w:szCs w:val="2"/>
                <w:color w:val="auto"/>
              </w:rPr>
            </w:pPr>
          </w:p>
        </w:tc>
        <w:tc>
          <w:tcPr>
            <w:tcW w:w="780" w:type="dxa"/>
            <w:vAlign w:val="bottom"/>
            <w:tcBorders>
              <w:top w:val="single" w:sz="8" w:color="0563C1"/>
              <w:bottom w:val="single" w:sz="8" w:color="91BBD3"/>
            </w:tcBorders>
          </w:tcPr>
          <w:p>
            <w:pPr>
              <w:spacing w:after="0"/>
              <w:rPr>
                <w:sz w:val="2"/>
                <w:szCs w:val="2"/>
                <w:color w:val="auto"/>
              </w:rPr>
            </w:pPr>
          </w:p>
        </w:tc>
        <w:tc>
          <w:tcPr>
            <w:tcW w:w="1560" w:type="dxa"/>
            <w:vAlign w:val="bottom"/>
            <w:tcBorders>
              <w:top w:val="single" w:sz="8" w:color="0563C1"/>
              <w:bottom w:val="single" w:sz="8" w:color="91BBD3"/>
            </w:tcBorders>
          </w:tcPr>
          <w:p>
            <w:pPr>
              <w:spacing w:after="0"/>
              <w:rPr>
                <w:sz w:val="2"/>
                <w:szCs w:val="2"/>
                <w:color w:val="auto"/>
              </w:rPr>
            </w:pPr>
          </w:p>
        </w:tc>
        <w:tc>
          <w:tcPr>
            <w:tcW w:w="160" w:type="dxa"/>
            <w:vAlign w:val="bottom"/>
            <w:tcBorders>
              <w:top w:val="single" w:sz="8" w:color="0563C1"/>
              <w:bottom w:val="single" w:sz="8" w:color="91BBD3"/>
            </w:tcBorders>
          </w:tcPr>
          <w:p>
            <w:pPr>
              <w:spacing w:after="0"/>
              <w:rPr>
                <w:sz w:val="2"/>
                <w:szCs w:val="2"/>
                <w:color w:val="auto"/>
              </w:rPr>
            </w:pPr>
          </w:p>
        </w:tc>
        <w:tc>
          <w:tcPr>
            <w:tcW w:w="2240" w:type="dxa"/>
            <w:vAlign w:val="bottom"/>
            <w:tcBorders>
              <w:top w:val="single" w:sz="8" w:color="0563C1"/>
              <w:bottom w:val="single" w:sz="8" w:color="91BBD3"/>
            </w:tcBorders>
          </w:tcPr>
          <w:p>
            <w:pPr>
              <w:spacing w:after="0"/>
              <w:rPr>
                <w:sz w:val="2"/>
                <w:szCs w:val="2"/>
                <w:color w:val="auto"/>
              </w:rPr>
            </w:pPr>
          </w:p>
        </w:tc>
        <w:tc>
          <w:tcPr>
            <w:tcW w:w="620" w:type="dxa"/>
            <w:vAlign w:val="bottom"/>
            <w:tcBorders>
              <w:top w:val="single" w:sz="8" w:color="0563C1"/>
              <w:bottom w:val="single" w:sz="8" w:color="91BBD3"/>
            </w:tcBorders>
          </w:tcPr>
          <w:p>
            <w:pPr>
              <w:spacing w:after="0"/>
              <w:rPr>
                <w:sz w:val="2"/>
                <w:szCs w:val="2"/>
                <w:color w:val="auto"/>
              </w:rPr>
            </w:pPr>
          </w:p>
        </w:tc>
        <w:tc>
          <w:tcPr>
            <w:tcW w:w="480" w:type="dxa"/>
            <w:vAlign w:val="bottom"/>
            <w:tcBorders>
              <w:top w:val="single" w:sz="8" w:color="0563C1"/>
              <w:bottom w:val="single" w:sz="8" w:color="91BBD3"/>
            </w:tcBorders>
          </w:tcPr>
          <w:p>
            <w:pPr>
              <w:spacing w:after="0"/>
              <w:rPr>
                <w:sz w:val="2"/>
                <w:szCs w:val="2"/>
                <w:color w:val="auto"/>
              </w:rPr>
            </w:pPr>
          </w:p>
        </w:tc>
        <w:tc>
          <w:tcPr>
            <w:tcW w:w="80" w:type="dxa"/>
            <w:vAlign w:val="bottom"/>
            <w:tcBorders>
              <w:top w:val="single" w:sz="8" w:color="0563C1"/>
              <w:bottom w:val="single" w:sz="8" w:color="91BBD3"/>
            </w:tcBorders>
          </w:tcPr>
          <w:p>
            <w:pPr>
              <w:spacing w:after="0"/>
              <w:rPr>
                <w:sz w:val="2"/>
                <w:szCs w:val="2"/>
                <w:color w:val="auto"/>
              </w:rPr>
            </w:pPr>
          </w:p>
        </w:tc>
        <w:tc>
          <w:tcPr>
            <w:tcW w:w="160" w:type="dxa"/>
            <w:vAlign w:val="bottom"/>
            <w:tcBorders>
              <w:top w:val="single" w:sz="8" w:color="0563C1"/>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14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0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0" w:type="dxa"/>
            <w:vAlign w:val="bottom"/>
            <w:tcBorders>
              <w:right w:val="single" w:sz="8" w:color="91BBD3"/>
            </w:tcBorders>
          </w:tcPr>
          <w:p>
            <w:pPr>
              <w:spacing w:after="0"/>
              <w:rPr>
                <w:sz w:val="13"/>
                <w:szCs w:val="13"/>
                <w:color w:val="auto"/>
              </w:rPr>
            </w:pPr>
          </w:p>
        </w:tc>
        <w:tc>
          <w:tcPr>
            <w:tcW w:w="1640" w:type="dxa"/>
            <w:vAlign w:val="bottom"/>
            <w:tcBorders>
              <w:right w:val="single" w:sz="8" w:color="91BBD3"/>
            </w:tcBorders>
            <w:shd w:val="clear" w:color="auto" w:fill="DAE8F0"/>
          </w:tcPr>
          <w:p>
            <w:pPr>
              <w:ind w:left="80"/>
              <w:spacing w:after="0" w:line="156" w:lineRule="exact"/>
              <w:rPr>
                <w:sz w:val="20"/>
                <w:szCs w:val="20"/>
                <w:color w:val="auto"/>
              </w:rPr>
            </w:pPr>
            <w:r>
              <w:rPr>
                <w:rFonts w:ascii="Calibri" w:cs="Calibri" w:eastAsia="Calibri" w:hAnsi="Calibri"/>
                <w:sz w:val="16"/>
                <w:szCs w:val="16"/>
                <w:b w:val="1"/>
                <w:bCs w:val="1"/>
                <w:color w:val="auto"/>
              </w:rPr>
              <w:t>10.09</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4"/>
            <w:shd w:val="clear" w:color="auto" w:fill="DAE8F0"/>
          </w:tcPr>
          <w:p>
            <w:pPr>
              <w:spacing w:after="0" w:line="156" w:lineRule="exact"/>
              <w:rPr>
                <w:rFonts w:ascii="Calibri" w:cs="Calibri" w:eastAsia="Calibri" w:hAnsi="Calibri"/>
                <w:sz w:val="16"/>
                <w:szCs w:val="16"/>
                <w:color w:val="0563C1"/>
              </w:rPr>
            </w:pPr>
            <w:hyperlink r:id="rId687">
              <w:r>
                <w:rPr>
                  <w:rFonts w:ascii="Calibri" w:cs="Calibri" w:eastAsia="Calibri" w:hAnsi="Calibri"/>
                  <w:sz w:val="16"/>
                  <w:szCs w:val="16"/>
                  <w:color w:val="0563C1"/>
                </w:rPr>
                <w:t>Seventh Amendment to Credit and Security Agreement, dated as of September 28, 2016, among Martn Marieta Funding LLC,</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218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6040" w:type="dxa"/>
            <w:vAlign w:val="bottom"/>
            <w:tcBorders>
              <w:right w:val="single" w:sz="8" w:color="DAE8F0"/>
            </w:tcBorders>
            <w:gridSpan w:val="10"/>
            <w:shd w:val="clear" w:color="auto" w:fill="0563C1"/>
          </w:tcPr>
          <w:p>
            <w:pPr>
              <w:spacing w:after="0" w:line="20" w:lineRule="exact"/>
              <w:rPr>
                <w:sz w:val="1"/>
                <w:szCs w:val="1"/>
                <w:color w:val="auto"/>
              </w:rPr>
            </w:pPr>
          </w:p>
        </w:tc>
        <w:tc>
          <w:tcPr>
            <w:tcW w:w="120" w:type="dxa"/>
            <w:vAlign w:val="bottom"/>
            <w:tcBorders>
              <w:right w:val="single" w:sz="8" w:color="91BBD3"/>
            </w:tcBorders>
            <w:gridSpan w:val="2"/>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12"/>
            <w:shd w:val="clear" w:color="auto" w:fill="DAE8F0"/>
          </w:tcPr>
          <w:p>
            <w:pPr>
              <w:spacing w:after="0" w:line="196" w:lineRule="exact"/>
              <w:rPr>
                <w:rFonts w:ascii="Calibri" w:cs="Calibri" w:eastAsia="Calibri" w:hAnsi="Calibri"/>
                <w:sz w:val="18"/>
                <w:szCs w:val="18"/>
                <w:color w:val="0563C1"/>
                <w:w w:val="98"/>
              </w:rPr>
            </w:pPr>
            <w:hyperlink r:id="rId687">
              <w:r>
                <w:rPr>
                  <w:rFonts w:ascii="Calibri" w:cs="Calibri" w:eastAsia="Calibri" w:hAnsi="Calibri"/>
                  <w:sz w:val="18"/>
                  <w:szCs w:val="18"/>
                  <w:color w:val="0563C1"/>
                  <w:w w:val="98"/>
                </w:rPr>
                <w:t>as borrower, Martn Marieta Materials, Inc., as servicer, and Truist Bank, as lender, together with the other lenders from tme</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Borders>
              <w:right w:val="single" w:sz="8" w:color="91BBD3"/>
            </w:tcBorders>
          </w:tcPr>
          <w:p>
            <w:pPr>
              <w:spacing w:after="0"/>
              <w:rPr>
                <w:sz w:val="21"/>
                <w:szCs w:val="21"/>
                <w:color w:val="auto"/>
              </w:rPr>
            </w:pPr>
          </w:p>
        </w:tc>
        <w:tc>
          <w:tcPr>
            <w:tcW w:w="1640" w:type="dxa"/>
            <w:vAlign w:val="bottom"/>
            <w:tcBorders>
              <w:bottom w:val="single" w:sz="8" w:color="91BBD3"/>
              <w:right w:val="single" w:sz="8" w:color="91BBD3"/>
            </w:tcBorders>
            <w:shd w:val="clear" w:color="auto" w:fill="DAE8F0"/>
          </w:tcPr>
          <w:p>
            <w:pPr>
              <w:spacing w:after="0"/>
              <w:rPr>
                <w:sz w:val="21"/>
                <w:szCs w:val="21"/>
                <w:color w:val="auto"/>
              </w:rPr>
            </w:pPr>
          </w:p>
        </w:tc>
        <w:tc>
          <w:tcPr>
            <w:tcW w:w="100" w:type="dxa"/>
            <w:vAlign w:val="bottom"/>
            <w:tcBorders>
              <w:bottom w:val="single" w:sz="8" w:color="91BBD3"/>
            </w:tcBorders>
            <w:shd w:val="clear" w:color="auto" w:fill="DAE8F0"/>
          </w:tcPr>
          <w:p>
            <w:pPr>
              <w:spacing w:after="0"/>
              <w:rPr>
                <w:sz w:val="21"/>
                <w:szCs w:val="21"/>
                <w:color w:val="auto"/>
              </w:rPr>
            </w:pPr>
          </w:p>
        </w:tc>
        <w:tc>
          <w:tcPr>
            <w:tcW w:w="2960" w:type="dxa"/>
            <w:vAlign w:val="bottom"/>
            <w:tcBorders>
              <w:bottom w:val="single" w:sz="8" w:color="0000EE"/>
            </w:tcBorders>
            <w:gridSpan w:val="2"/>
            <w:shd w:val="clear" w:color="auto" w:fill="DAE8F0"/>
          </w:tcPr>
          <w:p>
            <w:pPr>
              <w:spacing w:after="0" w:line="196" w:lineRule="exact"/>
              <w:rPr>
                <w:rFonts w:ascii="Calibri" w:cs="Calibri" w:eastAsia="Calibri" w:hAnsi="Calibri"/>
                <w:sz w:val="18"/>
                <w:szCs w:val="18"/>
                <w:color w:val="0563C1"/>
                <w:w w:val="98"/>
              </w:rPr>
            </w:pPr>
            <w:hyperlink r:id="rId687">
              <w:r>
                <w:rPr>
                  <w:rFonts w:ascii="Calibri" w:cs="Calibri" w:eastAsia="Calibri" w:hAnsi="Calibri"/>
                  <w:sz w:val="18"/>
                  <w:szCs w:val="18"/>
                  <w:color w:val="0563C1"/>
                  <w:w w:val="98"/>
                </w:rPr>
                <w:t>to tme party thereto, and Truist Bank, as</w:t>
              </w:r>
            </w:hyperlink>
          </w:p>
        </w:tc>
        <w:tc>
          <w:tcPr>
            <w:tcW w:w="6160" w:type="dxa"/>
            <w:vAlign w:val="bottom"/>
            <w:tcBorders>
              <w:bottom w:val="single" w:sz="8" w:color="91BBD3"/>
              <w:right w:val="single" w:sz="8" w:color="91BBD3"/>
            </w:tcBorders>
            <w:gridSpan w:val="12"/>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860" w:type="dxa"/>
            <w:vAlign w:val="bottom"/>
            <w:gridSpan w:val="2"/>
          </w:tcPr>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109</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-762635</wp:posOffset>
            </wp:positionV>
            <wp:extent cx="325755" cy="1968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8">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308"/>
        </w:trPr>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1"/>
          </w:tcPr>
          <w:p>
            <w:pPr>
              <w:ind w:left="1000"/>
              <w:spacing w:after="0"/>
              <w:rPr>
                <w:sz w:val="20"/>
                <w:szCs w:val="20"/>
                <w:color w:val="auto"/>
              </w:rPr>
            </w:pPr>
            <w:r>
              <w:rPr>
                <w:rFonts w:ascii="Calibri" w:cs="Calibri" w:eastAsia="Calibri" w:hAnsi="Calibri"/>
                <w:sz w:val="18"/>
                <w:szCs w:val="18"/>
                <w:color w:val="auto"/>
                <w:w w:val="98"/>
              </w:rPr>
              <w:t xml:space="preserve">Part IV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166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500" w:type="dxa"/>
            <w:vAlign w:val="bottom"/>
            <w:tcBorders>
              <w:bottom w:val="single" w:sz="8" w:color="007DC6"/>
            </w:tcBorders>
          </w:tcPr>
          <w:p>
            <w:pPr>
              <w:spacing w:after="0"/>
              <w:rPr>
                <w:sz w:val="14"/>
                <w:szCs w:val="14"/>
                <w:color w:val="auto"/>
              </w:rPr>
            </w:pPr>
          </w:p>
        </w:tc>
        <w:tc>
          <w:tcPr>
            <w:tcW w:w="720" w:type="dxa"/>
            <w:vAlign w:val="bottom"/>
            <w:tcBorders>
              <w:bottom w:val="single" w:sz="8" w:color="007DC6"/>
            </w:tcBorders>
          </w:tcPr>
          <w:p>
            <w:pPr>
              <w:spacing w:after="0"/>
              <w:rPr>
                <w:sz w:val="14"/>
                <w:szCs w:val="14"/>
                <w:color w:val="auto"/>
              </w:rPr>
            </w:pPr>
          </w:p>
        </w:tc>
        <w:tc>
          <w:tcPr>
            <w:tcW w:w="250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1980" w:type="dxa"/>
            <w:vAlign w:val="bottom"/>
            <w:tcBorders>
              <w:bottom w:val="single" w:sz="8" w:color="007DC6"/>
            </w:tcBorders>
          </w:tcPr>
          <w:p>
            <w:pPr>
              <w:spacing w:after="0"/>
              <w:rPr>
                <w:sz w:val="14"/>
                <w:szCs w:val="14"/>
                <w:color w:val="auto"/>
              </w:rPr>
            </w:pPr>
          </w:p>
        </w:tc>
        <w:tc>
          <w:tcPr>
            <w:tcW w:w="880" w:type="dxa"/>
            <w:vAlign w:val="bottom"/>
            <w:tcBorders>
              <w:bottom w:val="single" w:sz="8" w:color="007DC6"/>
            </w:tcBorders>
          </w:tcPr>
          <w:p>
            <w:pPr>
              <w:spacing w:after="0"/>
              <w:rPr>
                <w:sz w:val="14"/>
                <w:szCs w:val="14"/>
                <w:color w:val="auto"/>
              </w:rPr>
            </w:pPr>
          </w:p>
        </w:tc>
        <w:tc>
          <w:tcPr>
            <w:tcW w:w="1500" w:type="dxa"/>
            <w:vAlign w:val="bottom"/>
            <w:tcBorders>
              <w:bottom w:val="single" w:sz="8" w:color="007DC6"/>
            </w:tcBorders>
          </w:tcPr>
          <w:p>
            <w:pPr>
              <w:spacing w:after="0"/>
              <w:rPr>
                <w:sz w:val="14"/>
                <w:szCs w:val="14"/>
                <w:color w:val="auto"/>
              </w:rPr>
            </w:pPr>
          </w:p>
        </w:tc>
        <w:tc>
          <w:tcPr>
            <w:tcW w:w="720" w:type="dxa"/>
            <w:vAlign w:val="bottom"/>
            <w:tcBorders>
              <w:bottom w:val="single" w:sz="8" w:color="007DC6"/>
            </w:tcBorders>
          </w:tcPr>
          <w:p>
            <w:pPr>
              <w:spacing w:after="0"/>
              <w:rPr>
                <w:sz w:val="14"/>
                <w:szCs w:val="14"/>
                <w:color w:val="auto"/>
              </w:rPr>
            </w:pPr>
          </w:p>
        </w:tc>
        <w:tc>
          <w:tcPr>
            <w:tcW w:w="160" w:type="dxa"/>
            <w:vAlign w:val="bottom"/>
            <w:tcBorders>
              <w:bottom w:val="single" w:sz="8" w:color="007DC6"/>
            </w:tcBorders>
          </w:tcPr>
          <w:p>
            <w:pPr>
              <w:spacing w:after="0"/>
              <w:rPr>
                <w:sz w:val="14"/>
                <w:szCs w:val="14"/>
                <w:color w:val="auto"/>
              </w:rPr>
            </w:pPr>
          </w:p>
        </w:tc>
        <w:tc>
          <w:tcPr>
            <w:tcW w:w="80" w:type="dxa"/>
            <w:vAlign w:val="bottom"/>
            <w:tcBorders>
              <w:bottom w:val="single" w:sz="8" w:color="007DC6"/>
            </w:tcBorders>
          </w:tcPr>
          <w:p>
            <w:pPr>
              <w:spacing w:after="0"/>
              <w:rPr>
                <w:sz w:val="14"/>
                <w:szCs w:val="14"/>
                <w:color w:val="auto"/>
              </w:rPr>
            </w:pPr>
          </w:p>
        </w:tc>
        <w:tc>
          <w:tcPr>
            <w:tcW w:w="4294967237"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80" w:type="dxa"/>
            <w:vAlign w:val="bottom"/>
            <w:tcBorders>
              <w:bottom w:val="single" w:sz="8" w:color="007DC6"/>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4"/>
        </w:trPr>
        <w:tc>
          <w:tcPr>
            <w:tcW w:w="200" w:type="dxa"/>
            <w:vAlign w:val="bottom"/>
            <w:tcBorders>
              <w:right w:val="single" w:sz="8" w:color="91BBD3"/>
            </w:tcBorders>
          </w:tcPr>
          <w:p>
            <w:pPr>
              <w:spacing w:after="0"/>
              <w:rPr>
                <w:sz w:val="24"/>
                <w:szCs w:val="24"/>
                <w:color w:val="auto"/>
              </w:rPr>
            </w:pPr>
          </w:p>
        </w:tc>
        <w:tc>
          <w:tcPr>
            <w:tcW w:w="1660" w:type="dxa"/>
            <w:vAlign w:val="bottom"/>
            <w:tcBorders>
              <w:bottom w:val="single" w:sz="8" w:color="007DC6"/>
              <w:right w:val="single" w:sz="8" w:color="91BBD3"/>
            </w:tcBorders>
            <w:shd w:val="clear" w:color="auto" w:fill="007DC6"/>
          </w:tcPr>
          <w:p>
            <w:pPr>
              <w:jc w:val="right"/>
              <w:ind w:right="360"/>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500" w:type="dxa"/>
            <w:vAlign w:val="bottom"/>
            <w:tcBorders>
              <w:bottom w:val="single" w:sz="8" w:color="007DC6"/>
            </w:tcBorders>
            <w:shd w:val="clear" w:color="auto" w:fill="007DC6"/>
          </w:tcPr>
          <w:p>
            <w:pPr>
              <w:spacing w:after="0"/>
              <w:rPr>
                <w:sz w:val="24"/>
                <w:szCs w:val="24"/>
                <w:color w:val="auto"/>
              </w:rPr>
            </w:pPr>
          </w:p>
        </w:tc>
        <w:tc>
          <w:tcPr>
            <w:tcW w:w="720" w:type="dxa"/>
            <w:vAlign w:val="bottom"/>
            <w:tcBorders>
              <w:bottom w:val="single" w:sz="8" w:color="007DC6"/>
            </w:tcBorders>
            <w:shd w:val="clear" w:color="auto" w:fill="007DC6"/>
          </w:tcPr>
          <w:p>
            <w:pPr>
              <w:spacing w:after="0"/>
              <w:rPr>
                <w:sz w:val="24"/>
                <w:szCs w:val="24"/>
                <w:color w:val="auto"/>
              </w:rPr>
            </w:pPr>
          </w:p>
        </w:tc>
        <w:tc>
          <w:tcPr>
            <w:tcW w:w="250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1980" w:type="dxa"/>
            <w:vAlign w:val="bottom"/>
            <w:tcBorders>
              <w:bottom w:val="single" w:sz="8" w:color="007DC6"/>
            </w:tcBorders>
            <w:shd w:val="clear" w:color="auto" w:fill="007DC6"/>
          </w:tcPr>
          <w:p>
            <w:pPr>
              <w:spacing w:after="0"/>
              <w:rPr>
                <w:sz w:val="24"/>
                <w:szCs w:val="24"/>
                <w:color w:val="auto"/>
              </w:rPr>
            </w:pPr>
          </w:p>
        </w:tc>
        <w:tc>
          <w:tcPr>
            <w:tcW w:w="880" w:type="dxa"/>
            <w:vAlign w:val="bottom"/>
            <w:tcBorders>
              <w:bottom w:val="single" w:sz="8" w:color="007DC6"/>
            </w:tcBorders>
            <w:shd w:val="clear" w:color="auto" w:fill="007DC6"/>
          </w:tcPr>
          <w:p>
            <w:pPr>
              <w:spacing w:after="0"/>
              <w:rPr>
                <w:sz w:val="24"/>
                <w:szCs w:val="24"/>
                <w:color w:val="auto"/>
              </w:rPr>
            </w:pPr>
          </w:p>
        </w:tc>
        <w:tc>
          <w:tcPr>
            <w:tcW w:w="1500" w:type="dxa"/>
            <w:vAlign w:val="bottom"/>
            <w:tcBorders>
              <w:bottom w:val="single" w:sz="8" w:color="007DC6"/>
            </w:tcBorders>
            <w:shd w:val="clear" w:color="auto" w:fill="007DC6"/>
          </w:tcPr>
          <w:p>
            <w:pPr>
              <w:spacing w:after="0"/>
              <w:rPr>
                <w:sz w:val="24"/>
                <w:szCs w:val="24"/>
                <w:color w:val="auto"/>
              </w:rPr>
            </w:pPr>
          </w:p>
        </w:tc>
        <w:tc>
          <w:tcPr>
            <w:tcW w:w="720" w:type="dxa"/>
            <w:vAlign w:val="bottom"/>
            <w:tcBorders>
              <w:bottom w:val="single" w:sz="8" w:color="007DC6"/>
            </w:tcBorders>
            <w:shd w:val="clear" w:color="auto" w:fill="007DC6"/>
          </w:tcPr>
          <w:p>
            <w:pPr>
              <w:spacing w:after="0"/>
              <w:rPr>
                <w:sz w:val="24"/>
                <w:szCs w:val="24"/>
                <w:color w:val="auto"/>
              </w:rPr>
            </w:pPr>
          </w:p>
        </w:tc>
        <w:tc>
          <w:tcPr>
            <w:tcW w:w="160" w:type="dxa"/>
            <w:vAlign w:val="bottom"/>
            <w:tcBorders>
              <w:bottom w:val="single" w:sz="8" w:color="007DC6"/>
            </w:tcBorders>
            <w:shd w:val="clear" w:color="auto" w:fill="007DC6"/>
          </w:tcPr>
          <w:p>
            <w:pPr>
              <w:spacing w:after="0"/>
              <w:rPr>
                <w:sz w:val="24"/>
                <w:szCs w:val="24"/>
                <w:color w:val="auto"/>
              </w:rPr>
            </w:pPr>
          </w:p>
        </w:tc>
        <w:tc>
          <w:tcPr>
            <w:tcW w:w="80" w:type="dxa"/>
            <w:vAlign w:val="bottom"/>
            <w:tcBorders>
              <w:left w:val="single" w:sz="8" w:color="007DC6"/>
              <w:bottom w:val="single" w:sz="8" w:color="007DC6"/>
            </w:tcBorders>
            <w:shd w:val="clear" w:color="auto" w:fill="007DC6"/>
          </w:tcPr>
          <w:p>
            <w:pPr>
              <w:spacing w:after="0"/>
              <w:rPr>
                <w:sz w:val="24"/>
                <w:szCs w:val="24"/>
                <w:color w:val="auto"/>
              </w:rPr>
            </w:pPr>
          </w:p>
        </w:tc>
        <w:tc>
          <w:tcPr>
            <w:tcW w:w="4294967237"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80" w:type="dxa"/>
            <w:vAlign w:val="bottom"/>
            <w:tcBorders>
              <w:bottom w:val="single" w:sz="8" w:color="007DC6"/>
              <w:right w:val="single" w:sz="8" w:color="007DC6"/>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0" w:type="dxa"/>
            <w:vAlign w:val="bottom"/>
            <w:tcBorders>
              <w:right w:val="single" w:sz="8" w:color="91BBD3"/>
            </w:tcBorders>
          </w:tcPr>
          <w:p>
            <w:pPr>
              <w:spacing w:after="0"/>
              <w:rPr>
                <w:sz w:val="11"/>
                <w:szCs w:val="11"/>
                <w:color w:val="auto"/>
              </w:rPr>
            </w:pPr>
          </w:p>
        </w:tc>
        <w:tc>
          <w:tcPr>
            <w:tcW w:w="1660" w:type="dxa"/>
            <w:vAlign w:val="bottom"/>
            <w:tcBorders>
              <w:top w:val="single" w:sz="8" w:color="91BBD3"/>
              <w:right w:val="single" w:sz="8" w:color="91BBD3"/>
            </w:tcBorders>
            <w:shd w:val="clear" w:color="auto" w:fill="DAE8F0"/>
          </w:tcPr>
          <w:p>
            <w:pPr>
              <w:spacing w:after="0"/>
              <w:rPr>
                <w:sz w:val="11"/>
                <w:szCs w:val="11"/>
                <w:color w:val="auto"/>
              </w:rPr>
            </w:pPr>
          </w:p>
        </w:tc>
        <w:tc>
          <w:tcPr>
            <w:tcW w:w="100" w:type="dxa"/>
            <w:vAlign w:val="bottom"/>
            <w:tcBorders>
              <w:top w:val="single" w:sz="8" w:color="91BBD3"/>
            </w:tcBorders>
            <w:shd w:val="clear" w:color="auto" w:fill="DAE8F0"/>
          </w:tcPr>
          <w:p>
            <w:pPr>
              <w:spacing w:after="0"/>
              <w:rPr>
                <w:sz w:val="11"/>
                <w:szCs w:val="11"/>
                <w:color w:val="auto"/>
              </w:rPr>
            </w:pPr>
          </w:p>
        </w:tc>
        <w:tc>
          <w:tcPr>
            <w:tcW w:w="9120" w:type="dxa"/>
            <w:vAlign w:val="bottom"/>
            <w:tcBorders>
              <w:top w:val="single" w:sz="8" w:color="91BBD3"/>
              <w:right w:val="single" w:sz="8" w:color="91BBD3"/>
            </w:tcBorders>
            <w:gridSpan w:val="14"/>
            <w:shd w:val="clear" w:color="auto" w:fill="DAE8F0"/>
          </w:tcPr>
          <w:p>
            <w:pPr>
              <w:spacing w:after="0" w:line="135" w:lineRule="exact"/>
              <w:rPr>
                <w:rFonts w:ascii="Calibri" w:cs="Calibri" w:eastAsia="Calibri" w:hAnsi="Calibri"/>
                <w:sz w:val="13"/>
                <w:szCs w:val="13"/>
                <w:color w:val="0563C1"/>
              </w:rPr>
            </w:pPr>
            <w:hyperlink r:id="rId687">
              <w:r>
                <w:rPr>
                  <w:rFonts w:ascii="Calibri" w:cs="Calibri" w:eastAsia="Calibri" w:hAnsi="Calibri"/>
                  <w:sz w:val="13"/>
                  <w:szCs w:val="13"/>
                  <w:color w:val="0563C1"/>
                </w:rPr>
                <w:t>administratve agent for the lenders (incorporated by reference to Exhibit 10.01 to the Martn Marieta Materials, Inc. Current</w:t>
              </w:r>
            </w:hyperlink>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91BBD3"/>
            </w:tcBorders>
          </w:tcPr>
          <w:p>
            <w:pPr>
              <w:spacing w:after="0"/>
              <w:rPr>
                <w:sz w:val="20"/>
                <w:szCs w:val="20"/>
                <w:color w:val="auto"/>
              </w:rPr>
            </w:pPr>
          </w:p>
        </w:tc>
        <w:tc>
          <w:tcPr>
            <w:tcW w:w="1660" w:type="dxa"/>
            <w:vAlign w:val="bottom"/>
            <w:tcBorders>
              <w:top w:val="single" w:sz="8" w:color="DAE8F0"/>
              <w:right w:val="single" w:sz="8" w:color="91BBD3"/>
            </w:tcBorders>
            <w:shd w:val="clear" w:color="auto" w:fill="DAE8F0"/>
          </w:tcPr>
          <w:p>
            <w:pPr>
              <w:spacing w:after="0"/>
              <w:rPr>
                <w:sz w:val="20"/>
                <w:szCs w:val="20"/>
                <w:color w:val="auto"/>
              </w:rPr>
            </w:pPr>
          </w:p>
        </w:tc>
        <w:tc>
          <w:tcPr>
            <w:tcW w:w="100" w:type="dxa"/>
            <w:vAlign w:val="bottom"/>
            <w:tcBorders>
              <w:top w:val="single" w:sz="8" w:color="DAE8F0"/>
            </w:tcBorders>
            <w:shd w:val="clear" w:color="auto" w:fill="DAE8F0"/>
          </w:tcPr>
          <w:p>
            <w:pPr>
              <w:spacing w:after="0"/>
              <w:rPr>
                <w:sz w:val="20"/>
                <w:szCs w:val="20"/>
                <w:color w:val="auto"/>
              </w:rPr>
            </w:pPr>
          </w:p>
        </w:tc>
        <w:tc>
          <w:tcPr>
            <w:tcW w:w="8980" w:type="dxa"/>
            <w:vAlign w:val="bottom"/>
            <w:tcBorders>
              <w:top w:val="single" w:sz="8" w:color="0563C1"/>
            </w:tcBorders>
            <w:gridSpan w:val="9"/>
            <w:shd w:val="clear" w:color="auto" w:fill="DAE8F0"/>
          </w:tcPr>
          <w:p>
            <w:pPr>
              <w:spacing w:after="0" w:line="196" w:lineRule="exact"/>
              <w:rPr>
                <w:rFonts w:ascii="Calibri" w:cs="Calibri" w:eastAsia="Calibri" w:hAnsi="Calibri"/>
                <w:sz w:val="18"/>
                <w:szCs w:val="18"/>
                <w:color w:val="0563C1"/>
              </w:rPr>
            </w:pPr>
            <w:hyperlink r:id="rId687">
              <w:r>
                <w:rPr>
                  <w:rFonts w:ascii="Calibri" w:cs="Calibri" w:eastAsia="Calibri" w:hAnsi="Calibri"/>
                  <w:sz w:val="18"/>
                  <w:szCs w:val="18"/>
                  <w:color w:val="0563C1"/>
                </w:rPr>
                <w:t>Report on Form 8-K fled on September 30, 2016) (Commission File No. 1-12744)</w:t>
              </w:r>
            </w:hyperlink>
          </w:p>
        </w:tc>
        <w:tc>
          <w:tcPr>
            <w:tcW w:w="140" w:type="dxa"/>
            <w:vAlign w:val="bottom"/>
            <w:tcBorders>
              <w:top w:val="single" w:sz="8" w:color="DAE8F0"/>
              <w:left w:val="single" w:sz="8" w:color="DAE8F0"/>
              <w:right w:val="single" w:sz="8" w:color="91BBD3"/>
            </w:tcBorders>
            <w:gridSpan w:val="5"/>
            <w:shd w:val="clear" w:color="auto" w:fill="DAE8F0"/>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00" w:type="dxa"/>
            <w:vAlign w:val="bottom"/>
            <w:tcBorders>
              <w:top w:val="single" w:sz="8" w:color="0563C1"/>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250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1980" w:type="dxa"/>
            <w:vAlign w:val="bottom"/>
            <w:tcBorders>
              <w:top w:val="single" w:sz="8" w:color="0563C1"/>
            </w:tcBorders>
            <w:shd w:val="clear" w:color="auto" w:fill="91BBD3"/>
          </w:tcPr>
          <w:p>
            <w:pPr>
              <w:spacing w:after="0" w:line="20" w:lineRule="exact"/>
              <w:rPr>
                <w:sz w:val="1"/>
                <w:szCs w:val="1"/>
                <w:color w:val="auto"/>
              </w:rPr>
            </w:pPr>
          </w:p>
        </w:tc>
        <w:tc>
          <w:tcPr>
            <w:tcW w:w="880" w:type="dxa"/>
            <w:vAlign w:val="bottom"/>
            <w:tcBorders>
              <w:top w:val="single" w:sz="8" w:color="DAE8F0"/>
            </w:tcBorders>
            <w:shd w:val="clear" w:color="auto" w:fill="91BBD3"/>
          </w:tcPr>
          <w:p>
            <w:pPr>
              <w:spacing w:after="0" w:line="20" w:lineRule="exact"/>
              <w:rPr>
                <w:sz w:val="1"/>
                <w:szCs w:val="1"/>
                <w:color w:val="auto"/>
              </w:rPr>
            </w:pPr>
          </w:p>
        </w:tc>
        <w:tc>
          <w:tcPr>
            <w:tcW w:w="15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8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4294967237"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8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80"/>
              <w:spacing w:after="0" w:line="156" w:lineRule="exact"/>
              <w:rPr>
                <w:sz w:val="20"/>
                <w:szCs w:val="20"/>
                <w:color w:val="auto"/>
              </w:rPr>
            </w:pPr>
            <w:r>
              <w:rPr>
                <w:rFonts w:ascii="Calibri" w:cs="Calibri" w:eastAsia="Calibri" w:hAnsi="Calibri"/>
                <w:sz w:val="16"/>
                <w:szCs w:val="16"/>
                <w:b w:val="1"/>
                <w:bCs w:val="1"/>
                <w:color w:val="auto"/>
              </w:rPr>
              <w:t>10.10</w:t>
            </w:r>
          </w:p>
        </w:tc>
        <w:tc>
          <w:tcPr>
            <w:tcW w:w="100" w:type="dxa"/>
            <w:vAlign w:val="bottom"/>
          </w:tcPr>
          <w:p>
            <w:pPr>
              <w:spacing w:after="0"/>
              <w:rPr>
                <w:sz w:val="13"/>
                <w:szCs w:val="13"/>
                <w:color w:val="auto"/>
              </w:rPr>
            </w:pPr>
          </w:p>
        </w:tc>
        <w:tc>
          <w:tcPr>
            <w:tcW w:w="8980" w:type="dxa"/>
            <w:vAlign w:val="bottom"/>
            <w:tcBorders>
              <w:bottom w:val="single" w:sz="8" w:color="0563C1"/>
            </w:tcBorders>
            <w:gridSpan w:val="9"/>
          </w:tcPr>
          <w:p>
            <w:pPr>
              <w:spacing w:after="0" w:line="156" w:lineRule="exact"/>
              <w:rPr>
                <w:rFonts w:ascii="Calibri" w:cs="Calibri" w:eastAsia="Calibri" w:hAnsi="Calibri"/>
                <w:sz w:val="16"/>
                <w:szCs w:val="16"/>
                <w:color w:val="0563C1"/>
              </w:rPr>
            </w:pPr>
            <w:hyperlink r:id="rId691">
              <w:r>
                <w:rPr>
                  <w:rFonts w:ascii="Calibri" w:cs="Calibri" w:eastAsia="Calibri" w:hAnsi="Calibri"/>
                  <w:sz w:val="16"/>
                  <w:szCs w:val="16"/>
                  <w:color w:val="0563C1"/>
                </w:rPr>
                <w:t>Ninth Amendment to Credit and Security Agreement, dated as of April 17, 2018, among Martn Marieta Funding LLC, as</w:t>
              </w:r>
            </w:hyperlink>
          </w:p>
        </w:tc>
        <w:tc>
          <w:tcPr>
            <w:tcW w:w="20" w:type="dxa"/>
            <w:vAlign w:val="bottom"/>
            <w:tcBorders>
              <w:bottom w:val="single" w:sz="8" w:color="0000EE"/>
            </w:tcBorders>
            <w:gridSpan w:val="2"/>
          </w:tcPr>
          <w:p>
            <w:pPr>
              <w:spacing w:after="0"/>
              <w:rPr>
                <w:sz w:val="13"/>
                <w:szCs w:val="13"/>
                <w:color w:val="auto"/>
              </w:rPr>
            </w:pPr>
          </w:p>
        </w:tc>
        <w:tc>
          <w:tcPr>
            <w:tcW w:w="120" w:type="dxa"/>
            <w:vAlign w:val="bottom"/>
            <w:tcBorders>
              <w:right w:val="single" w:sz="8" w:color="91BBD3"/>
            </w:tcBorders>
            <w:gridSpan w:val="3"/>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1"/>
          </w:tcPr>
          <w:p>
            <w:pPr>
              <w:spacing w:after="0" w:line="196" w:lineRule="exact"/>
              <w:rPr>
                <w:rFonts w:ascii="Calibri" w:cs="Calibri" w:eastAsia="Calibri" w:hAnsi="Calibri"/>
                <w:sz w:val="18"/>
                <w:szCs w:val="18"/>
                <w:color w:val="0563C1"/>
                <w:w w:val="98"/>
              </w:rPr>
            </w:pPr>
            <w:hyperlink r:id="rId691">
              <w:r>
                <w:rPr>
                  <w:rFonts w:ascii="Calibri" w:cs="Calibri" w:eastAsia="Calibri" w:hAnsi="Calibri"/>
                  <w:sz w:val="18"/>
                  <w:szCs w:val="18"/>
                  <w:color w:val="0563C1"/>
                  <w:w w:val="98"/>
                </w:rPr>
                <w:t>borrower, Martn Marieta Materials, Inc., as servicer, and Truist Bank, as lender, together with the other lenders from tme to</w:t>
              </w:r>
            </w:hyperlink>
          </w:p>
        </w:tc>
        <w:tc>
          <w:tcPr>
            <w:tcW w:w="120" w:type="dxa"/>
            <w:vAlign w:val="bottom"/>
            <w:tcBorders>
              <w:bottom w:val="single" w:sz="8" w:color="0000EE"/>
              <w:right w:val="single" w:sz="8" w:color="91BBD3"/>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2"/>
          </w:tcPr>
          <w:p>
            <w:pPr>
              <w:spacing w:after="0" w:line="196" w:lineRule="exact"/>
              <w:rPr>
                <w:rFonts w:ascii="Calibri" w:cs="Calibri" w:eastAsia="Calibri" w:hAnsi="Calibri"/>
                <w:sz w:val="18"/>
                <w:szCs w:val="18"/>
                <w:color w:val="0563C1"/>
              </w:rPr>
            </w:pPr>
            <w:hyperlink r:id="rId691">
              <w:r>
                <w:rPr>
                  <w:rFonts w:ascii="Calibri" w:cs="Calibri" w:eastAsia="Calibri" w:hAnsi="Calibri"/>
                  <w:sz w:val="18"/>
                  <w:szCs w:val="18"/>
                  <w:color w:val="0563C1"/>
                </w:rPr>
                <w:t>tme party thereto, and Truist Bank, as administratve agent for the lenders (incorporated by reference to Exhibit 10.1 to the</w:t>
              </w:r>
            </w:hyperlink>
          </w:p>
        </w:tc>
        <w:tc>
          <w:tcPr>
            <w:tcW w:w="10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line="196" w:lineRule="exact"/>
              <w:rPr>
                <w:rFonts w:ascii="Calibri" w:cs="Calibri" w:eastAsia="Calibri" w:hAnsi="Calibri"/>
                <w:sz w:val="18"/>
                <w:szCs w:val="18"/>
                <w:color w:val="0563C1"/>
              </w:rPr>
            </w:pPr>
            <w:hyperlink r:id="rId691">
              <w:r>
                <w:rPr>
                  <w:rFonts w:ascii="Calibri" w:cs="Calibri" w:eastAsia="Calibri" w:hAnsi="Calibri"/>
                  <w:sz w:val="18"/>
                  <w:szCs w:val="18"/>
                  <w:color w:val="0563C1"/>
                </w:rPr>
                <w:t>Martn Marieta Materials, Inc. Current Report on Form 8-K fled on April 17, 2018)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500" w:type="dxa"/>
            <w:vAlign w:val="bottom"/>
            <w:tcBorders>
              <w:top w:val="single" w:sz="8" w:color="0563C1"/>
              <w:bottom w:val="single" w:sz="8" w:color="91BBD3"/>
            </w:tcBorders>
          </w:tcPr>
          <w:p>
            <w:pPr>
              <w:spacing w:after="0"/>
              <w:rPr>
                <w:sz w:val="2"/>
                <w:szCs w:val="2"/>
                <w:color w:val="auto"/>
              </w:rPr>
            </w:pPr>
          </w:p>
        </w:tc>
        <w:tc>
          <w:tcPr>
            <w:tcW w:w="720" w:type="dxa"/>
            <w:vAlign w:val="bottom"/>
            <w:tcBorders>
              <w:top w:val="single" w:sz="8" w:color="0563C1"/>
              <w:bottom w:val="single" w:sz="8" w:color="91BBD3"/>
            </w:tcBorders>
          </w:tcPr>
          <w:p>
            <w:pPr>
              <w:spacing w:after="0"/>
              <w:rPr>
                <w:sz w:val="2"/>
                <w:szCs w:val="2"/>
                <w:color w:val="auto"/>
              </w:rPr>
            </w:pPr>
          </w:p>
        </w:tc>
        <w:tc>
          <w:tcPr>
            <w:tcW w:w="2500" w:type="dxa"/>
            <w:vAlign w:val="bottom"/>
            <w:tcBorders>
              <w:top w:val="single" w:sz="8" w:color="0563C1"/>
              <w:bottom w:val="single" w:sz="8" w:color="91BBD3"/>
            </w:tcBorders>
          </w:tcPr>
          <w:p>
            <w:pPr>
              <w:spacing w:after="0"/>
              <w:rPr>
                <w:sz w:val="2"/>
                <w:szCs w:val="2"/>
                <w:color w:val="auto"/>
              </w:rPr>
            </w:pPr>
          </w:p>
        </w:tc>
        <w:tc>
          <w:tcPr>
            <w:tcW w:w="20" w:type="dxa"/>
            <w:vAlign w:val="bottom"/>
            <w:tcBorders>
              <w:top w:val="single" w:sz="8" w:color="0563C1"/>
              <w:bottom w:val="single" w:sz="8" w:color="91BBD3"/>
            </w:tcBorders>
          </w:tcPr>
          <w:p>
            <w:pPr>
              <w:spacing w:after="0"/>
              <w:rPr>
                <w:sz w:val="2"/>
                <w:szCs w:val="2"/>
                <w:color w:val="auto"/>
              </w:rPr>
            </w:pPr>
          </w:p>
        </w:tc>
        <w:tc>
          <w:tcPr>
            <w:tcW w:w="1980" w:type="dxa"/>
            <w:vAlign w:val="bottom"/>
            <w:tcBorders>
              <w:top w:val="single" w:sz="8" w:color="0563C1"/>
              <w:bottom w:val="single" w:sz="8" w:color="91BBD3"/>
            </w:tcBorders>
          </w:tcPr>
          <w:p>
            <w:pPr>
              <w:spacing w:after="0"/>
              <w:rPr>
                <w:sz w:val="2"/>
                <w:szCs w:val="2"/>
                <w:color w:val="auto"/>
              </w:rPr>
            </w:pPr>
          </w:p>
        </w:tc>
        <w:tc>
          <w:tcPr>
            <w:tcW w:w="880" w:type="dxa"/>
            <w:vAlign w:val="bottom"/>
            <w:tcBorders>
              <w:top w:val="single" w:sz="8" w:color="0563C1"/>
              <w:bottom w:val="single" w:sz="8" w:color="91BBD3"/>
            </w:tcBorders>
          </w:tcPr>
          <w:p>
            <w:pPr>
              <w:spacing w:after="0"/>
              <w:rPr>
                <w:sz w:val="2"/>
                <w:szCs w:val="2"/>
                <w:color w:val="auto"/>
              </w:rPr>
            </w:pPr>
          </w:p>
        </w:tc>
        <w:tc>
          <w:tcPr>
            <w:tcW w:w="1500" w:type="dxa"/>
            <w:vAlign w:val="bottom"/>
            <w:tcBorders>
              <w:top w:val="single" w:sz="8" w:color="0563C1"/>
              <w:bottom w:val="single" w:sz="8" w:color="91BBD3"/>
            </w:tcBorders>
          </w:tcPr>
          <w:p>
            <w:pPr>
              <w:spacing w:after="0"/>
              <w:rPr>
                <w:sz w:val="2"/>
                <w:szCs w:val="2"/>
                <w:color w:val="auto"/>
              </w:rPr>
            </w:pPr>
          </w:p>
        </w:tc>
        <w:tc>
          <w:tcPr>
            <w:tcW w:w="72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4294967237"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8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80"/>
              <w:spacing w:after="0" w:line="156" w:lineRule="exact"/>
              <w:rPr>
                <w:sz w:val="20"/>
                <w:szCs w:val="20"/>
                <w:color w:val="auto"/>
              </w:rPr>
            </w:pPr>
            <w:r>
              <w:rPr>
                <w:rFonts w:ascii="Calibri" w:cs="Calibri" w:eastAsia="Calibri" w:hAnsi="Calibri"/>
                <w:sz w:val="16"/>
                <w:szCs w:val="16"/>
                <w:b w:val="1"/>
                <w:bCs w:val="1"/>
                <w:color w:val="auto"/>
              </w:rPr>
              <w:t>10.11</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4"/>
            <w:shd w:val="clear" w:color="auto" w:fill="DAE8F0"/>
          </w:tcPr>
          <w:p>
            <w:pPr>
              <w:spacing w:after="0" w:line="156" w:lineRule="exact"/>
              <w:rPr>
                <w:rFonts w:ascii="Calibri" w:cs="Calibri" w:eastAsia="Calibri" w:hAnsi="Calibri"/>
                <w:sz w:val="16"/>
                <w:szCs w:val="16"/>
                <w:color w:val="0563C1"/>
              </w:rPr>
            </w:pPr>
            <w:hyperlink r:id="rId692">
              <w:r>
                <w:rPr>
                  <w:rFonts w:ascii="Calibri" w:cs="Calibri" w:eastAsia="Calibri" w:hAnsi="Calibri"/>
                  <w:sz w:val="16"/>
                  <w:szCs w:val="16"/>
                  <w:color w:val="0563C1"/>
                </w:rPr>
                <w:t>Tenth Amendment to Credit and Security Agreement, dated as of September 28, 2018, among Martn Marieta Funding LLC,</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60" w:type="dxa"/>
            <w:vAlign w:val="bottom"/>
            <w:gridSpan w:val="2"/>
            <w:shd w:val="clear" w:color="auto" w:fill="0563C1"/>
          </w:tcPr>
          <w:p>
            <w:pPr>
              <w:spacing w:after="0" w:line="20" w:lineRule="exact"/>
              <w:rPr>
                <w:sz w:val="1"/>
                <w:szCs w:val="1"/>
                <w:color w:val="auto"/>
              </w:rPr>
            </w:pPr>
          </w:p>
        </w:tc>
        <w:tc>
          <w:tcPr>
            <w:tcW w:w="222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80" w:type="dxa"/>
            <w:vAlign w:val="bottom"/>
            <w:tcBorders>
              <w:left w:val="single" w:sz="8" w:color="DAE8F0"/>
            </w:tcBorders>
            <w:shd w:val="clear" w:color="auto" w:fill="DAE8F0"/>
          </w:tcPr>
          <w:p>
            <w:pPr>
              <w:spacing w:after="0" w:line="20" w:lineRule="exact"/>
              <w:rPr>
                <w:sz w:val="1"/>
                <w:szCs w:val="1"/>
                <w:color w:val="auto"/>
              </w:rPr>
            </w:pPr>
          </w:p>
        </w:tc>
        <w:tc>
          <w:tcPr>
            <w:tcW w:w="4294967237" w:type="dxa"/>
            <w:vAlign w:val="bottom"/>
            <w:shd w:val="clear" w:color="auto" w:fill="DAE8F0"/>
          </w:tcPr>
          <w:p>
            <w:pPr>
              <w:spacing w:after="0" w:line="20" w:lineRule="exact"/>
              <w:rPr>
                <w:sz w:val="1"/>
                <w:szCs w:val="1"/>
                <w:color w:val="auto"/>
              </w:rPr>
            </w:pPr>
          </w:p>
        </w:tc>
        <w:tc>
          <w:tcPr>
            <w:tcW w:w="20" w:type="dxa"/>
            <w:vAlign w:val="bottom"/>
            <w:shd w:val="clear" w:color="auto" w:fill="DAE8F0"/>
          </w:tcPr>
          <w:p>
            <w:pPr>
              <w:spacing w:after="0" w:line="20" w:lineRule="exact"/>
              <w:rPr>
                <w:sz w:val="1"/>
                <w:szCs w:val="1"/>
                <w:color w:val="auto"/>
              </w:rPr>
            </w:pPr>
          </w:p>
        </w:tc>
        <w:tc>
          <w:tcPr>
            <w:tcW w:w="20" w:type="dxa"/>
            <w:vAlign w:val="bottom"/>
            <w:shd w:val="clear" w:color="auto" w:fill="DAE8F0"/>
          </w:tcPr>
          <w:p>
            <w:pPr>
              <w:spacing w:after="0" w:line="20" w:lineRule="exact"/>
              <w:rPr>
                <w:sz w:val="1"/>
                <w:szCs w:val="1"/>
                <w:color w:val="auto"/>
              </w:rPr>
            </w:pPr>
          </w:p>
        </w:tc>
        <w:tc>
          <w:tcPr>
            <w:tcW w:w="80" w:type="dxa"/>
            <w:vAlign w:val="bottom"/>
            <w:tcBorders>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20" w:type="dxa"/>
            <w:vAlign w:val="bottom"/>
            <w:tcBorders>
              <w:bottom w:val="single" w:sz="8" w:color="0563C1"/>
            </w:tcBorders>
            <w:gridSpan w:val="12"/>
            <w:shd w:val="clear" w:color="auto" w:fill="DAE8F0"/>
          </w:tcPr>
          <w:p>
            <w:pPr>
              <w:spacing w:after="0" w:line="196" w:lineRule="exact"/>
              <w:rPr>
                <w:rFonts w:ascii="Calibri" w:cs="Calibri" w:eastAsia="Calibri" w:hAnsi="Calibri"/>
                <w:sz w:val="18"/>
                <w:szCs w:val="18"/>
                <w:color w:val="0563C1"/>
                <w:w w:val="98"/>
              </w:rPr>
            </w:pPr>
            <w:hyperlink r:id="rId692">
              <w:r>
                <w:rPr>
                  <w:rFonts w:ascii="Calibri" w:cs="Calibri" w:eastAsia="Calibri" w:hAnsi="Calibri"/>
                  <w:sz w:val="18"/>
                  <w:szCs w:val="18"/>
                  <w:color w:val="0563C1"/>
                  <w:w w:val="98"/>
                </w:rPr>
                <w:t>as borrower, Martn Marieta Materials, Inc., as servicer, and Truist Bank, as lender, together with the other lenders from tme</w:t>
              </w:r>
            </w:hyperlink>
          </w:p>
        </w:tc>
        <w:tc>
          <w:tcPr>
            <w:tcW w:w="10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9"/>
            <w:shd w:val="clear" w:color="auto" w:fill="DAE8F0"/>
          </w:tcPr>
          <w:p>
            <w:pPr>
              <w:spacing w:after="0" w:line="196" w:lineRule="exact"/>
              <w:rPr>
                <w:rFonts w:ascii="Calibri" w:cs="Calibri" w:eastAsia="Calibri" w:hAnsi="Calibri"/>
                <w:sz w:val="18"/>
                <w:szCs w:val="18"/>
                <w:color w:val="0563C1"/>
              </w:rPr>
            </w:pPr>
            <w:hyperlink r:id="rId692">
              <w:r>
                <w:rPr>
                  <w:rFonts w:ascii="Calibri" w:cs="Calibri" w:eastAsia="Calibri" w:hAnsi="Calibri"/>
                  <w:sz w:val="18"/>
                  <w:szCs w:val="18"/>
                  <w:color w:val="0563C1"/>
                </w:rPr>
                <w:t>to tme party thereto, and Truist Bank, as administratve agent for the lenders (incorporated by reference to Exhibit 10.1 to</w:t>
              </w:r>
            </w:hyperlink>
          </w:p>
        </w:tc>
        <w:tc>
          <w:tcPr>
            <w:tcW w:w="140" w:type="dxa"/>
            <w:vAlign w:val="bottom"/>
            <w:tcBorders>
              <w:left w:val="single" w:sz="8" w:color="DAE8F0"/>
              <w:bottom w:val="single" w:sz="8" w:color="DAE8F0"/>
              <w:right w:val="single" w:sz="8" w:color="91BBD3"/>
            </w:tcBorders>
            <w:gridSpan w:val="5"/>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91BBD3"/>
            </w:tcBorders>
          </w:tcPr>
          <w:p>
            <w:pPr>
              <w:spacing w:after="0"/>
              <w:rPr>
                <w:sz w:val="20"/>
                <w:szCs w:val="20"/>
                <w:color w:val="auto"/>
              </w:rPr>
            </w:pPr>
          </w:p>
        </w:tc>
        <w:tc>
          <w:tcPr>
            <w:tcW w:w="1660" w:type="dxa"/>
            <w:vAlign w:val="bottom"/>
            <w:tcBorders>
              <w:right w:val="single" w:sz="8" w:color="91BBD3"/>
            </w:tcBorders>
            <w:shd w:val="clear" w:color="auto" w:fill="DAE8F0"/>
          </w:tcPr>
          <w:p>
            <w:pPr>
              <w:spacing w:after="0"/>
              <w:rPr>
                <w:sz w:val="20"/>
                <w:szCs w:val="20"/>
                <w:color w:val="auto"/>
              </w:rPr>
            </w:pPr>
          </w:p>
        </w:tc>
        <w:tc>
          <w:tcPr>
            <w:tcW w:w="10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4"/>
            <w:shd w:val="clear" w:color="auto" w:fill="DAE8F0"/>
          </w:tcPr>
          <w:p>
            <w:pPr>
              <w:spacing w:after="0" w:line="196" w:lineRule="exact"/>
              <w:rPr>
                <w:rFonts w:ascii="Calibri" w:cs="Calibri" w:eastAsia="Calibri" w:hAnsi="Calibri"/>
                <w:sz w:val="18"/>
                <w:szCs w:val="18"/>
                <w:color w:val="0563C1"/>
              </w:rPr>
            </w:pPr>
            <w:hyperlink r:id="rId692">
              <w:r>
                <w:rPr>
                  <w:rFonts w:ascii="Calibri" w:cs="Calibri" w:eastAsia="Calibri" w:hAnsi="Calibri"/>
                  <w:sz w:val="18"/>
                  <w:szCs w:val="18"/>
                  <w:color w:val="0563C1"/>
                </w:rPr>
                <w:t>the Martn Marieta Materials, Inc. Current Report on Form 8-K fled on September 25, 2018) (Commission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00" w:type="dxa"/>
            <w:vAlign w:val="bottom"/>
            <w:tcBorders>
              <w:top w:val="single" w:sz="8" w:color="0563C1"/>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250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1980" w:type="dxa"/>
            <w:vAlign w:val="bottom"/>
            <w:tcBorders>
              <w:top w:val="single" w:sz="8" w:color="0563C1"/>
            </w:tcBorders>
            <w:shd w:val="clear" w:color="auto" w:fill="91BBD3"/>
          </w:tcPr>
          <w:p>
            <w:pPr>
              <w:spacing w:after="0" w:line="20" w:lineRule="exact"/>
              <w:rPr>
                <w:sz w:val="1"/>
                <w:szCs w:val="1"/>
                <w:color w:val="auto"/>
              </w:rPr>
            </w:pPr>
          </w:p>
        </w:tc>
        <w:tc>
          <w:tcPr>
            <w:tcW w:w="880" w:type="dxa"/>
            <w:vAlign w:val="bottom"/>
            <w:tcBorders>
              <w:top w:val="single" w:sz="8" w:color="0563C1"/>
            </w:tcBorders>
            <w:shd w:val="clear" w:color="auto" w:fill="91BBD3"/>
          </w:tcPr>
          <w:p>
            <w:pPr>
              <w:spacing w:after="0" w:line="20" w:lineRule="exact"/>
              <w:rPr>
                <w:sz w:val="1"/>
                <w:szCs w:val="1"/>
                <w:color w:val="auto"/>
              </w:rPr>
            </w:pPr>
          </w:p>
        </w:tc>
        <w:tc>
          <w:tcPr>
            <w:tcW w:w="1500" w:type="dxa"/>
            <w:vAlign w:val="bottom"/>
            <w:tcBorders>
              <w:top w:val="single" w:sz="8" w:color="0563C1"/>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8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4294967237"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8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80"/>
              <w:spacing w:after="0" w:line="156" w:lineRule="exact"/>
              <w:rPr>
                <w:sz w:val="20"/>
                <w:szCs w:val="20"/>
                <w:color w:val="auto"/>
              </w:rPr>
            </w:pPr>
            <w:r>
              <w:rPr>
                <w:rFonts w:ascii="Calibri" w:cs="Calibri" w:eastAsia="Calibri" w:hAnsi="Calibri"/>
                <w:sz w:val="16"/>
                <w:szCs w:val="16"/>
                <w:b w:val="1"/>
                <w:bCs w:val="1"/>
                <w:color w:val="auto"/>
              </w:rPr>
              <w:t>10.12</w:t>
            </w:r>
          </w:p>
        </w:tc>
        <w:tc>
          <w:tcPr>
            <w:tcW w:w="100" w:type="dxa"/>
            <w:vAlign w:val="bottom"/>
          </w:tcPr>
          <w:p>
            <w:pPr>
              <w:spacing w:after="0"/>
              <w:rPr>
                <w:sz w:val="13"/>
                <w:szCs w:val="13"/>
                <w:color w:val="auto"/>
              </w:rPr>
            </w:pPr>
          </w:p>
        </w:tc>
        <w:tc>
          <w:tcPr>
            <w:tcW w:w="8980" w:type="dxa"/>
            <w:vAlign w:val="bottom"/>
            <w:tcBorders>
              <w:bottom w:val="single" w:sz="8" w:color="0563C1"/>
            </w:tcBorders>
            <w:gridSpan w:val="9"/>
          </w:tcPr>
          <w:p>
            <w:pPr>
              <w:spacing w:after="0" w:line="156" w:lineRule="exact"/>
              <w:rPr>
                <w:rFonts w:ascii="Calibri" w:cs="Calibri" w:eastAsia="Calibri" w:hAnsi="Calibri"/>
                <w:sz w:val="16"/>
                <w:szCs w:val="16"/>
                <w:color w:val="0563C1"/>
              </w:rPr>
            </w:pPr>
            <w:hyperlink r:id="rId693">
              <w:r>
                <w:rPr>
                  <w:rFonts w:ascii="Calibri" w:cs="Calibri" w:eastAsia="Calibri" w:hAnsi="Calibri"/>
                  <w:sz w:val="16"/>
                  <w:szCs w:val="16"/>
                  <w:color w:val="0563C1"/>
                </w:rPr>
                <w:t>Eleventh Amendment to Credit and Security Agreement, dated as of September 24, 2019, among Martn Marieta Funding</w:t>
              </w:r>
            </w:hyperlink>
          </w:p>
        </w:tc>
        <w:tc>
          <w:tcPr>
            <w:tcW w:w="140" w:type="dxa"/>
            <w:vAlign w:val="bottom"/>
            <w:tcBorders>
              <w:right w:val="single" w:sz="8" w:color="91BBD3"/>
            </w:tcBorders>
            <w:gridSpan w:val="5"/>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2"/>
          </w:tcPr>
          <w:p>
            <w:pPr>
              <w:spacing w:after="0" w:line="196" w:lineRule="exact"/>
              <w:rPr>
                <w:rFonts w:ascii="Calibri" w:cs="Calibri" w:eastAsia="Calibri" w:hAnsi="Calibri"/>
                <w:sz w:val="18"/>
                <w:szCs w:val="18"/>
                <w:color w:val="0563C1"/>
                <w:w w:val="98"/>
              </w:rPr>
            </w:pPr>
            <w:hyperlink r:id="rId693">
              <w:r>
                <w:rPr>
                  <w:rFonts w:ascii="Calibri" w:cs="Calibri" w:eastAsia="Calibri" w:hAnsi="Calibri"/>
                  <w:sz w:val="18"/>
                  <w:szCs w:val="18"/>
                  <w:color w:val="0563C1"/>
                  <w:w w:val="98"/>
                </w:rPr>
                <w:t>LLC, as borrower, Martn Marieta Materials, Inc., as servicer, and Truist Bank, as lender, together with the other lenders from</w:t>
              </w:r>
            </w:hyperlink>
          </w:p>
        </w:tc>
        <w:tc>
          <w:tcPr>
            <w:tcW w:w="10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line="196" w:lineRule="exact"/>
              <w:rPr>
                <w:rFonts w:ascii="Calibri" w:cs="Calibri" w:eastAsia="Calibri" w:hAnsi="Calibri"/>
                <w:sz w:val="18"/>
                <w:szCs w:val="18"/>
                <w:color w:val="0563C1"/>
              </w:rPr>
            </w:pPr>
            <w:hyperlink r:id="rId693">
              <w:r>
                <w:rPr>
                  <w:rFonts w:ascii="Calibri" w:cs="Calibri" w:eastAsia="Calibri" w:hAnsi="Calibri"/>
                  <w:sz w:val="18"/>
                  <w:szCs w:val="18"/>
                  <w:color w:val="0563C1"/>
                </w:rPr>
                <w:t>tme to tme party thereto, and Truist Bank, as administratve agent for the lenders (incorporated by reference to Exhibit 10.1</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60" w:type="dxa"/>
            <w:vAlign w:val="bottom"/>
            <w:gridSpan w:val="2"/>
            <w:shd w:val="clear" w:color="auto" w:fill="0563C1"/>
          </w:tcPr>
          <w:p>
            <w:pPr>
              <w:spacing w:after="0" w:line="20" w:lineRule="exact"/>
              <w:rPr>
                <w:sz w:val="1"/>
                <w:szCs w:val="1"/>
                <w:color w:val="auto"/>
              </w:rPr>
            </w:pPr>
          </w:p>
        </w:tc>
        <w:tc>
          <w:tcPr>
            <w:tcW w:w="2380" w:type="dxa"/>
            <w:vAlign w:val="bottom"/>
            <w:gridSpan w:val="3"/>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bottom w:val="single" w:sz="8" w:color="0563C1"/>
              <w:right w:val="single" w:sz="8" w:color="91BBD3"/>
            </w:tcBorders>
            <w:gridSpan w:val="14"/>
          </w:tcPr>
          <w:p>
            <w:pPr>
              <w:spacing w:after="0" w:line="196" w:lineRule="exact"/>
              <w:rPr>
                <w:rFonts w:ascii="Calibri" w:cs="Calibri" w:eastAsia="Calibri" w:hAnsi="Calibri"/>
                <w:sz w:val="18"/>
                <w:szCs w:val="18"/>
                <w:color w:val="0563C1"/>
              </w:rPr>
            </w:pPr>
            <w:hyperlink r:id="rId693">
              <w:r>
                <w:rPr>
                  <w:rFonts w:ascii="Calibri" w:cs="Calibri" w:eastAsia="Calibri" w:hAnsi="Calibri"/>
                  <w:sz w:val="18"/>
                  <w:szCs w:val="18"/>
                  <w:color w:val="0563C1"/>
                </w:rPr>
                <w:t>to the Martn Marieta Materials, Inc. Current Report on Form 8-K fled on September 24, 2019) (Commission File No. 1-</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320" w:type="dxa"/>
            <w:vAlign w:val="bottom"/>
            <w:gridSpan w:val="3"/>
          </w:tcPr>
          <w:p>
            <w:pPr>
              <w:ind w:left="100"/>
              <w:spacing w:after="0" w:line="196" w:lineRule="exact"/>
              <w:rPr>
                <w:rFonts w:ascii="Calibri" w:cs="Calibri" w:eastAsia="Calibri" w:hAnsi="Calibri"/>
                <w:sz w:val="18"/>
                <w:szCs w:val="18"/>
                <w:color w:val="0563C1"/>
              </w:rPr>
            </w:pPr>
            <w:hyperlink r:id="rId693">
              <w:r>
                <w:rPr>
                  <w:rFonts w:ascii="Calibri" w:cs="Calibri" w:eastAsia="Calibri" w:hAnsi="Calibri"/>
                  <w:sz w:val="18"/>
                  <w:szCs w:val="18"/>
                  <w:color w:val="0563C1"/>
                </w:rPr>
                <w:t>12744)</w:t>
              </w:r>
            </w:hyperlink>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9496723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500" w:type="dxa"/>
            <w:vAlign w:val="bottom"/>
            <w:tcBorders>
              <w:top w:val="single" w:sz="8" w:color="0563C1"/>
              <w:bottom w:val="single" w:sz="8" w:color="91BBD3"/>
            </w:tcBorders>
          </w:tcPr>
          <w:p>
            <w:pPr>
              <w:spacing w:after="0"/>
              <w:rPr>
                <w:sz w:val="2"/>
                <w:szCs w:val="2"/>
                <w:color w:val="auto"/>
              </w:rPr>
            </w:pPr>
          </w:p>
        </w:tc>
        <w:tc>
          <w:tcPr>
            <w:tcW w:w="720" w:type="dxa"/>
            <w:vAlign w:val="bottom"/>
            <w:tcBorders>
              <w:bottom w:val="single" w:sz="8" w:color="91BBD3"/>
            </w:tcBorders>
          </w:tcPr>
          <w:p>
            <w:pPr>
              <w:spacing w:after="0"/>
              <w:rPr>
                <w:sz w:val="2"/>
                <w:szCs w:val="2"/>
                <w:color w:val="auto"/>
              </w:rPr>
            </w:pPr>
          </w:p>
        </w:tc>
        <w:tc>
          <w:tcPr>
            <w:tcW w:w="250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980" w:type="dxa"/>
            <w:vAlign w:val="bottom"/>
            <w:tcBorders>
              <w:bottom w:val="single" w:sz="8" w:color="91BBD3"/>
            </w:tcBorders>
          </w:tcPr>
          <w:p>
            <w:pPr>
              <w:spacing w:after="0"/>
              <w:rPr>
                <w:sz w:val="2"/>
                <w:szCs w:val="2"/>
                <w:color w:val="auto"/>
              </w:rPr>
            </w:pPr>
          </w:p>
        </w:tc>
        <w:tc>
          <w:tcPr>
            <w:tcW w:w="880" w:type="dxa"/>
            <w:vAlign w:val="bottom"/>
            <w:tcBorders>
              <w:bottom w:val="single" w:sz="8" w:color="91BBD3"/>
            </w:tcBorders>
          </w:tcPr>
          <w:p>
            <w:pPr>
              <w:spacing w:after="0"/>
              <w:rPr>
                <w:sz w:val="2"/>
                <w:szCs w:val="2"/>
                <w:color w:val="auto"/>
              </w:rPr>
            </w:pPr>
          </w:p>
        </w:tc>
        <w:tc>
          <w:tcPr>
            <w:tcW w:w="1500" w:type="dxa"/>
            <w:vAlign w:val="bottom"/>
            <w:tcBorders>
              <w:bottom w:val="single" w:sz="8" w:color="91BBD3"/>
            </w:tcBorders>
          </w:tcPr>
          <w:p>
            <w:pPr>
              <w:spacing w:after="0"/>
              <w:rPr>
                <w:sz w:val="2"/>
                <w:szCs w:val="2"/>
                <w:color w:val="auto"/>
              </w:rPr>
            </w:pPr>
          </w:p>
        </w:tc>
        <w:tc>
          <w:tcPr>
            <w:tcW w:w="72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4294967237"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8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80"/>
              <w:spacing w:after="0" w:line="156" w:lineRule="exact"/>
              <w:rPr>
                <w:sz w:val="20"/>
                <w:szCs w:val="20"/>
                <w:color w:val="auto"/>
              </w:rPr>
            </w:pPr>
            <w:r>
              <w:rPr>
                <w:rFonts w:ascii="Calibri" w:cs="Calibri" w:eastAsia="Calibri" w:hAnsi="Calibri"/>
                <w:sz w:val="16"/>
                <w:szCs w:val="16"/>
                <w:b w:val="1"/>
                <w:bCs w:val="1"/>
                <w:color w:val="auto"/>
              </w:rPr>
              <w:t>10.13</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4"/>
            <w:shd w:val="clear" w:color="auto" w:fill="DAE8F0"/>
          </w:tcPr>
          <w:p>
            <w:pPr>
              <w:spacing w:after="0" w:line="156" w:lineRule="exact"/>
              <w:rPr>
                <w:rFonts w:ascii="Calibri" w:cs="Calibri" w:eastAsia="Calibri" w:hAnsi="Calibri"/>
                <w:sz w:val="16"/>
                <w:szCs w:val="16"/>
                <w:color w:val="0563C1"/>
              </w:rPr>
            </w:pPr>
            <w:hyperlink r:id="rId694">
              <w:r>
                <w:rPr>
                  <w:rFonts w:ascii="Calibri" w:cs="Calibri" w:eastAsia="Calibri" w:hAnsi="Calibri"/>
                  <w:sz w:val="16"/>
                  <w:szCs w:val="16"/>
                  <w:color w:val="0563C1"/>
                </w:rPr>
                <w:t>Twelfh Amendment to Credit and Security Agreement, dated as of September 23, 2020, among Martn Marieta Funding LLC,</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60" w:type="dxa"/>
            <w:vAlign w:val="bottom"/>
            <w:gridSpan w:val="2"/>
            <w:shd w:val="clear" w:color="auto" w:fill="0563C1"/>
          </w:tcPr>
          <w:p>
            <w:pPr>
              <w:spacing w:after="0" w:line="20" w:lineRule="exact"/>
              <w:rPr>
                <w:sz w:val="1"/>
                <w:szCs w:val="1"/>
                <w:color w:val="auto"/>
              </w:rPr>
            </w:pPr>
          </w:p>
        </w:tc>
        <w:tc>
          <w:tcPr>
            <w:tcW w:w="238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DAE8F0"/>
            </w:tcBorders>
            <w:shd w:val="clear" w:color="auto" w:fill="DAE8F0"/>
          </w:tcPr>
          <w:p>
            <w:pPr>
              <w:spacing w:after="0" w:line="20" w:lineRule="exact"/>
              <w:rPr>
                <w:sz w:val="1"/>
                <w:szCs w:val="1"/>
                <w:color w:val="auto"/>
              </w:rPr>
            </w:pPr>
          </w:p>
        </w:tc>
        <w:tc>
          <w:tcPr>
            <w:tcW w:w="4294967237" w:type="dxa"/>
            <w:vAlign w:val="bottom"/>
            <w:shd w:val="clear" w:color="auto" w:fill="DAE8F0"/>
          </w:tcPr>
          <w:p>
            <w:pPr>
              <w:spacing w:after="0" w:line="20" w:lineRule="exact"/>
              <w:rPr>
                <w:sz w:val="1"/>
                <w:szCs w:val="1"/>
                <w:color w:val="auto"/>
              </w:rPr>
            </w:pPr>
          </w:p>
        </w:tc>
        <w:tc>
          <w:tcPr>
            <w:tcW w:w="20" w:type="dxa"/>
            <w:vAlign w:val="bottom"/>
            <w:shd w:val="clear" w:color="auto" w:fill="DAE8F0"/>
          </w:tcPr>
          <w:p>
            <w:pPr>
              <w:spacing w:after="0" w:line="20" w:lineRule="exact"/>
              <w:rPr>
                <w:sz w:val="1"/>
                <w:szCs w:val="1"/>
                <w:color w:val="auto"/>
              </w:rPr>
            </w:pPr>
          </w:p>
        </w:tc>
        <w:tc>
          <w:tcPr>
            <w:tcW w:w="20" w:type="dxa"/>
            <w:vAlign w:val="bottom"/>
            <w:shd w:val="clear" w:color="auto" w:fill="DAE8F0"/>
          </w:tcPr>
          <w:p>
            <w:pPr>
              <w:spacing w:after="0" w:line="20" w:lineRule="exact"/>
              <w:rPr>
                <w:sz w:val="1"/>
                <w:szCs w:val="1"/>
                <w:color w:val="auto"/>
              </w:rPr>
            </w:pPr>
          </w:p>
        </w:tc>
        <w:tc>
          <w:tcPr>
            <w:tcW w:w="80" w:type="dxa"/>
            <w:vAlign w:val="bottom"/>
            <w:tcBorders>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40" w:type="dxa"/>
            <w:vAlign w:val="bottom"/>
            <w:tcBorders>
              <w:bottom w:val="single" w:sz="8" w:color="0563C1"/>
            </w:tcBorders>
            <w:gridSpan w:val="13"/>
            <w:shd w:val="clear" w:color="auto" w:fill="DAE8F0"/>
          </w:tcPr>
          <w:p>
            <w:pPr>
              <w:spacing w:after="0" w:line="196" w:lineRule="exact"/>
              <w:rPr>
                <w:rFonts w:ascii="Calibri" w:cs="Calibri" w:eastAsia="Calibri" w:hAnsi="Calibri"/>
                <w:sz w:val="18"/>
                <w:szCs w:val="18"/>
                <w:color w:val="0563C1"/>
              </w:rPr>
            </w:pPr>
            <w:hyperlink r:id="rId694">
              <w:r>
                <w:rPr>
                  <w:rFonts w:ascii="Calibri" w:cs="Calibri" w:eastAsia="Calibri" w:hAnsi="Calibri"/>
                  <w:sz w:val="18"/>
                  <w:szCs w:val="18"/>
                  <w:color w:val="0563C1"/>
                </w:rPr>
                <w:t>as borrower, Martn Marieta Materials, Inc., as servicer, and Truist Bank, successor by merger to SunTrust Bank, as lender</w:t>
              </w:r>
            </w:hyperlink>
          </w:p>
        </w:tc>
        <w:tc>
          <w:tcPr>
            <w:tcW w:w="80" w:type="dxa"/>
            <w:vAlign w:val="bottom"/>
            <w:tcBorders>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9"/>
            <w:shd w:val="clear" w:color="auto" w:fill="DAE8F0"/>
          </w:tcPr>
          <w:p>
            <w:pPr>
              <w:spacing w:after="0" w:line="196" w:lineRule="exact"/>
              <w:rPr>
                <w:rFonts w:ascii="Calibri" w:cs="Calibri" w:eastAsia="Calibri" w:hAnsi="Calibri"/>
                <w:sz w:val="18"/>
                <w:szCs w:val="18"/>
                <w:color w:val="0563C1"/>
                <w:w w:val="99"/>
              </w:rPr>
            </w:pPr>
            <w:hyperlink r:id="rId694">
              <w:r>
                <w:rPr>
                  <w:rFonts w:ascii="Calibri" w:cs="Calibri" w:eastAsia="Calibri" w:hAnsi="Calibri"/>
                  <w:sz w:val="18"/>
                  <w:szCs w:val="18"/>
                  <w:color w:val="0563C1"/>
                  <w:w w:val="99"/>
                </w:rPr>
                <w:t>together with the other lenders from tme to tme party thereto, and Truist Bank, successor by merger to Sun Trust Bank, as</w:t>
              </w:r>
            </w:hyperlink>
          </w:p>
        </w:tc>
        <w:tc>
          <w:tcPr>
            <w:tcW w:w="140" w:type="dxa"/>
            <w:vAlign w:val="bottom"/>
            <w:tcBorders>
              <w:left w:val="single" w:sz="8" w:color="DAE8F0"/>
              <w:bottom w:val="single" w:sz="8" w:color="DAE8F0"/>
              <w:right w:val="single" w:sz="8" w:color="91BBD3"/>
            </w:tcBorders>
            <w:gridSpan w:val="5"/>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4"/>
            <w:shd w:val="clear" w:color="auto" w:fill="DAE8F0"/>
          </w:tcPr>
          <w:p>
            <w:pPr>
              <w:spacing w:after="0" w:line="196" w:lineRule="exact"/>
              <w:rPr>
                <w:rFonts w:ascii="Calibri" w:cs="Calibri" w:eastAsia="Calibri" w:hAnsi="Calibri"/>
                <w:sz w:val="18"/>
                <w:szCs w:val="18"/>
                <w:color w:val="0563C1"/>
              </w:rPr>
            </w:pPr>
            <w:hyperlink r:id="rId694">
              <w:r>
                <w:rPr>
                  <w:rFonts w:ascii="Calibri" w:cs="Calibri" w:eastAsia="Calibri" w:hAnsi="Calibri"/>
                  <w:sz w:val="18"/>
                  <w:szCs w:val="18"/>
                  <w:color w:val="0563C1"/>
                </w:rPr>
                <w:t>administratve agent for the lenders (incorporated by reference to Exhibit 10.01 to the Martn Marieta Materials, Inc. Current</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91BBD3"/>
            </w:tcBorders>
          </w:tcPr>
          <w:p>
            <w:pPr>
              <w:spacing w:after="0"/>
              <w:rPr>
                <w:sz w:val="20"/>
                <w:szCs w:val="20"/>
                <w:color w:val="auto"/>
              </w:rPr>
            </w:pPr>
          </w:p>
        </w:tc>
        <w:tc>
          <w:tcPr>
            <w:tcW w:w="1660" w:type="dxa"/>
            <w:vAlign w:val="bottom"/>
            <w:tcBorders>
              <w:top w:val="single" w:sz="8" w:color="DAE8F0"/>
              <w:right w:val="single" w:sz="8" w:color="91BBD3"/>
            </w:tcBorders>
            <w:shd w:val="clear" w:color="auto" w:fill="DAE8F0"/>
          </w:tcPr>
          <w:p>
            <w:pPr>
              <w:spacing w:after="0"/>
              <w:rPr>
                <w:sz w:val="20"/>
                <w:szCs w:val="20"/>
                <w:color w:val="auto"/>
              </w:rPr>
            </w:pPr>
          </w:p>
        </w:tc>
        <w:tc>
          <w:tcPr>
            <w:tcW w:w="100" w:type="dxa"/>
            <w:vAlign w:val="bottom"/>
            <w:tcBorders>
              <w:top w:val="single" w:sz="8" w:color="DAE8F0"/>
            </w:tcBorders>
            <w:shd w:val="clear" w:color="auto" w:fill="DAE8F0"/>
          </w:tcPr>
          <w:p>
            <w:pPr>
              <w:spacing w:after="0"/>
              <w:rPr>
                <w:sz w:val="20"/>
                <w:szCs w:val="20"/>
                <w:color w:val="auto"/>
              </w:rPr>
            </w:pPr>
          </w:p>
        </w:tc>
        <w:tc>
          <w:tcPr>
            <w:tcW w:w="8980" w:type="dxa"/>
            <w:vAlign w:val="bottom"/>
            <w:tcBorders>
              <w:top w:val="single" w:sz="8" w:color="0563C1"/>
            </w:tcBorders>
            <w:gridSpan w:val="9"/>
            <w:shd w:val="clear" w:color="auto" w:fill="DAE8F0"/>
          </w:tcPr>
          <w:p>
            <w:pPr>
              <w:spacing w:after="0" w:line="196" w:lineRule="exact"/>
              <w:rPr>
                <w:rFonts w:ascii="Calibri" w:cs="Calibri" w:eastAsia="Calibri" w:hAnsi="Calibri"/>
                <w:sz w:val="18"/>
                <w:szCs w:val="18"/>
                <w:color w:val="0563C1"/>
              </w:rPr>
            </w:pPr>
            <w:hyperlink r:id="rId694">
              <w:r>
                <w:rPr>
                  <w:rFonts w:ascii="Calibri" w:cs="Calibri" w:eastAsia="Calibri" w:hAnsi="Calibri"/>
                  <w:sz w:val="18"/>
                  <w:szCs w:val="18"/>
                  <w:color w:val="0563C1"/>
                </w:rPr>
                <w:t>Report on Form 8-K fled on September 23, 2020) (Commission File No. 1-12744)</w:t>
              </w:r>
            </w:hyperlink>
          </w:p>
        </w:tc>
        <w:tc>
          <w:tcPr>
            <w:tcW w:w="140" w:type="dxa"/>
            <w:vAlign w:val="bottom"/>
            <w:tcBorders>
              <w:top w:val="single" w:sz="8" w:color="DAE8F0"/>
              <w:left w:val="single" w:sz="8" w:color="DAE8F0"/>
              <w:right w:val="single" w:sz="8" w:color="91BBD3"/>
            </w:tcBorders>
            <w:gridSpan w:val="5"/>
            <w:shd w:val="clear" w:color="auto" w:fill="DAE8F0"/>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00" w:type="dxa"/>
            <w:vAlign w:val="bottom"/>
            <w:tcBorders>
              <w:top w:val="single" w:sz="8" w:color="0563C1"/>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250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1980" w:type="dxa"/>
            <w:vAlign w:val="bottom"/>
            <w:tcBorders>
              <w:top w:val="single" w:sz="8" w:color="0563C1"/>
            </w:tcBorders>
            <w:shd w:val="clear" w:color="auto" w:fill="91BBD3"/>
          </w:tcPr>
          <w:p>
            <w:pPr>
              <w:spacing w:after="0" w:line="20" w:lineRule="exact"/>
              <w:rPr>
                <w:sz w:val="1"/>
                <w:szCs w:val="1"/>
                <w:color w:val="auto"/>
              </w:rPr>
            </w:pPr>
          </w:p>
        </w:tc>
        <w:tc>
          <w:tcPr>
            <w:tcW w:w="880" w:type="dxa"/>
            <w:vAlign w:val="bottom"/>
            <w:tcBorders>
              <w:top w:val="single" w:sz="8" w:color="DAE8F0"/>
            </w:tcBorders>
            <w:shd w:val="clear" w:color="auto" w:fill="91BBD3"/>
          </w:tcPr>
          <w:p>
            <w:pPr>
              <w:spacing w:after="0" w:line="20" w:lineRule="exact"/>
              <w:rPr>
                <w:sz w:val="1"/>
                <w:szCs w:val="1"/>
                <w:color w:val="auto"/>
              </w:rPr>
            </w:pPr>
          </w:p>
        </w:tc>
        <w:tc>
          <w:tcPr>
            <w:tcW w:w="15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8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4294967237"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8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80"/>
              <w:spacing w:after="0" w:line="156" w:lineRule="exact"/>
              <w:rPr>
                <w:sz w:val="20"/>
                <w:szCs w:val="20"/>
                <w:color w:val="auto"/>
              </w:rPr>
            </w:pPr>
            <w:r>
              <w:rPr>
                <w:rFonts w:ascii="Calibri" w:cs="Calibri" w:eastAsia="Calibri" w:hAnsi="Calibri"/>
                <w:sz w:val="16"/>
                <w:szCs w:val="16"/>
                <w:b w:val="1"/>
                <w:bCs w:val="1"/>
                <w:color w:val="auto"/>
              </w:rPr>
              <w:t>10.14</w:t>
            </w:r>
          </w:p>
        </w:tc>
        <w:tc>
          <w:tcPr>
            <w:tcW w:w="100" w:type="dxa"/>
            <w:vAlign w:val="bottom"/>
          </w:tcPr>
          <w:p>
            <w:pPr>
              <w:spacing w:after="0"/>
              <w:rPr>
                <w:sz w:val="13"/>
                <w:szCs w:val="13"/>
                <w:color w:val="auto"/>
              </w:rPr>
            </w:pPr>
          </w:p>
        </w:tc>
        <w:tc>
          <w:tcPr>
            <w:tcW w:w="9120" w:type="dxa"/>
            <w:vAlign w:val="bottom"/>
            <w:tcBorders>
              <w:right w:val="single" w:sz="8" w:color="91BBD3"/>
            </w:tcBorders>
            <w:gridSpan w:val="14"/>
          </w:tcPr>
          <w:p>
            <w:pPr>
              <w:spacing w:after="0" w:line="156" w:lineRule="exact"/>
              <w:rPr>
                <w:rFonts w:ascii="Calibri" w:cs="Calibri" w:eastAsia="Calibri" w:hAnsi="Calibri"/>
                <w:sz w:val="16"/>
                <w:szCs w:val="16"/>
                <w:color w:val="0563C1"/>
              </w:rPr>
            </w:pPr>
            <w:hyperlink r:id="rId695">
              <w:r>
                <w:rPr>
                  <w:rFonts w:ascii="Calibri" w:cs="Calibri" w:eastAsia="Calibri" w:hAnsi="Calibri"/>
                  <w:sz w:val="16"/>
                  <w:szCs w:val="16"/>
                  <w:color w:val="0563C1"/>
                </w:rPr>
                <w:t>Thirteenth Amendment to Credit and Security Agreement, dated as of September 22, 2021, among Martn Marieta Funding</w:t>
              </w:r>
            </w:hyperlink>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60" w:type="dxa"/>
            <w:vAlign w:val="bottom"/>
            <w:gridSpan w:val="2"/>
            <w:shd w:val="clear" w:color="auto" w:fill="0563C1"/>
          </w:tcPr>
          <w:p>
            <w:pPr>
              <w:spacing w:after="0" w:line="20" w:lineRule="exact"/>
              <w:rPr>
                <w:sz w:val="1"/>
                <w:szCs w:val="1"/>
                <w:color w:val="auto"/>
              </w:rPr>
            </w:pPr>
          </w:p>
        </w:tc>
        <w:tc>
          <w:tcPr>
            <w:tcW w:w="2380" w:type="dxa"/>
            <w:vAlign w:val="bottom"/>
            <w:gridSpan w:val="3"/>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91BBD3"/>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2"/>
          </w:tcPr>
          <w:p>
            <w:pPr>
              <w:spacing w:after="0" w:line="196" w:lineRule="exact"/>
              <w:rPr>
                <w:rFonts w:ascii="Calibri" w:cs="Calibri" w:eastAsia="Calibri" w:hAnsi="Calibri"/>
                <w:sz w:val="18"/>
                <w:szCs w:val="18"/>
                <w:color w:val="0563C1"/>
              </w:rPr>
            </w:pPr>
            <w:hyperlink r:id="rId695">
              <w:r>
                <w:rPr>
                  <w:rFonts w:ascii="Calibri" w:cs="Calibri" w:eastAsia="Calibri" w:hAnsi="Calibri"/>
                  <w:sz w:val="18"/>
                  <w:szCs w:val="18"/>
                  <w:color w:val="0563C1"/>
                </w:rPr>
                <w:t>LLC, as borrower, Martn Marieta Materials, Inc., as servicer, and Truist Bank, successor by merger to SunTrust Bank, as</w:t>
              </w:r>
            </w:hyperlink>
          </w:p>
        </w:tc>
        <w:tc>
          <w:tcPr>
            <w:tcW w:w="10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line="196" w:lineRule="exact"/>
              <w:rPr>
                <w:rFonts w:ascii="Calibri" w:cs="Calibri" w:eastAsia="Calibri" w:hAnsi="Calibri"/>
                <w:sz w:val="18"/>
                <w:szCs w:val="18"/>
                <w:color w:val="0563C1"/>
              </w:rPr>
            </w:pPr>
            <w:hyperlink r:id="rId695">
              <w:r>
                <w:rPr>
                  <w:rFonts w:ascii="Calibri" w:cs="Calibri" w:eastAsia="Calibri" w:hAnsi="Calibri"/>
                  <w:sz w:val="18"/>
                  <w:szCs w:val="18"/>
                  <w:color w:val="0563C1"/>
                </w:rPr>
                <w:t>lender together with the other lenders from tme to tme party thereto, and Truist Bank, successor by merger to Sun Trust</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60" w:type="dxa"/>
            <w:vAlign w:val="bottom"/>
            <w:gridSpan w:val="2"/>
            <w:shd w:val="clear" w:color="auto" w:fill="0563C1"/>
          </w:tcPr>
          <w:p>
            <w:pPr>
              <w:spacing w:after="0" w:line="20" w:lineRule="exact"/>
              <w:rPr>
                <w:sz w:val="1"/>
                <w:szCs w:val="1"/>
                <w:color w:val="auto"/>
              </w:rPr>
            </w:pPr>
          </w:p>
        </w:tc>
        <w:tc>
          <w:tcPr>
            <w:tcW w:w="2380" w:type="dxa"/>
            <w:vAlign w:val="bottom"/>
            <w:gridSpan w:val="3"/>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20" w:type="dxa"/>
            <w:vAlign w:val="bottom"/>
            <w:tcBorders>
              <w:right w:val="single" w:sz="8" w:color="91BBD3"/>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9"/>
          </w:tcPr>
          <w:p>
            <w:pPr>
              <w:spacing w:after="0" w:line="196" w:lineRule="exact"/>
              <w:rPr>
                <w:rFonts w:ascii="Calibri" w:cs="Calibri" w:eastAsia="Calibri" w:hAnsi="Calibri"/>
                <w:sz w:val="18"/>
                <w:szCs w:val="18"/>
                <w:color w:val="0563C1"/>
              </w:rPr>
            </w:pPr>
            <w:hyperlink r:id="rId695">
              <w:r>
                <w:rPr>
                  <w:rFonts w:ascii="Calibri" w:cs="Calibri" w:eastAsia="Calibri" w:hAnsi="Calibri"/>
                  <w:sz w:val="18"/>
                  <w:szCs w:val="18"/>
                  <w:color w:val="0563C1"/>
                </w:rPr>
                <w:t>Bank, as administratve agent for the lenders (incorporated by reference to Exhibit 10.01 to the Martn Marieta Materials,</w:t>
              </w:r>
            </w:hyperlink>
          </w:p>
        </w:tc>
        <w:tc>
          <w:tcPr>
            <w:tcW w:w="140" w:type="dxa"/>
            <w:vAlign w:val="bottom"/>
            <w:tcBorders>
              <w:right w:val="single" w:sz="8" w:color="91BBD3"/>
            </w:tcBorders>
            <w:gridSpan w:val="5"/>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line="196" w:lineRule="exact"/>
              <w:rPr>
                <w:rFonts w:ascii="Calibri" w:cs="Calibri" w:eastAsia="Calibri" w:hAnsi="Calibri"/>
                <w:sz w:val="18"/>
                <w:szCs w:val="18"/>
                <w:color w:val="0563C1"/>
              </w:rPr>
            </w:pPr>
            <w:hyperlink r:id="rId695">
              <w:r>
                <w:rPr>
                  <w:rFonts w:ascii="Calibri" w:cs="Calibri" w:eastAsia="Calibri" w:hAnsi="Calibri"/>
                  <w:sz w:val="18"/>
                  <w:szCs w:val="18"/>
                  <w:color w:val="0563C1"/>
                </w:rPr>
                <w:t>Inc. Current Report on Form 8-K fled on September 23, 2021)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500" w:type="dxa"/>
            <w:vAlign w:val="bottom"/>
            <w:tcBorders>
              <w:top w:val="single" w:sz="8" w:color="0563C1"/>
              <w:bottom w:val="single" w:sz="8" w:color="91BBD3"/>
            </w:tcBorders>
          </w:tcPr>
          <w:p>
            <w:pPr>
              <w:spacing w:after="0"/>
              <w:rPr>
                <w:sz w:val="2"/>
                <w:szCs w:val="2"/>
                <w:color w:val="auto"/>
              </w:rPr>
            </w:pPr>
          </w:p>
        </w:tc>
        <w:tc>
          <w:tcPr>
            <w:tcW w:w="720" w:type="dxa"/>
            <w:vAlign w:val="bottom"/>
            <w:tcBorders>
              <w:top w:val="single" w:sz="8" w:color="0563C1"/>
              <w:bottom w:val="single" w:sz="8" w:color="91BBD3"/>
            </w:tcBorders>
          </w:tcPr>
          <w:p>
            <w:pPr>
              <w:spacing w:after="0"/>
              <w:rPr>
                <w:sz w:val="2"/>
                <w:szCs w:val="2"/>
                <w:color w:val="auto"/>
              </w:rPr>
            </w:pPr>
          </w:p>
        </w:tc>
        <w:tc>
          <w:tcPr>
            <w:tcW w:w="2500" w:type="dxa"/>
            <w:vAlign w:val="bottom"/>
            <w:tcBorders>
              <w:top w:val="single" w:sz="8" w:color="0563C1"/>
              <w:bottom w:val="single" w:sz="8" w:color="91BBD3"/>
            </w:tcBorders>
          </w:tcPr>
          <w:p>
            <w:pPr>
              <w:spacing w:after="0"/>
              <w:rPr>
                <w:sz w:val="2"/>
                <w:szCs w:val="2"/>
                <w:color w:val="auto"/>
              </w:rPr>
            </w:pPr>
          </w:p>
        </w:tc>
        <w:tc>
          <w:tcPr>
            <w:tcW w:w="20" w:type="dxa"/>
            <w:vAlign w:val="bottom"/>
            <w:tcBorders>
              <w:top w:val="single" w:sz="8" w:color="0563C1"/>
              <w:bottom w:val="single" w:sz="8" w:color="91BBD3"/>
            </w:tcBorders>
          </w:tcPr>
          <w:p>
            <w:pPr>
              <w:spacing w:after="0"/>
              <w:rPr>
                <w:sz w:val="2"/>
                <w:szCs w:val="2"/>
                <w:color w:val="auto"/>
              </w:rPr>
            </w:pPr>
          </w:p>
        </w:tc>
        <w:tc>
          <w:tcPr>
            <w:tcW w:w="1980" w:type="dxa"/>
            <w:vAlign w:val="bottom"/>
            <w:tcBorders>
              <w:top w:val="single" w:sz="8" w:color="0563C1"/>
              <w:bottom w:val="single" w:sz="8" w:color="91BBD3"/>
            </w:tcBorders>
          </w:tcPr>
          <w:p>
            <w:pPr>
              <w:spacing w:after="0"/>
              <w:rPr>
                <w:sz w:val="2"/>
                <w:szCs w:val="2"/>
                <w:color w:val="auto"/>
              </w:rPr>
            </w:pPr>
          </w:p>
        </w:tc>
        <w:tc>
          <w:tcPr>
            <w:tcW w:w="880" w:type="dxa"/>
            <w:vAlign w:val="bottom"/>
            <w:tcBorders>
              <w:top w:val="single" w:sz="8" w:color="0563C1"/>
              <w:bottom w:val="single" w:sz="8" w:color="91BBD3"/>
            </w:tcBorders>
          </w:tcPr>
          <w:p>
            <w:pPr>
              <w:spacing w:after="0"/>
              <w:rPr>
                <w:sz w:val="2"/>
                <w:szCs w:val="2"/>
                <w:color w:val="auto"/>
              </w:rPr>
            </w:pPr>
          </w:p>
        </w:tc>
        <w:tc>
          <w:tcPr>
            <w:tcW w:w="1500" w:type="dxa"/>
            <w:vAlign w:val="bottom"/>
            <w:tcBorders>
              <w:bottom w:val="single" w:sz="8" w:color="91BBD3"/>
            </w:tcBorders>
          </w:tcPr>
          <w:p>
            <w:pPr>
              <w:spacing w:after="0"/>
              <w:rPr>
                <w:sz w:val="2"/>
                <w:szCs w:val="2"/>
                <w:color w:val="auto"/>
              </w:rPr>
            </w:pPr>
          </w:p>
        </w:tc>
        <w:tc>
          <w:tcPr>
            <w:tcW w:w="72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4294967237"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8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0" w:type="dxa"/>
            <w:vAlign w:val="bottom"/>
            <w:tcBorders>
              <w:right w:val="single" w:sz="8" w:color="91BBD3"/>
            </w:tcBorders>
          </w:tcPr>
          <w:p>
            <w:pPr>
              <w:spacing w:after="0"/>
              <w:rPr>
                <w:sz w:val="13"/>
                <w:szCs w:val="13"/>
                <w:color w:val="auto"/>
              </w:rPr>
            </w:pPr>
          </w:p>
        </w:tc>
        <w:tc>
          <w:tcPr>
            <w:tcW w:w="1660" w:type="dxa"/>
            <w:vAlign w:val="bottom"/>
            <w:tcBorders>
              <w:bottom w:val="single" w:sz="8" w:color="DAE8F0"/>
              <w:right w:val="single" w:sz="8" w:color="91BBD3"/>
            </w:tcBorders>
            <w:shd w:val="clear" w:color="auto" w:fill="DAE8F0"/>
          </w:tcPr>
          <w:p>
            <w:pPr>
              <w:jc w:val="right"/>
              <w:ind w:right="1080"/>
              <w:spacing w:after="0" w:line="156" w:lineRule="exact"/>
              <w:rPr>
                <w:sz w:val="20"/>
                <w:szCs w:val="20"/>
                <w:color w:val="auto"/>
              </w:rPr>
            </w:pPr>
            <w:r>
              <w:rPr>
                <w:rFonts w:ascii="Calibri" w:cs="Calibri" w:eastAsia="Calibri" w:hAnsi="Calibri"/>
                <w:sz w:val="16"/>
                <w:szCs w:val="16"/>
                <w:b w:val="1"/>
                <w:bCs w:val="1"/>
                <w:color w:val="auto"/>
              </w:rPr>
              <w:t>10.15</w:t>
            </w:r>
          </w:p>
        </w:tc>
        <w:tc>
          <w:tcPr>
            <w:tcW w:w="100" w:type="dxa"/>
            <w:vAlign w:val="bottom"/>
            <w:tcBorders>
              <w:bottom w:val="single" w:sz="8" w:color="DAE8F0"/>
            </w:tcBorders>
            <w:shd w:val="clear" w:color="auto" w:fill="DAE8F0"/>
          </w:tcPr>
          <w:p>
            <w:pPr>
              <w:spacing w:after="0"/>
              <w:rPr>
                <w:sz w:val="13"/>
                <w:szCs w:val="13"/>
                <w:color w:val="auto"/>
              </w:rPr>
            </w:pPr>
          </w:p>
        </w:tc>
        <w:tc>
          <w:tcPr>
            <w:tcW w:w="9000" w:type="dxa"/>
            <w:vAlign w:val="bottom"/>
            <w:tcBorders>
              <w:bottom w:val="single" w:sz="8" w:color="0563C1"/>
            </w:tcBorders>
            <w:gridSpan w:val="11"/>
            <w:shd w:val="clear" w:color="auto" w:fill="DAE8F0"/>
          </w:tcPr>
          <w:p>
            <w:pPr>
              <w:spacing w:after="0" w:line="156" w:lineRule="exact"/>
              <w:rPr>
                <w:rFonts w:ascii="Calibri" w:cs="Calibri" w:eastAsia="Calibri" w:hAnsi="Calibri"/>
                <w:sz w:val="16"/>
                <w:szCs w:val="16"/>
                <w:color w:val="0563C1"/>
              </w:rPr>
            </w:pPr>
            <w:hyperlink r:id="rId696">
              <w:r>
                <w:rPr>
                  <w:rFonts w:ascii="Calibri" w:cs="Calibri" w:eastAsia="Calibri" w:hAnsi="Calibri"/>
                  <w:sz w:val="16"/>
                  <w:szCs w:val="16"/>
                  <w:color w:val="0563C1"/>
                </w:rPr>
                <w:t>Fourteenth Amendment to Credit Agreement, dated as of September 21, 2022, among Martn Marieta Funding LLC, as</w:t>
              </w:r>
            </w:hyperlink>
          </w:p>
        </w:tc>
        <w:tc>
          <w:tcPr>
            <w:tcW w:w="120" w:type="dxa"/>
            <w:vAlign w:val="bottom"/>
            <w:tcBorders>
              <w:bottom w:val="single" w:sz="8" w:color="DAE8F0"/>
              <w:right w:val="single" w:sz="8" w:color="91BBD3"/>
            </w:tcBorders>
            <w:gridSpan w:val="3"/>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rPr>
            </w:pPr>
            <w:hyperlink r:id="rId696">
              <w:r>
                <w:rPr>
                  <w:rFonts w:ascii="Calibri" w:cs="Calibri" w:eastAsia="Calibri" w:hAnsi="Calibri"/>
                  <w:sz w:val="18"/>
                  <w:szCs w:val="18"/>
                  <w:color w:val="0563C1"/>
                </w:rPr>
                <w:t>borrower, Martn Marieta Materials, Inc., as servicer, and Truist Bank, successor by merger to SunTrust Bank, as lender</w:t>
              </w:r>
            </w:hyperlink>
          </w:p>
        </w:tc>
        <w:tc>
          <w:tcPr>
            <w:tcW w:w="120" w:type="dxa"/>
            <w:vAlign w:val="bottom"/>
            <w:tcBorders>
              <w:bottom w:val="single" w:sz="8" w:color="DAE8F0"/>
              <w:right w:val="single" w:sz="8" w:color="91BBD3"/>
            </w:tcBorders>
            <w:gridSpan w:val="3"/>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9"/>
            <w:shd w:val="clear" w:color="auto" w:fill="DAE8F0"/>
          </w:tcPr>
          <w:p>
            <w:pPr>
              <w:spacing w:after="0" w:line="196" w:lineRule="exact"/>
              <w:rPr>
                <w:rFonts w:ascii="Calibri" w:cs="Calibri" w:eastAsia="Calibri" w:hAnsi="Calibri"/>
                <w:sz w:val="18"/>
                <w:szCs w:val="18"/>
                <w:color w:val="0563C1"/>
                <w:w w:val="99"/>
              </w:rPr>
            </w:pPr>
            <w:hyperlink r:id="rId696">
              <w:r>
                <w:rPr>
                  <w:rFonts w:ascii="Calibri" w:cs="Calibri" w:eastAsia="Calibri" w:hAnsi="Calibri"/>
                  <w:sz w:val="18"/>
                  <w:szCs w:val="18"/>
                  <w:color w:val="0563C1"/>
                  <w:w w:val="99"/>
                </w:rPr>
                <w:t>together with the other lenders from tme to tme party thereto, and Truist Bank, successor by merger to Sun Trust Bank, as</w:t>
              </w:r>
            </w:hyperlink>
          </w:p>
        </w:tc>
        <w:tc>
          <w:tcPr>
            <w:tcW w:w="140" w:type="dxa"/>
            <w:vAlign w:val="bottom"/>
            <w:tcBorders>
              <w:left w:val="single" w:sz="8" w:color="DAE8F0"/>
              <w:bottom w:val="single" w:sz="8" w:color="DAE8F0"/>
              <w:right w:val="single" w:sz="8" w:color="91BBD3"/>
            </w:tcBorders>
            <w:gridSpan w:val="5"/>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9"/>
            <w:shd w:val="clear" w:color="auto" w:fill="DAE8F0"/>
          </w:tcPr>
          <w:p>
            <w:pPr>
              <w:spacing w:after="0" w:line="196" w:lineRule="exact"/>
              <w:rPr>
                <w:rFonts w:ascii="Calibri" w:cs="Calibri" w:eastAsia="Calibri" w:hAnsi="Calibri"/>
                <w:sz w:val="18"/>
                <w:szCs w:val="18"/>
                <w:color w:val="0563C1"/>
              </w:rPr>
            </w:pPr>
            <w:hyperlink r:id="rId696">
              <w:r>
                <w:rPr>
                  <w:rFonts w:ascii="Calibri" w:cs="Calibri" w:eastAsia="Calibri" w:hAnsi="Calibri"/>
                  <w:sz w:val="18"/>
                  <w:szCs w:val="18"/>
                  <w:color w:val="0563C1"/>
                </w:rPr>
                <w:t>administratve agent for the lenders (including a conformed copy of the Credit Agreement atached as Exhibit A thereto)</w:t>
              </w:r>
            </w:hyperlink>
          </w:p>
        </w:tc>
        <w:tc>
          <w:tcPr>
            <w:tcW w:w="140" w:type="dxa"/>
            <w:vAlign w:val="bottom"/>
            <w:tcBorders>
              <w:left w:val="single" w:sz="8" w:color="DAE8F0"/>
              <w:bottom w:val="single" w:sz="8" w:color="DAE8F0"/>
              <w:right w:val="single" w:sz="8" w:color="91BBD3"/>
            </w:tcBorders>
            <w:gridSpan w:val="5"/>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60" w:type="dxa"/>
            <w:vAlign w:val="bottom"/>
            <w:tcBorders>
              <w:bottom w:val="single" w:sz="8" w:color="0563C1"/>
            </w:tcBorders>
            <w:gridSpan w:val="10"/>
            <w:shd w:val="clear" w:color="auto" w:fill="DAE8F0"/>
          </w:tcPr>
          <w:p>
            <w:pPr>
              <w:spacing w:after="0" w:line="196" w:lineRule="exact"/>
              <w:rPr>
                <w:rFonts w:ascii="Calibri" w:cs="Calibri" w:eastAsia="Calibri" w:hAnsi="Calibri"/>
                <w:sz w:val="18"/>
                <w:szCs w:val="18"/>
                <w:color w:val="0563C1"/>
              </w:rPr>
            </w:pPr>
            <w:hyperlink r:id="rId696">
              <w:r>
                <w:rPr>
                  <w:rFonts w:ascii="Calibri" w:cs="Calibri" w:eastAsia="Calibri" w:hAnsi="Calibri"/>
                  <w:sz w:val="18"/>
                  <w:szCs w:val="18"/>
                  <w:color w:val="0563C1"/>
                </w:rPr>
                <w:t>(incorporated by reference to Exhibit 10.01 to the Martn Marieta Materials, Inc. Current Report on Form 8-K fled on</w:t>
              </w:r>
            </w:hyperlink>
          </w:p>
        </w:tc>
        <w:tc>
          <w:tcPr>
            <w:tcW w:w="60" w:type="dxa"/>
            <w:vAlign w:val="bottom"/>
            <w:tcBorders>
              <w:bottom w:val="single" w:sz="8" w:color="DAE8F0"/>
              <w:right w:val="single" w:sz="8" w:color="91BBD3"/>
            </w:tcBorders>
            <w:gridSpan w:val="4"/>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0" w:type="dxa"/>
            <w:vAlign w:val="bottom"/>
            <w:tcBorders>
              <w:right w:val="single" w:sz="8" w:color="91BBD3"/>
            </w:tcBorders>
          </w:tcPr>
          <w:p>
            <w:pPr>
              <w:spacing w:after="0"/>
              <w:rPr>
                <w:sz w:val="21"/>
                <w:szCs w:val="21"/>
                <w:color w:val="auto"/>
              </w:rPr>
            </w:pPr>
          </w:p>
        </w:tc>
        <w:tc>
          <w:tcPr>
            <w:tcW w:w="1660" w:type="dxa"/>
            <w:vAlign w:val="bottom"/>
            <w:tcBorders>
              <w:bottom w:val="single" w:sz="8" w:color="91BBD3"/>
              <w:right w:val="single" w:sz="8" w:color="91BBD3"/>
            </w:tcBorders>
            <w:shd w:val="clear" w:color="auto" w:fill="DAE8F0"/>
          </w:tcPr>
          <w:p>
            <w:pPr>
              <w:spacing w:after="0"/>
              <w:rPr>
                <w:sz w:val="21"/>
                <w:szCs w:val="21"/>
                <w:color w:val="auto"/>
              </w:rPr>
            </w:pPr>
          </w:p>
        </w:tc>
        <w:tc>
          <w:tcPr>
            <w:tcW w:w="100" w:type="dxa"/>
            <w:vAlign w:val="bottom"/>
            <w:tcBorders>
              <w:bottom w:val="single" w:sz="8" w:color="91BBD3"/>
            </w:tcBorders>
            <w:shd w:val="clear" w:color="auto" w:fill="DAE8F0"/>
          </w:tcPr>
          <w:p>
            <w:pPr>
              <w:spacing w:after="0"/>
              <w:rPr>
                <w:sz w:val="21"/>
                <w:szCs w:val="21"/>
                <w:color w:val="auto"/>
              </w:rPr>
            </w:pPr>
          </w:p>
        </w:tc>
        <w:tc>
          <w:tcPr>
            <w:tcW w:w="3740" w:type="dxa"/>
            <w:vAlign w:val="bottom"/>
            <w:tcBorders>
              <w:bottom w:val="single" w:sz="8" w:color="0000EE"/>
            </w:tcBorders>
            <w:gridSpan w:val="4"/>
            <w:shd w:val="clear" w:color="auto" w:fill="DAE8F0"/>
          </w:tcPr>
          <w:p>
            <w:pPr>
              <w:spacing w:after="0" w:line="196" w:lineRule="exact"/>
              <w:rPr>
                <w:rFonts w:ascii="Calibri" w:cs="Calibri" w:eastAsia="Calibri" w:hAnsi="Calibri"/>
                <w:sz w:val="18"/>
                <w:szCs w:val="18"/>
                <w:color w:val="0563C1"/>
                <w:w w:val="97"/>
              </w:rPr>
            </w:pPr>
            <w:hyperlink r:id="rId696">
              <w:r>
                <w:rPr>
                  <w:rFonts w:ascii="Calibri" w:cs="Calibri" w:eastAsia="Calibri" w:hAnsi="Calibri"/>
                  <w:sz w:val="18"/>
                  <w:szCs w:val="18"/>
                  <w:color w:val="0563C1"/>
                  <w:w w:val="97"/>
                </w:rPr>
                <w:t>September 21, 2022) (Commission File No. 1-12744)</w:t>
              </w:r>
            </w:hyperlink>
          </w:p>
        </w:tc>
        <w:tc>
          <w:tcPr>
            <w:tcW w:w="5380" w:type="dxa"/>
            <w:vAlign w:val="bottom"/>
            <w:tcBorders>
              <w:bottom w:val="single" w:sz="8" w:color="91BBD3"/>
              <w:right w:val="single" w:sz="8" w:color="91BBD3"/>
            </w:tcBorders>
            <w:gridSpan w:val="10"/>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tcPr>
          <w:p>
            <w:pPr>
              <w:jc w:val="right"/>
              <w:ind w:right="1080"/>
              <w:spacing w:after="0" w:line="156" w:lineRule="exact"/>
              <w:rPr>
                <w:sz w:val="20"/>
                <w:szCs w:val="20"/>
                <w:color w:val="auto"/>
              </w:rPr>
            </w:pPr>
            <w:r>
              <w:rPr>
                <w:rFonts w:ascii="Calibri" w:cs="Calibri" w:eastAsia="Calibri" w:hAnsi="Calibri"/>
                <w:sz w:val="16"/>
                <w:szCs w:val="16"/>
                <w:b w:val="1"/>
                <w:bCs w:val="1"/>
                <w:color w:val="auto"/>
              </w:rPr>
              <w:t>10.16</w:t>
            </w:r>
          </w:p>
        </w:tc>
        <w:tc>
          <w:tcPr>
            <w:tcW w:w="100" w:type="dxa"/>
            <w:vAlign w:val="bottom"/>
          </w:tcPr>
          <w:p>
            <w:pPr>
              <w:spacing w:after="0"/>
              <w:rPr>
                <w:sz w:val="13"/>
                <w:szCs w:val="13"/>
                <w:color w:val="auto"/>
              </w:rPr>
            </w:pPr>
          </w:p>
        </w:tc>
        <w:tc>
          <w:tcPr>
            <w:tcW w:w="9120" w:type="dxa"/>
            <w:vAlign w:val="bottom"/>
            <w:tcBorders>
              <w:right w:val="single" w:sz="8" w:color="91BBD3"/>
            </w:tcBorders>
            <w:gridSpan w:val="14"/>
          </w:tcPr>
          <w:p>
            <w:pPr>
              <w:spacing w:after="0" w:line="156" w:lineRule="exact"/>
              <w:rPr>
                <w:rFonts w:ascii="Calibri" w:cs="Calibri" w:eastAsia="Calibri" w:hAnsi="Calibri"/>
                <w:sz w:val="16"/>
                <w:szCs w:val="16"/>
                <w:color w:val="0563C1"/>
              </w:rPr>
            </w:pPr>
            <w:hyperlink r:id="rId697">
              <w:r>
                <w:rPr>
                  <w:rFonts w:ascii="Calibri" w:cs="Calibri" w:eastAsia="Calibri" w:hAnsi="Calibri"/>
                  <w:sz w:val="16"/>
                  <w:szCs w:val="16"/>
                  <w:color w:val="0563C1"/>
                </w:rPr>
                <w:t>Fifeenth Amendment to Credit Agreement, dated as of September 20, 2023, among Martn Marieta Funding LLC, as</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7760" w:type="dxa"/>
            <w:vAlign w:val="bottom"/>
            <w:gridSpan w:val="7"/>
            <w:shd w:val="clear" w:color="auto" w:fill="0563C1"/>
          </w:tcPr>
          <w:p>
            <w:pPr>
              <w:spacing w:after="0" w:line="20" w:lineRule="exact"/>
              <w:rPr>
                <w:sz w:val="1"/>
                <w:szCs w:val="1"/>
                <w:color w:val="auto"/>
              </w:rPr>
            </w:pPr>
          </w:p>
        </w:tc>
        <w:tc>
          <w:tcPr>
            <w:tcW w:w="140" w:type="dxa"/>
            <w:vAlign w:val="bottom"/>
            <w:tcBorders>
              <w:right w:val="single" w:sz="8" w:color="91BBD3"/>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697">
              <w:r>
                <w:rPr>
                  <w:rFonts w:ascii="Calibri" w:cs="Calibri" w:eastAsia="Calibri" w:hAnsi="Calibri"/>
                  <w:sz w:val="18"/>
                  <w:szCs w:val="18"/>
                  <w:color w:val="0563C1"/>
                </w:rPr>
                <w:t>borrower, Martn Marieta Materials, Inc., as servicer, and Truist Bank, successor by merger to SunTrust Bank, as lender</w:t>
              </w:r>
            </w:hyperlink>
          </w:p>
        </w:tc>
        <w:tc>
          <w:tcPr>
            <w:tcW w:w="120" w:type="dxa"/>
            <w:vAlign w:val="bottom"/>
            <w:tcBorders>
              <w:right w:val="single" w:sz="8" w:color="91BBD3"/>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9"/>
          </w:tcPr>
          <w:p>
            <w:pPr>
              <w:spacing w:after="0" w:line="196" w:lineRule="exact"/>
              <w:rPr>
                <w:rFonts w:ascii="Calibri" w:cs="Calibri" w:eastAsia="Calibri" w:hAnsi="Calibri"/>
                <w:sz w:val="18"/>
                <w:szCs w:val="18"/>
                <w:color w:val="0563C1"/>
                <w:w w:val="99"/>
              </w:rPr>
            </w:pPr>
            <w:hyperlink r:id="rId697">
              <w:r>
                <w:rPr>
                  <w:rFonts w:ascii="Calibri" w:cs="Calibri" w:eastAsia="Calibri" w:hAnsi="Calibri"/>
                  <w:sz w:val="18"/>
                  <w:szCs w:val="18"/>
                  <w:color w:val="0563C1"/>
                  <w:w w:val="99"/>
                </w:rPr>
                <w:t>together with the other lenders from tme to tme party thereto, and Truist Bank, successor by merger to Sun Trust Bank, as</w:t>
              </w:r>
            </w:hyperlink>
          </w:p>
        </w:tc>
        <w:tc>
          <w:tcPr>
            <w:tcW w:w="140" w:type="dxa"/>
            <w:vAlign w:val="bottom"/>
            <w:tcBorders>
              <w:right w:val="single" w:sz="8" w:color="91BBD3"/>
            </w:tcBorders>
            <w:gridSpan w:val="5"/>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9"/>
          </w:tcPr>
          <w:p>
            <w:pPr>
              <w:spacing w:after="0" w:line="196" w:lineRule="exact"/>
              <w:rPr>
                <w:rFonts w:ascii="Calibri" w:cs="Calibri" w:eastAsia="Calibri" w:hAnsi="Calibri"/>
                <w:sz w:val="18"/>
                <w:szCs w:val="18"/>
                <w:color w:val="0563C1"/>
              </w:rPr>
            </w:pPr>
            <w:hyperlink r:id="rId697">
              <w:r>
                <w:rPr>
                  <w:rFonts w:ascii="Calibri" w:cs="Calibri" w:eastAsia="Calibri" w:hAnsi="Calibri"/>
                  <w:sz w:val="18"/>
                  <w:szCs w:val="18"/>
                  <w:color w:val="0563C1"/>
                </w:rPr>
                <w:t>administratve agent for the lenders (including a conformed copy of the Credit Agreement atached as Exhibit A thereto)</w:t>
              </w:r>
            </w:hyperlink>
          </w:p>
        </w:tc>
        <w:tc>
          <w:tcPr>
            <w:tcW w:w="140" w:type="dxa"/>
            <w:vAlign w:val="bottom"/>
            <w:tcBorders>
              <w:right w:val="single" w:sz="8" w:color="91BBD3"/>
            </w:tcBorders>
            <w:gridSpan w:val="5"/>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line="196" w:lineRule="exact"/>
              <w:rPr>
                <w:rFonts w:ascii="Calibri" w:cs="Calibri" w:eastAsia="Calibri" w:hAnsi="Calibri"/>
                <w:sz w:val="18"/>
                <w:szCs w:val="18"/>
                <w:color w:val="0563C1"/>
              </w:rPr>
            </w:pPr>
            <w:hyperlink r:id="rId697">
              <w:r>
                <w:rPr>
                  <w:rFonts w:ascii="Calibri" w:cs="Calibri" w:eastAsia="Calibri" w:hAnsi="Calibri"/>
                  <w:sz w:val="18"/>
                  <w:szCs w:val="18"/>
                  <w:color w:val="0563C1"/>
                </w:rPr>
                <w:t>(incorporated by reference to Exhibit 10.1 to the Martn Marieta Materials, Inc., Current Report on Form 8-K fled on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9"/>
          </w:tcPr>
          <w:p>
            <w:pPr>
              <w:spacing w:after="0" w:line="196" w:lineRule="exact"/>
              <w:rPr>
                <w:rFonts w:ascii="Calibri" w:cs="Calibri" w:eastAsia="Calibri" w:hAnsi="Calibri"/>
                <w:sz w:val="18"/>
                <w:szCs w:val="18"/>
                <w:color w:val="0563C1"/>
              </w:rPr>
            </w:pPr>
            <w:hyperlink r:id="rId697">
              <w:r>
                <w:rPr>
                  <w:rFonts w:ascii="Calibri" w:cs="Calibri" w:eastAsia="Calibri" w:hAnsi="Calibri"/>
                  <w:sz w:val="18"/>
                  <w:szCs w:val="18"/>
                  <w:color w:val="0563C1"/>
                </w:rPr>
                <w:t>September 20, 2023) (Commission File No. 1-12744)</w:t>
              </w:r>
            </w:hyperlink>
          </w:p>
        </w:tc>
        <w:tc>
          <w:tcPr>
            <w:tcW w:w="140" w:type="dxa"/>
            <w:vAlign w:val="bottom"/>
            <w:tcBorders>
              <w:right w:val="single" w:sz="8" w:color="91BBD3"/>
            </w:tcBorders>
            <w:gridSpan w:val="5"/>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500" w:type="dxa"/>
            <w:vAlign w:val="bottom"/>
            <w:tcBorders>
              <w:top w:val="single" w:sz="8" w:color="0563C1"/>
              <w:bottom w:val="single" w:sz="8" w:color="91BBD3"/>
            </w:tcBorders>
          </w:tcPr>
          <w:p>
            <w:pPr>
              <w:spacing w:after="0"/>
              <w:rPr>
                <w:sz w:val="2"/>
                <w:szCs w:val="2"/>
                <w:color w:val="auto"/>
              </w:rPr>
            </w:pPr>
          </w:p>
        </w:tc>
        <w:tc>
          <w:tcPr>
            <w:tcW w:w="720" w:type="dxa"/>
            <w:vAlign w:val="bottom"/>
            <w:tcBorders>
              <w:top w:val="single" w:sz="8" w:color="0563C1"/>
              <w:bottom w:val="single" w:sz="8" w:color="91BBD3"/>
            </w:tcBorders>
          </w:tcPr>
          <w:p>
            <w:pPr>
              <w:spacing w:after="0"/>
              <w:rPr>
                <w:sz w:val="2"/>
                <w:szCs w:val="2"/>
                <w:color w:val="auto"/>
              </w:rPr>
            </w:pPr>
          </w:p>
        </w:tc>
        <w:tc>
          <w:tcPr>
            <w:tcW w:w="2500" w:type="dxa"/>
            <w:vAlign w:val="bottom"/>
            <w:tcBorders>
              <w:top w:val="single" w:sz="8" w:color="0563C1"/>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1980" w:type="dxa"/>
            <w:vAlign w:val="bottom"/>
            <w:tcBorders>
              <w:bottom w:val="single" w:sz="8" w:color="91BBD3"/>
            </w:tcBorders>
          </w:tcPr>
          <w:p>
            <w:pPr>
              <w:spacing w:after="0"/>
              <w:rPr>
                <w:sz w:val="2"/>
                <w:szCs w:val="2"/>
                <w:color w:val="auto"/>
              </w:rPr>
            </w:pPr>
          </w:p>
        </w:tc>
        <w:tc>
          <w:tcPr>
            <w:tcW w:w="880" w:type="dxa"/>
            <w:vAlign w:val="bottom"/>
            <w:tcBorders>
              <w:bottom w:val="single" w:sz="8" w:color="91BBD3"/>
            </w:tcBorders>
          </w:tcPr>
          <w:p>
            <w:pPr>
              <w:spacing w:after="0"/>
              <w:rPr>
                <w:sz w:val="2"/>
                <w:szCs w:val="2"/>
                <w:color w:val="auto"/>
              </w:rPr>
            </w:pPr>
          </w:p>
        </w:tc>
        <w:tc>
          <w:tcPr>
            <w:tcW w:w="1500" w:type="dxa"/>
            <w:vAlign w:val="bottom"/>
            <w:tcBorders>
              <w:bottom w:val="single" w:sz="8" w:color="91BBD3"/>
            </w:tcBorders>
          </w:tcPr>
          <w:p>
            <w:pPr>
              <w:spacing w:after="0"/>
              <w:rPr>
                <w:sz w:val="2"/>
                <w:szCs w:val="2"/>
                <w:color w:val="auto"/>
              </w:rPr>
            </w:pPr>
          </w:p>
        </w:tc>
        <w:tc>
          <w:tcPr>
            <w:tcW w:w="72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80" w:type="dxa"/>
            <w:vAlign w:val="bottom"/>
            <w:tcBorders>
              <w:bottom w:val="single" w:sz="8" w:color="91BBD3"/>
            </w:tcBorders>
          </w:tcPr>
          <w:p>
            <w:pPr>
              <w:spacing w:after="0"/>
              <w:rPr>
                <w:sz w:val="2"/>
                <w:szCs w:val="2"/>
                <w:color w:val="auto"/>
              </w:rPr>
            </w:pPr>
          </w:p>
        </w:tc>
        <w:tc>
          <w:tcPr>
            <w:tcW w:w="4294967237"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8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80"/>
              <w:spacing w:after="0" w:line="156" w:lineRule="exact"/>
              <w:rPr>
                <w:sz w:val="20"/>
                <w:szCs w:val="20"/>
                <w:color w:val="auto"/>
              </w:rPr>
            </w:pPr>
            <w:r>
              <w:rPr>
                <w:rFonts w:ascii="Calibri" w:cs="Calibri" w:eastAsia="Calibri" w:hAnsi="Calibri"/>
                <w:sz w:val="16"/>
                <w:szCs w:val="16"/>
                <w:b w:val="1"/>
                <w:bCs w:val="1"/>
                <w:color w:val="auto"/>
              </w:rPr>
              <w:t>10.17</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4"/>
            <w:shd w:val="clear" w:color="auto" w:fill="DAE8F0"/>
          </w:tcPr>
          <w:p>
            <w:pPr>
              <w:spacing w:after="0" w:line="156" w:lineRule="exact"/>
              <w:rPr>
                <w:rFonts w:ascii="Calibri" w:cs="Calibri" w:eastAsia="Calibri" w:hAnsi="Calibri"/>
                <w:sz w:val="16"/>
                <w:szCs w:val="16"/>
                <w:color w:val="0563C1"/>
              </w:rPr>
            </w:pPr>
            <w:hyperlink r:id="rId698">
              <w:r>
                <w:rPr>
                  <w:rFonts w:ascii="Calibri" w:cs="Calibri" w:eastAsia="Calibri" w:hAnsi="Calibri"/>
                  <w:sz w:val="16"/>
                  <w:szCs w:val="16"/>
                  <w:color w:val="0563C1"/>
                </w:rPr>
                <w:t>Sixteenth Amendment to Credit Agreement, dated as of September 18, 2024, among Martn Marieta Funding LLC, as</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220" w:type="dxa"/>
            <w:vAlign w:val="bottom"/>
            <w:gridSpan w:val="2"/>
            <w:shd w:val="clear" w:color="auto" w:fill="0563C1"/>
          </w:tcPr>
          <w:p>
            <w:pPr>
              <w:spacing w:after="0" w:line="20" w:lineRule="exact"/>
              <w:rPr>
                <w:sz w:val="1"/>
                <w:szCs w:val="1"/>
                <w:color w:val="auto"/>
              </w:rPr>
            </w:pPr>
          </w:p>
        </w:tc>
        <w:tc>
          <w:tcPr>
            <w:tcW w:w="7760" w:type="dxa"/>
            <w:vAlign w:val="bottom"/>
            <w:gridSpan w:val="7"/>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gridSpan w:val="5"/>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rPr>
            </w:pPr>
            <w:hyperlink r:id="rId698">
              <w:r>
                <w:rPr>
                  <w:rFonts w:ascii="Calibri" w:cs="Calibri" w:eastAsia="Calibri" w:hAnsi="Calibri"/>
                  <w:sz w:val="18"/>
                  <w:szCs w:val="18"/>
                  <w:color w:val="0563C1"/>
                </w:rPr>
                <w:t>borrower, Martn Marieta Materials, Inc., as servicer, and Truist Bank, successor by merger to SunTrust Bank, as lender</w:t>
              </w:r>
            </w:hyperlink>
          </w:p>
        </w:tc>
        <w:tc>
          <w:tcPr>
            <w:tcW w:w="120" w:type="dxa"/>
            <w:vAlign w:val="bottom"/>
            <w:tcBorders>
              <w:bottom w:val="single" w:sz="8" w:color="DAE8F0"/>
              <w:right w:val="single" w:sz="8" w:color="91BBD3"/>
            </w:tcBorders>
            <w:gridSpan w:val="3"/>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9"/>
            <w:shd w:val="clear" w:color="auto" w:fill="DAE8F0"/>
          </w:tcPr>
          <w:p>
            <w:pPr>
              <w:spacing w:after="0" w:line="196" w:lineRule="exact"/>
              <w:rPr>
                <w:rFonts w:ascii="Calibri" w:cs="Calibri" w:eastAsia="Calibri" w:hAnsi="Calibri"/>
                <w:sz w:val="18"/>
                <w:szCs w:val="18"/>
                <w:color w:val="0563C1"/>
                <w:w w:val="99"/>
              </w:rPr>
            </w:pPr>
            <w:hyperlink r:id="rId698">
              <w:r>
                <w:rPr>
                  <w:rFonts w:ascii="Calibri" w:cs="Calibri" w:eastAsia="Calibri" w:hAnsi="Calibri"/>
                  <w:sz w:val="18"/>
                  <w:szCs w:val="18"/>
                  <w:color w:val="0563C1"/>
                  <w:w w:val="99"/>
                </w:rPr>
                <w:t>together with the other lenders from tme to tme party thereto, and Truist Bank, successor by merger to Sun Trust Bank, as</w:t>
              </w:r>
            </w:hyperlink>
          </w:p>
        </w:tc>
        <w:tc>
          <w:tcPr>
            <w:tcW w:w="140" w:type="dxa"/>
            <w:vAlign w:val="bottom"/>
            <w:tcBorders>
              <w:left w:val="single" w:sz="8" w:color="DAE8F0"/>
              <w:bottom w:val="single" w:sz="8" w:color="DAE8F0"/>
              <w:right w:val="single" w:sz="8" w:color="91BBD3"/>
            </w:tcBorders>
            <w:gridSpan w:val="5"/>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9"/>
            <w:shd w:val="clear" w:color="auto" w:fill="DAE8F0"/>
          </w:tcPr>
          <w:p>
            <w:pPr>
              <w:spacing w:after="0" w:line="196" w:lineRule="exact"/>
              <w:rPr>
                <w:rFonts w:ascii="Calibri" w:cs="Calibri" w:eastAsia="Calibri" w:hAnsi="Calibri"/>
                <w:sz w:val="18"/>
                <w:szCs w:val="18"/>
                <w:color w:val="0563C1"/>
              </w:rPr>
            </w:pPr>
            <w:hyperlink r:id="rId698">
              <w:r>
                <w:rPr>
                  <w:rFonts w:ascii="Calibri" w:cs="Calibri" w:eastAsia="Calibri" w:hAnsi="Calibri"/>
                  <w:sz w:val="18"/>
                  <w:szCs w:val="18"/>
                  <w:color w:val="0563C1"/>
                </w:rPr>
                <w:t>administratve agent for the lenders (including a conformed copy of the Credit Agreement atached as Exhibit A thereto)</w:t>
              </w:r>
            </w:hyperlink>
          </w:p>
        </w:tc>
        <w:tc>
          <w:tcPr>
            <w:tcW w:w="140" w:type="dxa"/>
            <w:vAlign w:val="bottom"/>
            <w:tcBorders>
              <w:left w:val="single" w:sz="8" w:color="DAE8F0"/>
              <w:bottom w:val="single" w:sz="8" w:color="DAE8F0"/>
              <w:right w:val="single" w:sz="8" w:color="91BBD3"/>
            </w:tcBorders>
            <w:gridSpan w:val="5"/>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0" w:type="dxa"/>
            <w:vAlign w:val="bottom"/>
            <w:tcBorders>
              <w:right w:val="single" w:sz="8" w:color="91BBD3"/>
            </w:tcBorders>
          </w:tcPr>
          <w:p>
            <w:pPr>
              <w:spacing w:after="0"/>
              <w:rPr>
                <w:sz w:val="21"/>
                <w:szCs w:val="21"/>
                <w:color w:val="auto"/>
              </w:rPr>
            </w:pPr>
          </w:p>
        </w:tc>
        <w:tc>
          <w:tcPr>
            <w:tcW w:w="1660" w:type="dxa"/>
            <w:vAlign w:val="bottom"/>
            <w:tcBorders>
              <w:bottom w:val="single" w:sz="8" w:color="91BBD3"/>
              <w:right w:val="single" w:sz="8" w:color="91BBD3"/>
            </w:tcBorders>
            <w:shd w:val="clear" w:color="auto" w:fill="DAE8F0"/>
          </w:tcPr>
          <w:p>
            <w:pPr>
              <w:spacing w:after="0"/>
              <w:rPr>
                <w:sz w:val="21"/>
                <w:szCs w:val="21"/>
                <w:color w:val="auto"/>
              </w:rPr>
            </w:pPr>
          </w:p>
        </w:tc>
        <w:tc>
          <w:tcPr>
            <w:tcW w:w="100" w:type="dxa"/>
            <w:vAlign w:val="bottom"/>
            <w:tcBorders>
              <w:bottom w:val="single" w:sz="8" w:color="91BBD3"/>
            </w:tcBorders>
            <w:shd w:val="clear" w:color="auto" w:fill="DAE8F0"/>
          </w:tcPr>
          <w:p>
            <w:pPr>
              <w:spacing w:after="0"/>
              <w:rPr>
                <w:sz w:val="21"/>
                <w:szCs w:val="21"/>
                <w:color w:val="auto"/>
              </w:rPr>
            </w:pPr>
          </w:p>
        </w:tc>
        <w:tc>
          <w:tcPr>
            <w:tcW w:w="1220" w:type="dxa"/>
            <w:vAlign w:val="bottom"/>
            <w:tcBorders>
              <w:bottom w:val="single" w:sz="8" w:color="0000EE"/>
            </w:tcBorders>
            <w:gridSpan w:val="2"/>
            <w:shd w:val="clear" w:color="auto" w:fill="DAE8F0"/>
          </w:tcPr>
          <w:p>
            <w:pPr>
              <w:spacing w:after="0" w:line="196" w:lineRule="exact"/>
              <w:rPr>
                <w:rFonts w:ascii="Calibri" w:cs="Calibri" w:eastAsia="Calibri" w:hAnsi="Calibri"/>
                <w:sz w:val="18"/>
                <w:szCs w:val="18"/>
                <w:color w:val="0563C1"/>
                <w:w w:val="98"/>
              </w:rPr>
            </w:pPr>
            <w:hyperlink r:id="rId698">
              <w:r>
                <w:rPr>
                  <w:rFonts w:ascii="Calibri" w:cs="Calibri" w:eastAsia="Calibri" w:hAnsi="Calibri"/>
                  <w:sz w:val="18"/>
                  <w:szCs w:val="18"/>
                  <w:color w:val="0563C1"/>
                  <w:w w:val="98"/>
                </w:rPr>
                <w:t>(incorporated by</w:t>
              </w:r>
            </w:hyperlink>
          </w:p>
        </w:tc>
        <w:tc>
          <w:tcPr>
            <w:tcW w:w="7900" w:type="dxa"/>
            <w:vAlign w:val="bottom"/>
            <w:tcBorders>
              <w:bottom w:val="single" w:sz="8" w:color="91BBD3"/>
              <w:right w:val="single" w:sz="8" w:color="91BBD3"/>
            </w:tcBorders>
            <w:gridSpan w:val="12"/>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860" w:type="dxa"/>
            <w:vAlign w:val="bottom"/>
            <w:gridSpan w:val="2"/>
          </w:tcPr>
          <w:p>
            <w:pPr>
              <w:jc w:val="right"/>
              <w:ind w:right="48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110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9496723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-762635</wp:posOffset>
            </wp:positionV>
            <wp:extent cx="325755" cy="1968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9">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308"/>
        </w:trPr>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0" w:type="dxa"/>
            <w:vAlign w:val="bottom"/>
            <w:gridSpan w:val="7"/>
          </w:tcPr>
          <w:p>
            <w:pPr>
              <w:ind w:left="60"/>
              <w:spacing w:after="0"/>
              <w:rPr>
                <w:sz w:val="20"/>
                <w:szCs w:val="20"/>
                <w:color w:val="auto"/>
              </w:rPr>
            </w:pPr>
            <w:r>
              <w:rPr>
                <w:rFonts w:ascii="MS PGothic" w:cs="MS PGothic" w:eastAsia="MS PGothic" w:hAnsi="MS PGothic"/>
                <w:sz w:val="18"/>
                <w:szCs w:val="18"/>
                <w:color w:val="auto"/>
                <w:w w:val="93"/>
              </w:rPr>
              <w:t xml:space="preserve">Part IV </w:t>
            </w:r>
            <w:r>
              <w:rPr>
                <w:rFonts w:ascii="Arial" w:cs="Arial" w:eastAsia="Arial" w:hAnsi="Arial"/>
                <w:sz w:val="23"/>
                <w:szCs w:val="23"/>
                <w:color w:val="0070C0"/>
                <w:w w:val="93"/>
              </w:rPr>
              <w:t>♦</w:t>
            </w:r>
            <w:r>
              <w:rPr>
                <w:rFonts w:ascii="MS PGothic" w:cs="MS PGothic" w:eastAsia="MS PGothic" w:hAnsi="MS PGothic"/>
                <w:sz w:val="18"/>
                <w:szCs w:val="18"/>
                <w:color w:val="auto"/>
                <w:w w:val="93"/>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166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660" w:type="dxa"/>
            <w:vAlign w:val="bottom"/>
            <w:tcBorders>
              <w:bottom w:val="single" w:sz="8" w:color="007DC6"/>
            </w:tcBorders>
          </w:tcPr>
          <w:p>
            <w:pPr>
              <w:spacing w:after="0"/>
              <w:rPr>
                <w:sz w:val="14"/>
                <w:szCs w:val="14"/>
                <w:color w:val="auto"/>
              </w:rPr>
            </w:pPr>
          </w:p>
        </w:tc>
        <w:tc>
          <w:tcPr>
            <w:tcW w:w="440" w:type="dxa"/>
            <w:vAlign w:val="bottom"/>
            <w:tcBorders>
              <w:bottom w:val="single" w:sz="8" w:color="007DC6"/>
            </w:tcBorders>
          </w:tcPr>
          <w:p>
            <w:pPr>
              <w:spacing w:after="0"/>
              <w:rPr>
                <w:sz w:val="14"/>
                <w:szCs w:val="14"/>
                <w:color w:val="auto"/>
              </w:rPr>
            </w:pPr>
          </w:p>
        </w:tc>
        <w:tc>
          <w:tcPr>
            <w:tcW w:w="280" w:type="dxa"/>
            <w:vAlign w:val="bottom"/>
            <w:tcBorders>
              <w:bottom w:val="single" w:sz="8" w:color="007DC6"/>
            </w:tcBorders>
          </w:tcPr>
          <w:p>
            <w:pPr>
              <w:spacing w:after="0"/>
              <w:rPr>
                <w:sz w:val="14"/>
                <w:szCs w:val="14"/>
                <w:color w:val="auto"/>
              </w:rPr>
            </w:pPr>
          </w:p>
        </w:tc>
        <w:tc>
          <w:tcPr>
            <w:tcW w:w="800" w:type="dxa"/>
            <w:vAlign w:val="bottom"/>
            <w:tcBorders>
              <w:bottom w:val="single" w:sz="8" w:color="007DC6"/>
            </w:tcBorders>
          </w:tcPr>
          <w:p>
            <w:pPr>
              <w:spacing w:after="0"/>
              <w:rPr>
                <w:sz w:val="14"/>
                <w:szCs w:val="14"/>
                <w:color w:val="auto"/>
              </w:rPr>
            </w:pPr>
          </w:p>
        </w:tc>
        <w:tc>
          <w:tcPr>
            <w:tcW w:w="160" w:type="dxa"/>
            <w:vAlign w:val="bottom"/>
            <w:tcBorders>
              <w:bottom w:val="single" w:sz="8" w:color="007DC6"/>
            </w:tcBorders>
          </w:tcPr>
          <w:p>
            <w:pPr>
              <w:spacing w:after="0"/>
              <w:rPr>
                <w:sz w:val="14"/>
                <w:szCs w:val="14"/>
                <w:color w:val="auto"/>
              </w:rPr>
            </w:pPr>
          </w:p>
        </w:tc>
        <w:tc>
          <w:tcPr>
            <w:tcW w:w="460" w:type="dxa"/>
            <w:vAlign w:val="bottom"/>
            <w:tcBorders>
              <w:bottom w:val="single" w:sz="8" w:color="007DC6"/>
            </w:tcBorders>
          </w:tcPr>
          <w:p>
            <w:pPr>
              <w:spacing w:after="0"/>
              <w:rPr>
                <w:sz w:val="14"/>
                <w:szCs w:val="14"/>
                <w:color w:val="auto"/>
              </w:rPr>
            </w:pPr>
          </w:p>
        </w:tc>
        <w:tc>
          <w:tcPr>
            <w:tcW w:w="620" w:type="dxa"/>
            <w:vAlign w:val="bottom"/>
            <w:tcBorders>
              <w:bottom w:val="single" w:sz="8" w:color="007DC6"/>
            </w:tcBorders>
          </w:tcPr>
          <w:p>
            <w:pPr>
              <w:spacing w:after="0"/>
              <w:rPr>
                <w:sz w:val="14"/>
                <w:szCs w:val="14"/>
                <w:color w:val="auto"/>
              </w:rPr>
            </w:pPr>
          </w:p>
        </w:tc>
        <w:tc>
          <w:tcPr>
            <w:tcW w:w="1260" w:type="dxa"/>
            <w:vAlign w:val="bottom"/>
            <w:tcBorders>
              <w:bottom w:val="single" w:sz="8" w:color="007DC6"/>
            </w:tcBorders>
          </w:tcPr>
          <w:p>
            <w:pPr>
              <w:spacing w:after="0"/>
              <w:rPr>
                <w:sz w:val="14"/>
                <w:szCs w:val="14"/>
                <w:color w:val="auto"/>
              </w:rPr>
            </w:pPr>
          </w:p>
        </w:tc>
        <w:tc>
          <w:tcPr>
            <w:tcW w:w="1280" w:type="dxa"/>
            <w:vAlign w:val="bottom"/>
            <w:tcBorders>
              <w:bottom w:val="single" w:sz="8" w:color="007DC6"/>
            </w:tcBorders>
          </w:tcPr>
          <w:p>
            <w:pPr>
              <w:spacing w:after="0"/>
              <w:rPr>
                <w:sz w:val="14"/>
                <w:szCs w:val="14"/>
                <w:color w:val="auto"/>
              </w:rPr>
            </w:pPr>
          </w:p>
        </w:tc>
        <w:tc>
          <w:tcPr>
            <w:tcW w:w="420" w:type="dxa"/>
            <w:vAlign w:val="bottom"/>
            <w:tcBorders>
              <w:bottom w:val="single" w:sz="8" w:color="007DC6"/>
            </w:tcBorders>
          </w:tcPr>
          <w:p>
            <w:pPr>
              <w:spacing w:after="0"/>
              <w:rPr>
                <w:sz w:val="14"/>
                <w:szCs w:val="14"/>
                <w:color w:val="auto"/>
              </w:rPr>
            </w:pPr>
          </w:p>
        </w:tc>
        <w:tc>
          <w:tcPr>
            <w:tcW w:w="320" w:type="dxa"/>
            <w:vAlign w:val="bottom"/>
            <w:tcBorders>
              <w:bottom w:val="single" w:sz="8" w:color="007DC6"/>
            </w:tcBorders>
          </w:tcPr>
          <w:p>
            <w:pPr>
              <w:spacing w:after="0"/>
              <w:rPr>
                <w:sz w:val="14"/>
                <w:szCs w:val="14"/>
                <w:color w:val="auto"/>
              </w:rPr>
            </w:pPr>
          </w:p>
        </w:tc>
        <w:tc>
          <w:tcPr>
            <w:tcW w:w="220" w:type="dxa"/>
            <w:vAlign w:val="bottom"/>
            <w:tcBorders>
              <w:bottom w:val="single" w:sz="8" w:color="007DC6"/>
            </w:tcBorders>
          </w:tcPr>
          <w:p>
            <w:pPr>
              <w:spacing w:after="0"/>
              <w:rPr>
                <w:sz w:val="14"/>
                <w:szCs w:val="14"/>
                <w:color w:val="auto"/>
              </w:rPr>
            </w:pPr>
          </w:p>
        </w:tc>
        <w:tc>
          <w:tcPr>
            <w:tcW w:w="2060" w:type="dxa"/>
            <w:vAlign w:val="bottom"/>
            <w:tcBorders>
              <w:bottom w:val="single" w:sz="8" w:color="007DC6"/>
            </w:tcBorders>
          </w:tcPr>
          <w:p>
            <w:pPr>
              <w:spacing w:after="0"/>
              <w:rPr>
                <w:sz w:val="14"/>
                <w:szCs w:val="14"/>
                <w:color w:val="auto"/>
              </w:rPr>
            </w:pPr>
          </w:p>
        </w:tc>
        <w:tc>
          <w:tcPr>
            <w:tcW w:w="140" w:type="dxa"/>
            <w:vAlign w:val="bottom"/>
            <w:tcBorders>
              <w:bottom w:val="single" w:sz="8" w:color="007DC6"/>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4"/>
        </w:trPr>
        <w:tc>
          <w:tcPr>
            <w:tcW w:w="200" w:type="dxa"/>
            <w:vAlign w:val="bottom"/>
            <w:tcBorders>
              <w:right w:val="single" w:sz="8" w:color="91BBD3"/>
            </w:tcBorders>
          </w:tcPr>
          <w:p>
            <w:pPr>
              <w:spacing w:after="0"/>
              <w:rPr>
                <w:sz w:val="24"/>
                <w:szCs w:val="24"/>
                <w:color w:val="auto"/>
              </w:rPr>
            </w:pPr>
          </w:p>
        </w:tc>
        <w:tc>
          <w:tcPr>
            <w:tcW w:w="1660" w:type="dxa"/>
            <w:vAlign w:val="bottom"/>
            <w:tcBorders>
              <w:bottom w:val="single" w:sz="8" w:color="007DC6"/>
              <w:right w:val="single" w:sz="8" w:color="91BBD3"/>
            </w:tcBorders>
            <w:shd w:val="clear" w:color="auto" w:fill="007DC6"/>
          </w:tcPr>
          <w:p>
            <w:pPr>
              <w:jc w:val="right"/>
              <w:ind w:right="361"/>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660" w:type="dxa"/>
            <w:vAlign w:val="bottom"/>
            <w:tcBorders>
              <w:bottom w:val="single" w:sz="8" w:color="007DC6"/>
            </w:tcBorders>
            <w:shd w:val="clear" w:color="auto" w:fill="007DC6"/>
          </w:tcPr>
          <w:p>
            <w:pPr>
              <w:spacing w:after="0"/>
              <w:rPr>
                <w:sz w:val="24"/>
                <w:szCs w:val="24"/>
                <w:color w:val="auto"/>
              </w:rPr>
            </w:pPr>
          </w:p>
        </w:tc>
        <w:tc>
          <w:tcPr>
            <w:tcW w:w="440" w:type="dxa"/>
            <w:vAlign w:val="bottom"/>
            <w:tcBorders>
              <w:bottom w:val="single" w:sz="8" w:color="007DC6"/>
            </w:tcBorders>
            <w:shd w:val="clear" w:color="auto" w:fill="007DC6"/>
          </w:tcPr>
          <w:p>
            <w:pPr>
              <w:spacing w:after="0"/>
              <w:rPr>
                <w:sz w:val="24"/>
                <w:szCs w:val="24"/>
                <w:color w:val="auto"/>
              </w:rPr>
            </w:pPr>
          </w:p>
        </w:tc>
        <w:tc>
          <w:tcPr>
            <w:tcW w:w="280" w:type="dxa"/>
            <w:vAlign w:val="bottom"/>
            <w:tcBorders>
              <w:bottom w:val="single" w:sz="8" w:color="007DC6"/>
            </w:tcBorders>
            <w:shd w:val="clear" w:color="auto" w:fill="007DC6"/>
          </w:tcPr>
          <w:p>
            <w:pPr>
              <w:spacing w:after="0"/>
              <w:rPr>
                <w:sz w:val="24"/>
                <w:szCs w:val="24"/>
                <w:color w:val="auto"/>
              </w:rPr>
            </w:pPr>
          </w:p>
        </w:tc>
        <w:tc>
          <w:tcPr>
            <w:tcW w:w="800" w:type="dxa"/>
            <w:vAlign w:val="bottom"/>
            <w:tcBorders>
              <w:bottom w:val="single" w:sz="8" w:color="007DC6"/>
            </w:tcBorders>
            <w:shd w:val="clear" w:color="auto" w:fill="007DC6"/>
          </w:tcPr>
          <w:p>
            <w:pPr>
              <w:spacing w:after="0"/>
              <w:rPr>
                <w:sz w:val="24"/>
                <w:szCs w:val="24"/>
                <w:color w:val="auto"/>
              </w:rPr>
            </w:pPr>
          </w:p>
        </w:tc>
        <w:tc>
          <w:tcPr>
            <w:tcW w:w="160" w:type="dxa"/>
            <w:vAlign w:val="bottom"/>
            <w:tcBorders>
              <w:bottom w:val="single" w:sz="8" w:color="007DC6"/>
            </w:tcBorders>
            <w:shd w:val="clear" w:color="auto" w:fill="007DC6"/>
          </w:tcPr>
          <w:p>
            <w:pPr>
              <w:spacing w:after="0"/>
              <w:rPr>
                <w:sz w:val="24"/>
                <w:szCs w:val="24"/>
                <w:color w:val="auto"/>
              </w:rPr>
            </w:pPr>
          </w:p>
        </w:tc>
        <w:tc>
          <w:tcPr>
            <w:tcW w:w="460" w:type="dxa"/>
            <w:vAlign w:val="bottom"/>
            <w:tcBorders>
              <w:bottom w:val="single" w:sz="8" w:color="007DC6"/>
            </w:tcBorders>
            <w:shd w:val="clear" w:color="auto" w:fill="007DC6"/>
          </w:tcPr>
          <w:p>
            <w:pPr>
              <w:spacing w:after="0"/>
              <w:rPr>
                <w:sz w:val="24"/>
                <w:szCs w:val="24"/>
                <w:color w:val="auto"/>
              </w:rPr>
            </w:pPr>
          </w:p>
        </w:tc>
        <w:tc>
          <w:tcPr>
            <w:tcW w:w="620" w:type="dxa"/>
            <w:vAlign w:val="bottom"/>
            <w:tcBorders>
              <w:bottom w:val="single" w:sz="8" w:color="007DC6"/>
            </w:tcBorders>
            <w:shd w:val="clear" w:color="auto" w:fill="007DC6"/>
          </w:tcPr>
          <w:p>
            <w:pPr>
              <w:spacing w:after="0"/>
              <w:rPr>
                <w:sz w:val="24"/>
                <w:szCs w:val="24"/>
                <w:color w:val="auto"/>
              </w:rPr>
            </w:pPr>
          </w:p>
        </w:tc>
        <w:tc>
          <w:tcPr>
            <w:tcW w:w="1260" w:type="dxa"/>
            <w:vAlign w:val="bottom"/>
            <w:tcBorders>
              <w:bottom w:val="single" w:sz="8" w:color="007DC6"/>
            </w:tcBorders>
            <w:shd w:val="clear" w:color="auto" w:fill="007DC6"/>
          </w:tcPr>
          <w:p>
            <w:pPr>
              <w:spacing w:after="0"/>
              <w:rPr>
                <w:sz w:val="24"/>
                <w:szCs w:val="24"/>
                <w:color w:val="auto"/>
              </w:rPr>
            </w:pPr>
          </w:p>
        </w:tc>
        <w:tc>
          <w:tcPr>
            <w:tcW w:w="1280" w:type="dxa"/>
            <w:vAlign w:val="bottom"/>
            <w:tcBorders>
              <w:bottom w:val="single" w:sz="8" w:color="007DC6"/>
            </w:tcBorders>
            <w:shd w:val="clear" w:color="auto" w:fill="007DC6"/>
          </w:tcPr>
          <w:p>
            <w:pPr>
              <w:spacing w:after="0"/>
              <w:rPr>
                <w:sz w:val="24"/>
                <w:szCs w:val="24"/>
                <w:color w:val="auto"/>
              </w:rPr>
            </w:pPr>
          </w:p>
        </w:tc>
        <w:tc>
          <w:tcPr>
            <w:tcW w:w="420" w:type="dxa"/>
            <w:vAlign w:val="bottom"/>
            <w:tcBorders>
              <w:bottom w:val="single" w:sz="8" w:color="007DC6"/>
            </w:tcBorders>
            <w:shd w:val="clear" w:color="auto" w:fill="007DC6"/>
          </w:tcPr>
          <w:p>
            <w:pPr>
              <w:spacing w:after="0"/>
              <w:rPr>
                <w:sz w:val="24"/>
                <w:szCs w:val="24"/>
                <w:color w:val="auto"/>
              </w:rPr>
            </w:pPr>
          </w:p>
        </w:tc>
        <w:tc>
          <w:tcPr>
            <w:tcW w:w="320" w:type="dxa"/>
            <w:vAlign w:val="bottom"/>
            <w:tcBorders>
              <w:bottom w:val="single" w:sz="8" w:color="007DC6"/>
            </w:tcBorders>
            <w:shd w:val="clear" w:color="auto" w:fill="007DC6"/>
          </w:tcPr>
          <w:p>
            <w:pPr>
              <w:spacing w:after="0"/>
              <w:rPr>
                <w:sz w:val="24"/>
                <w:szCs w:val="24"/>
                <w:color w:val="auto"/>
              </w:rPr>
            </w:pPr>
          </w:p>
        </w:tc>
        <w:tc>
          <w:tcPr>
            <w:tcW w:w="220" w:type="dxa"/>
            <w:vAlign w:val="bottom"/>
            <w:tcBorders>
              <w:bottom w:val="single" w:sz="8" w:color="007DC6"/>
            </w:tcBorders>
            <w:shd w:val="clear" w:color="auto" w:fill="007DC6"/>
          </w:tcPr>
          <w:p>
            <w:pPr>
              <w:spacing w:after="0"/>
              <w:rPr>
                <w:sz w:val="24"/>
                <w:szCs w:val="24"/>
                <w:color w:val="auto"/>
              </w:rPr>
            </w:pPr>
          </w:p>
        </w:tc>
        <w:tc>
          <w:tcPr>
            <w:tcW w:w="2060" w:type="dxa"/>
            <w:vAlign w:val="bottom"/>
            <w:tcBorders>
              <w:bottom w:val="single" w:sz="8" w:color="007DC6"/>
            </w:tcBorders>
            <w:shd w:val="clear" w:color="auto" w:fill="007DC6"/>
          </w:tcPr>
          <w:p>
            <w:pPr>
              <w:spacing w:after="0"/>
              <w:rPr>
                <w:sz w:val="24"/>
                <w:szCs w:val="24"/>
                <w:color w:val="auto"/>
              </w:rPr>
            </w:pPr>
          </w:p>
        </w:tc>
        <w:tc>
          <w:tcPr>
            <w:tcW w:w="140" w:type="dxa"/>
            <w:vAlign w:val="bottom"/>
            <w:tcBorders>
              <w:left w:val="single" w:sz="8" w:color="007DC6"/>
              <w:bottom w:val="single" w:sz="8" w:color="007DC6"/>
              <w:right w:val="single" w:sz="8" w:color="91BBD3"/>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0" w:type="dxa"/>
            <w:vAlign w:val="bottom"/>
            <w:tcBorders>
              <w:right w:val="single" w:sz="8" w:color="91BBD3"/>
            </w:tcBorders>
          </w:tcPr>
          <w:p>
            <w:pPr>
              <w:spacing w:after="0"/>
              <w:rPr>
                <w:sz w:val="11"/>
                <w:szCs w:val="11"/>
                <w:color w:val="auto"/>
              </w:rPr>
            </w:pPr>
          </w:p>
        </w:tc>
        <w:tc>
          <w:tcPr>
            <w:tcW w:w="1660" w:type="dxa"/>
            <w:vAlign w:val="bottom"/>
            <w:tcBorders>
              <w:top w:val="single" w:sz="8" w:color="91BBD3"/>
              <w:bottom w:val="single" w:sz="8" w:color="DAE8F0"/>
              <w:right w:val="single" w:sz="8" w:color="91BBD3"/>
            </w:tcBorders>
            <w:shd w:val="clear" w:color="auto" w:fill="DAE8F0"/>
          </w:tcPr>
          <w:p>
            <w:pPr>
              <w:spacing w:after="0"/>
              <w:rPr>
                <w:sz w:val="11"/>
                <w:szCs w:val="11"/>
                <w:color w:val="auto"/>
              </w:rPr>
            </w:pPr>
          </w:p>
        </w:tc>
        <w:tc>
          <w:tcPr>
            <w:tcW w:w="100" w:type="dxa"/>
            <w:vAlign w:val="bottom"/>
            <w:tcBorders>
              <w:top w:val="single" w:sz="8" w:color="91BBD3"/>
              <w:bottom w:val="single" w:sz="8" w:color="DAE8F0"/>
            </w:tcBorders>
            <w:shd w:val="clear" w:color="auto" w:fill="DAE8F0"/>
          </w:tcPr>
          <w:p>
            <w:pPr>
              <w:spacing w:after="0"/>
              <w:rPr>
                <w:sz w:val="11"/>
                <w:szCs w:val="11"/>
                <w:color w:val="auto"/>
              </w:rPr>
            </w:pPr>
          </w:p>
        </w:tc>
        <w:tc>
          <w:tcPr>
            <w:tcW w:w="8980" w:type="dxa"/>
            <w:vAlign w:val="bottom"/>
            <w:tcBorders>
              <w:top w:val="single" w:sz="8" w:color="91BBD3"/>
              <w:bottom w:val="single" w:sz="8" w:color="0563C1"/>
            </w:tcBorders>
            <w:gridSpan w:val="13"/>
            <w:shd w:val="clear" w:color="auto" w:fill="DAE8F0"/>
          </w:tcPr>
          <w:p>
            <w:pPr>
              <w:spacing w:after="0" w:line="136" w:lineRule="exact"/>
              <w:rPr>
                <w:rFonts w:ascii="MS PGothic" w:cs="MS PGothic" w:eastAsia="MS PGothic" w:hAnsi="MS PGothic"/>
                <w:sz w:val="18"/>
                <w:szCs w:val="18"/>
                <w:color w:val="0563C1"/>
                <w:w w:val="99"/>
              </w:rPr>
            </w:pPr>
            <w:hyperlink r:id="rId698">
              <w:r>
                <w:rPr>
                  <w:rFonts w:ascii="MS PGothic" w:cs="MS PGothic" w:eastAsia="MS PGothic" w:hAnsi="MS PGothic"/>
                  <w:sz w:val="18"/>
                  <w:szCs w:val="18"/>
                  <w:color w:val="0563C1"/>
                  <w:w w:val="99"/>
                </w:rPr>
                <w:t>reference to Exhibit 10.1 to the Martn Marieta Materials, Inc., Current Report on Form 8-K fled on September 19, 2024)</w:t>
              </w:r>
            </w:hyperlink>
          </w:p>
        </w:tc>
        <w:tc>
          <w:tcPr>
            <w:tcW w:w="140" w:type="dxa"/>
            <w:vAlign w:val="bottom"/>
            <w:tcBorders>
              <w:top w:val="single" w:sz="8" w:color="91BBD3"/>
              <w:left w:val="single" w:sz="8" w:color="DAE8F0"/>
              <w:bottom w:val="single" w:sz="8" w:color="DAE8F0"/>
              <w:right w:val="single" w:sz="8" w:color="91BBD3"/>
            </w:tcBorders>
            <w:shd w:val="clear" w:color="auto" w:fill="DAE8F0"/>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0" w:type="dxa"/>
            <w:vAlign w:val="bottom"/>
            <w:tcBorders>
              <w:right w:val="single" w:sz="8" w:color="91BBD3"/>
            </w:tcBorders>
          </w:tcPr>
          <w:p>
            <w:pPr>
              <w:spacing w:after="0"/>
              <w:rPr>
                <w:sz w:val="21"/>
                <w:szCs w:val="21"/>
                <w:color w:val="auto"/>
              </w:rPr>
            </w:pPr>
          </w:p>
        </w:tc>
        <w:tc>
          <w:tcPr>
            <w:tcW w:w="1660" w:type="dxa"/>
            <w:vAlign w:val="bottom"/>
            <w:tcBorders>
              <w:bottom w:val="single" w:sz="8" w:color="91BBD3"/>
              <w:right w:val="single" w:sz="8" w:color="91BBD3"/>
            </w:tcBorders>
            <w:shd w:val="clear" w:color="auto" w:fill="DAE8F0"/>
          </w:tcPr>
          <w:p>
            <w:pPr>
              <w:spacing w:after="0"/>
              <w:rPr>
                <w:sz w:val="21"/>
                <w:szCs w:val="21"/>
                <w:color w:val="auto"/>
              </w:rPr>
            </w:pPr>
          </w:p>
        </w:tc>
        <w:tc>
          <w:tcPr>
            <w:tcW w:w="100" w:type="dxa"/>
            <w:vAlign w:val="bottom"/>
            <w:tcBorders>
              <w:bottom w:val="single" w:sz="8" w:color="91BBD3"/>
            </w:tcBorders>
            <w:shd w:val="clear" w:color="auto" w:fill="DAE8F0"/>
          </w:tcPr>
          <w:p>
            <w:pPr>
              <w:spacing w:after="0"/>
              <w:rPr>
                <w:sz w:val="21"/>
                <w:szCs w:val="21"/>
                <w:color w:val="auto"/>
              </w:rPr>
            </w:pPr>
          </w:p>
        </w:tc>
        <w:tc>
          <w:tcPr>
            <w:tcW w:w="2180" w:type="dxa"/>
            <w:vAlign w:val="bottom"/>
            <w:tcBorders>
              <w:bottom w:val="single" w:sz="8" w:color="0563C1"/>
            </w:tcBorders>
            <w:gridSpan w:val="4"/>
            <w:shd w:val="clear" w:color="auto" w:fill="DAE8F0"/>
          </w:tcPr>
          <w:p>
            <w:pPr>
              <w:spacing w:after="0"/>
              <w:rPr>
                <w:rFonts w:ascii="MS PGothic" w:cs="MS PGothic" w:eastAsia="MS PGothic" w:hAnsi="MS PGothic"/>
                <w:sz w:val="18"/>
                <w:szCs w:val="18"/>
                <w:color w:val="0563C1"/>
                <w:w w:val="93"/>
              </w:rPr>
            </w:pPr>
            <w:hyperlink r:id="rId698">
              <w:r>
                <w:rPr>
                  <w:rFonts w:ascii="MS PGothic" w:cs="MS PGothic" w:eastAsia="MS PGothic" w:hAnsi="MS PGothic"/>
                  <w:sz w:val="18"/>
                  <w:szCs w:val="18"/>
                  <w:color w:val="0563C1"/>
                  <w:w w:val="93"/>
                </w:rPr>
                <w:t>(Commission File No. 1-12744)</w:t>
              </w:r>
            </w:hyperlink>
          </w:p>
        </w:tc>
        <w:tc>
          <w:tcPr>
            <w:tcW w:w="6940" w:type="dxa"/>
            <w:vAlign w:val="bottom"/>
            <w:tcBorders>
              <w:bottom w:val="single" w:sz="8" w:color="91BBD3"/>
              <w:right w:val="single" w:sz="8" w:color="91BBD3"/>
            </w:tcBorders>
            <w:gridSpan w:val="10"/>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10.18</w:t>
            </w:r>
          </w:p>
        </w:tc>
        <w:tc>
          <w:tcPr>
            <w:tcW w:w="100" w:type="dxa"/>
            <w:vAlign w:val="bottom"/>
          </w:tcPr>
          <w:p>
            <w:pPr>
              <w:spacing w:after="0"/>
              <w:rPr>
                <w:sz w:val="13"/>
                <w:szCs w:val="13"/>
                <w:color w:val="auto"/>
              </w:rPr>
            </w:pPr>
          </w:p>
        </w:tc>
        <w:tc>
          <w:tcPr>
            <w:tcW w:w="9120" w:type="dxa"/>
            <w:vAlign w:val="bottom"/>
            <w:tcBorders>
              <w:right w:val="single" w:sz="8" w:color="91BBD3"/>
            </w:tcBorders>
            <w:gridSpan w:val="14"/>
          </w:tcPr>
          <w:p>
            <w:pPr>
              <w:spacing w:after="0" w:line="156" w:lineRule="exact"/>
              <w:rPr>
                <w:rFonts w:ascii="MS PGothic" w:cs="MS PGothic" w:eastAsia="MS PGothic" w:hAnsi="MS PGothic"/>
                <w:sz w:val="18"/>
                <w:szCs w:val="18"/>
                <w:color w:val="0563C1"/>
              </w:rPr>
            </w:pPr>
            <w:hyperlink r:id="rId702">
              <w:r>
                <w:rPr>
                  <w:rFonts w:ascii="MS PGothic" w:cs="MS PGothic" w:eastAsia="MS PGothic" w:hAnsi="MS PGothic"/>
                  <w:sz w:val="18"/>
                  <w:szCs w:val="18"/>
                  <w:color w:val="0563C1"/>
                </w:rPr>
                <w:t>Purchase and Contributon Agreement dated as of April 19, 2013, between Martn Marieta Materials, Inc., as seller and as</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260" w:type="dxa"/>
            <w:vAlign w:val="bottom"/>
            <w:shd w:val="clear" w:color="auto" w:fill="0563C1"/>
          </w:tcPr>
          <w:p>
            <w:pPr>
              <w:spacing w:after="0" w:line="20" w:lineRule="exact"/>
              <w:rPr>
                <w:sz w:val="1"/>
                <w:szCs w:val="1"/>
                <w:color w:val="auto"/>
              </w:rPr>
            </w:pPr>
          </w:p>
        </w:tc>
        <w:tc>
          <w:tcPr>
            <w:tcW w:w="128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6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rPr>
                <w:rFonts w:ascii="MS PGothic" w:cs="MS PGothic" w:eastAsia="MS PGothic" w:hAnsi="MS PGothic"/>
                <w:sz w:val="18"/>
                <w:szCs w:val="18"/>
                <w:color w:val="0563C1"/>
              </w:rPr>
            </w:pPr>
            <w:hyperlink r:id="rId702">
              <w:r>
                <w:rPr>
                  <w:rFonts w:ascii="MS PGothic" w:cs="MS PGothic" w:eastAsia="MS PGothic" w:hAnsi="MS PGothic"/>
                  <w:sz w:val="18"/>
                  <w:szCs w:val="18"/>
                  <w:color w:val="0563C1"/>
                </w:rPr>
                <w:t>servicer, and Martn Marieta Funding LLC, as buyer (incorporated by reference to Exhibit 10.02 to the Martn Marieta</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3"/>
          </w:tcPr>
          <w:p>
            <w:pPr>
              <w:spacing w:after="0"/>
              <w:rPr>
                <w:rFonts w:ascii="MS PGothic" w:cs="MS PGothic" w:eastAsia="MS PGothic" w:hAnsi="MS PGothic"/>
                <w:sz w:val="18"/>
                <w:szCs w:val="18"/>
                <w:color w:val="0563C1"/>
              </w:rPr>
            </w:pPr>
            <w:hyperlink r:id="rId702">
              <w:r>
                <w:rPr>
                  <w:rFonts w:ascii="MS PGothic" w:cs="MS PGothic" w:eastAsia="MS PGothic" w:hAnsi="MS PGothic"/>
                  <w:sz w:val="18"/>
                  <w:szCs w:val="18"/>
                  <w:color w:val="0563C1"/>
                </w:rPr>
                <w:t>Materials, Inc. Current Report on Form 8-K fled on April 24, 2013)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660" w:type="dxa"/>
            <w:vAlign w:val="bottom"/>
            <w:tcBorders>
              <w:top w:val="single" w:sz="8" w:color="0563C1"/>
              <w:bottom w:val="single" w:sz="8" w:color="91BBD3"/>
            </w:tcBorders>
          </w:tcPr>
          <w:p>
            <w:pPr>
              <w:spacing w:after="0"/>
              <w:rPr>
                <w:sz w:val="2"/>
                <w:szCs w:val="2"/>
                <w:color w:val="auto"/>
              </w:rPr>
            </w:pPr>
          </w:p>
        </w:tc>
        <w:tc>
          <w:tcPr>
            <w:tcW w:w="44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800" w:type="dxa"/>
            <w:vAlign w:val="bottom"/>
            <w:tcBorders>
              <w:top w:val="single" w:sz="8" w:color="0563C1"/>
              <w:bottom w:val="single" w:sz="8" w:color="91BBD3"/>
            </w:tcBorders>
          </w:tcPr>
          <w:p>
            <w:pPr>
              <w:spacing w:after="0"/>
              <w:rPr>
                <w:sz w:val="2"/>
                <w:szCs w:val="2"/>
                <w:color w:val="auto"/>
              </w:rPr>
            </w:pPr>
          </w:p>
        </w:tc>
        <w:tc>
          <w:tcPr>
            <w:tcW w:w="160" w:type="dxa"/>
            <w:vAlign w:val="bottom"/>
            <w:tcBorders>
              <w:top w:val="single" w:sz="8" w:color="0563C1"/>
              <w:bottom w:val="single" w:sz="8" w:color="91BBD3"/>
            </w:tcBorders>
          </w:tcPr>
          <w:p>
            <w:pPr>
              <w:spacing w:after="0"/>
              <w:rPr>
                <w:sz w:val="2"/>
                <w:szCs w:val="2"/>
                <w:color w:val="auto"/>
              </w:rPr>
            </w:pPr>
          </w:p>
        </w:tc>
        <w:tc>
          <w:tcPr>
            <w:tcW w:w="460" w:type="dxa"/>
            <w:vAlign w:val="bottom"/>
            <w:tcBorders>
              <w:top w:val="single" w:sz="8" w:color="0563C1"/>
              <w:bottom w:val="single" w:sz="8" w:color="91BBD3"/>
            </w:tcBorders>
          </w:tcPr>
          <w:p>
            <w:pPr>
              <w:spacing w:after="0"/>
              <w:rPr>
                <w:sz w:val="2"/>
                <w:szCs w:val="2"/>
                <w:color w:val="auto"/>
              </w:rPr>
            </w:pPr>
          </w:p>
        </w:tc>
        <w:tc>
          <w:tcPr>
            <w:tcW w:w="620" w:type="dxa"/>
            <w:vAlign w:val="bottom"/>
            <w:tcBorders>
              <w:top w:val="single" w:sz="8" w:color="0563C1"/>
              <w:bottom w:val="single" w:sz="8" w:color="91BBD3"/>
            </w:tcBorders>
          </w:tcPr>
          <w:p>
            <w:pPr>
              <w:spacing w:after="0"/>
              <w:rPr>
                <w:sz w:val="2"/>
                <w:szCs w:val="2"/>
                <w:color w:val="auto"/>
              </w:rPr>
            </w:pPr>
          </w:p>
        </w:tc>
        <w:tc>
          <w:tcPr>
            <w:tcW w:w="1260" w:type="dxa"/>
            <w:vAlign w:val="bottom"/>
            <w:tcBorders>
              <w:top w:val="single" w:sz="8" w:color="0563C1"/>
              <w:bottom w:val="single" w:sz="8" w:color="91BBD3"/>
            </w:tcBorders>
          </w:tcPr>
          <w:p>
            <w:pPr>
              <w:spacing w:after="0"/>
              <w:rPr>
                <w:sz w:val="2"/>
                <w:szCs w:val="2"/>
                <w:color w:val="auto"/>
              </w:rPr>
            </w:pPr>
          </w:p>
        </w:tc>
        <w:tc>
          <w:tcPr>
            <w:tcW w:w="1280" w:type="dxa"/>
            <w:vAlign w:val="bottom"/>
            <w:tcBorders>
              <w:top w:val="single" w:sz="8" w:color="0563C1"/>
              <w:bottom w:val="single" w:sz="8" w:color="91BBD3"/>
            </w:tcBorders>
          </w:tcPr>
          <w:p>
            <w:pPr>
              <w:spacing w:after="0"/>
              <w:rPr>
                <w:sz w:val="2"/>
                <w:szCs w:val="2"/>
                <w:color w:val="auto"/>
              </w:rPr>
            </w:pPr>
          </w:p>
        </w:tc>
        <w:tc>
          <w:tcPr>
            <w:tcW w:w="420" w:type="dxa"/>
            <w:vAlign w:val="bottom"/>
            <w:tcBorders>
              <w:top w:val="single" w:sz="8" w:color="0563C1"/>
              <w:bottom w:val="single" w:sz="8" w:color="91BBD3"/>
            </w:tcBorders>
          </w:tcPr>
          <w:p>
            <w:pPr>
              <w:spacing w:after="0"/>
              <w:rPr>
                <w:sz w:val="2"/>
                <w:szCs w:val="2"/>
                <w:color w:val="auto"/>
              </w:rPr>
            </w:pPr>
          </w:p>
        </w:tc>
        <w:tc>
          <w:tcPr>
            <w:tcW w:w="320" w:type="dxa"/>
            <w:vAlign w:val="bottom"/>
            <w:tcBorders>
              <w:top w:val="single" w:sz="8" w:color="0563C1"/>
              <w:bottom w:val="single" w:sz="8" w:color="91BBD3"/>
            </w:tcBorders>
          </w:tcPr>
          <w:p>
            <w:pPr>
              <w:spacing w:after="0"/>
              <w:rPr>
                <w:sz w:val="2"/>
                <w:szCs w:val="2"/>
                <w:color w:val="auto"/>
              </w:rPr>
            </w:pPr>
          </w:p>
        </w:tc>
        <w:tc>
          <w:tcPr>
            <w:tcW w:w="220" w:type="dxa"/>
            <w:vAlign w:val="bottom"/>
            <w:tcBorders>
              <w:top w:val="single" w:sz="8" w:color="0563C1"/>
              <w:bottom w:val="single" w:sz="8" w:color="91BBD3"/>
            </w:tcBorders>
          </w:tcPr>
          <w:p>
            <w:pPr>
              <w:spacing w:after="0"/>
              <w:rPr>
                <w:sz w:val="2"/>
                <w:szCs w:val="2"/>
                <w:color w:val="auto"/>
              </w:rPr>
            </w:pPr>
          </w:p>
        </w:tc>
        <w:tc>
          <w:tcPr>
            <w:tcW w:w="206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0" w:type="dxa"/>
            <w:vAlign w:val="bottom"/>
            <w:tcBorders>
              <w:right w:val="single" w:sz="8" w:color="91BBD3"/>
            </w:tcBorders>
          </w:tcPr>
          <w:p>
            <w:pPr>
              <w:spacing w:after="0"/>
              <w:rPr>
                <w:sz w:val="13"/>
                <w:szCs w:val="13"/>
                <w:color w:val="auto"/>
              </w:rPr>
            </w:pPr>
          </w:p>
        </w:tc>
        <w:tc>
          <w:tcPr>
            <w:tcW w:w="1660" w:type="dxa"/>
            <w:vAlign w:val="bottom"/>
            <w:tcBorders>
              <w:bottom w:val="single" w:sz="8" w:color="DAE8F0"/>
              <w:right w:val="single" w:sz="8" w:color="91BBD3"/>
            </w:tcBorders>
            <w:shd w:val="clear" w:color="auto" w:fill="DAE8F0"/>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10.19</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3"/>
            <w:shd w:val="clear" w:color="auto" w:fill="DAE8F0"/>
          </w:tcPr>
          <w:p>
            <w:pPr>
              <w:spacing w:after="0" w:line="156" w:lineRule="exact"/>
              <w:rPr>
                <w:rFonts w:ascii="MS PGothic" w:cs="MS PGothic" w:eastAsia="MS PGothic" w:hAnsi="MS PGothic"/>
                <w:sz w:val="18"/>
                <w:szCs w:val="18"/>
                <w:color w:val="0563C1"/>
                <w:w w:val="99"/>
              </w:rPr>
            </w:pPr>
            <w:hyperlink r:id="rId703">
              <w:r>
                <w:rPr>
                  <w:rFonts w:ascii="MS PGothic" w:cs="MS PGothic" w:eastAsia="MS PGothic" w:hAnsi="MS PGothic"/>
                  <w:sz w:val="18"/>
                  <w:szCs w:val="18"/>
                  <w:color w:val="0563C1"/>
                  <w:w w:val="99"/>
                </w:rPr>
                <w:t>Form of Martn Marieta Materials, Inc. Third Amended and Restated Employment Protecton Agreement (incorporated by</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3"/>
            <w:shd w:val="clear" w:color="auto" w:fill="DAE8F0"/>
          </w:tcPr>
          <w:p>
            <w:pPr>
              <w:spacing w:after="0"/>
              <w:rPr>
                <w:rFonts w:ascii="MS PGothic" w:cs="MS PGothic" w:eastAsia="MS PGothic" w:hAnsi="MS PGothic"/>
                <w:sz w:val="18"/>
                <w:szCs w:val="18"/>
                <w:color w:val="0563C1"/>
              </w:rPr>
            </w:pPr>
            <w:hyperlink r:id="rId703">
              <w:r>
                <w:rPr>
                  <w:rFonts w:ascii="MS PGothic" w:cs="MS PGothic" w:eastAsia="MS PGothic" w:hAnsi="MS PGothic"/>
                  <w:sz w:val="18"/>
                  <w:szCs w:val="18"/>
                  <w:color w:val="0563C1"/>
                </w:rPr>
                <w:t>reference to Exhibit 10.01 to the Martn Marieta Materials, Inc. Current Report on Form 8‑K, fled on August 19, 2008)</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91BBD3"/>
            </w:tcBorders>
          </w:tcPr>
          <w:p>
            <w:pPr>
              <w:spacing w:after="0"/>
              <w:rPr>
                <w:sz w:val="20"/>
                <w:szCs w:val="20"/>
                <w:color w:val="auto"/>
              </w:rPr>
            </w:pPr>
          </w:p>
        </w:tc>
        <w:tc>
          <w:tcPr>
            <w:tcW w:w="1660" w:type="dxa"/>
            <w:vAlign w:val="bottom"/>
            <w:tcBorders>
              <w:right w:val="single" w:sz="8" w:color="91BBD3"/>
            </w:tcBorders>
            <w:shd w:val="clear" w:color="auto" w:fill="DAE8F0"/>
          </w:tcPr>
          <w:p>
            <w:pPr>
              <w:spacing w:after="0"/>
              <w:rPr>
                <w:sz w:val="20"/>
                <w:szCs w:val="20"/>
                <w:color w:val="auto"/>
              </w:rPr>
            </w:pPr>
          </w:p>
        </w:tc>
        <w:tc>
          <w:tcPr>
            <w:tcW w:w="10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4"/>
            <w:shd w:val="clear" w:color="auto" w:fill="DAE8F0"/>
          </w:tcPr>
          <w:p>
            <w:pPr>
              <w:spacing w:after="0"/>
              <w:rPr>
                <w:rFonts w:ascii="MS PGothic" w:cs="MS PGothic" w:eastAsia="MS PGothic" w:hAnsi="MS PGothic"/>
                <w:sz w:val="18"/>
                <w:szCs w:val="18"/>
                <w:color w:val="0563C1"/>
              </w:rPr>
            </w:pPr>
            <w:hyperlink r:id="rId703">
              <w:r>
                <w:rPr>
                  <w:rFonts w:ascii="MS PGothic" w:cs="MS PGothic" w:eastAsia="MS PGothic" w:hAnsi="MS PGothic"/>
                  <w:sz w:val="18"/>
                  <w:szCs w:val="18"/>
                  <w:color w:val="0563C1"/>
                </w:rPr>
                <w:t>(Commission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80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46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126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320" w:type="dxa"/>
            <w:vAlign w:val="bottom"/>
            <w:tcBorders>
              <w:top w:val="single" w:sz="8" w:color="DAE8F0"/>
            </w:tcBorders>
            <w:shd w:val="clear" w:color="auto" w:fill="91BBD3"/>
          </w:tcPr>
          <w:p>
            <w:pPr>
              <w:spacing w:after="0" w:line="20" w:lineRule="exact"/>
              <w:rPr>
                <w:sz w:val="1"/>
                <w:szCs w:val="1"/>
                <w:color w:val="auto"/>
              </w:rPr>
            </w:pPr>
          </w:p>
        </w:tc>
        <w:tc>
          <w:tcPr>
            <w:tcW w:w="220" w:type="dxa"/>
            <w:vAlign w:val="bottom"/>
            <w:tcBorders>
              <w:top w:val="single" w:sz="8" w:color="DAE8F0"/>
            </w:tcBorders>
            <w:shd w:val="clear" w:color="auto" w:fill="91BBD3"/>
          </w:tcPr>
          <w:p>
            <w:pPr>
              <w:spacing w:after="0" w:line="20" w:lineRule="exact"/>
              <w:rPr>
                <w:sz w:val="1"/>
                <w:szCs w:val="1"/>
                <w:color w:val="auto"/>
              </w:rPr>
            </w:pPr>
          </w:p>
        </w:tc>
        <w:tc>
          <w:tcPr>
            <w:tcW w:w="206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10.20</w:t>
            </w:r>
          </w:p>
        </w:tc>
        <w:tc>
          <w:tcPr>
            <w:tcW w:w="100" w:type="dxa"/>
            <w:vAlign w:val="bottom"/>
          </w:tcPr>
          <w:p>
            <w:pPr>
              <w:spacing w:after="0"/>
              <w:rPr>
                <w:sz w:val="13"/>
                <w:szCs w:val="13"/>
                <w:color w:val="auto"/>
              </w:rPr>
            </w:pPr>
          </w:p>
        </w:tc>
        <w:tc>
          <w:tcPr>
            <w:tcW w:w="8980" w:type="dxa"/>
            <w:vAlign w:val="bottom"/>
            <w:tcBorders>
              <w:bottom w:val="single" w:sz="8" w:color="0563C1"/>
            </w:tcBorders>
            <w:gridSpan w:val="13"/>
          </w:tcPr>
          <w:p>
            <w:pPr>
              <w:spacing w:after="0" w:line="156" w:lineRule="exact"/>
              <w:rPr>
                <w:rFonts w:ascii="MS PGothic" w:cs="MS PGothic" w:eastAsia="MS PGothic" w:hAnsi="MS PGothic"/>
                <w:sz w:val="18"/>
                <w:szCs w:val="18"/>
                <w:color w:val="0563C1"/>
                <w:w w:val="95"/>
              </w:rPr>
            </w:pPr>
            <w:hyperlink r:id="rId704">
              <w:r>
                <w:rPr>
                  <w:rFonts w:ascii="MS PGothic" w:cs="MS PGothic" w:eastAsia="MS PGothic" w:hAnsi="MS PGothic"/>
                  <w:sz w:val="18"/>
                  <w:szCs w:val="18"/>
                  <w:color w:val="0563C1"/>
                  <w:w w:val="95"/>
                </w:rPr>
                <w:t>Amended and Restated Martn Marieta Materials, Inc. Common Stock Purchase Plan for Directors (incorporated by reference</w:t>
              </w:r>
            </w:hyperlink>
          </w:p>
        </w:tc>
        <w:tc>
          <w:tcPr>
            <w:tcW w:w="140" w:type="dxa"/>
            <w:vAlign w:val="bottom"/>
            <w:tcBorders>
              <w:right w:val="single" w:sz="8" w:color="91BBD3"/>
            </w:tcBorders>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3"/>
          </w:tcPr>
          <w:p>
            <w:pPr>
              <w:spacing w:after="0"/>
              <w:rPr>
                <w:rFonts w:ascii="MS PGothic" w:cs="MS PGothic" w:eastAsia="MS PGothic" w:hAnsi="MS PGothic"/>
                <w:sz w:val="18"/>
                <w:szCs w:val="18"/>
                <w:color w:val="0563C1"/>
                <w:w w:val="98"/>
              </w:rPr>
            </w:pPr>
            <w:hyperlink r:id="rId704">
              <w:r>
                <w:rPr>
                  <w:rFonts w:ascii="MS PGothic" w:cs="MS PGothic" w:eastAsia="MS PGothic" w:hAnsi="MS PGothic"/>
                  <w:sz w:val="18"/>
                  <w:szCs w:val="18"/>
                  <w:color w:val="0563C1"/>
                  <w:w w:val="98"/>
                </w:rPr>
                <w:t>to Exhibit 10.05 to the Martn Marieta Materials, Inc. Annual Report on Form 10-K for the fscal year ended December 31,</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rPr>
                <w:rFonts w:ascii="MS PGothic" w:cs="MS PGothic" w:eastAsia="MS PGothic" w:hAnsi="MS PGothic"/>
                <w:sz w:val="18"/>
                <w:szCs w:val="18"/>
                <w:color w:val="0563C1"/>
              </w:rPr>
            </w:pPr>
            <w:hyperlink r:id="rId704">
              <w:r>
                <w:rPr>
                  <w:rFonts w:ascii="MS PGothic" w:cs="MS PGothic" w:eastAsia="MS PGothic" w:hAnsi="MS PGothic"/>
                  <w:sz w:val="18"/>
                  <w:szCs w:val="18"/>
                  <w:color w:val="0563C1"/>
                </w:rPr>
                <w:t>2013)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660" w:type="dxa"/>
            <w:vAlign w:val="bottom"/>
            <w:tcBorders>
              <w:top w:val="single" w:sz="8" w:color="0563C1"/>
              <w:bottom w:val="single" w:sz="8" w:color="91BBD3"/>
            </w:tcBorders>
          </w:tcPr>
          <w:p>
            <w:pPr>
              <w:spacing w:after="0"/>
              <w:rPr>
                <w:sz w:val="2"/>
                <w:szCs w:val="2"/>
                <w:color w:val="auto"/>
              </w:rPr>
            </w:pPr>
          </w:p>
        </w:tc>
        <w:tc>
          <w:tcPr>
            <w:tcW w:w="44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800" w:type="dxa"/>
            <w:vAlign w:val="bottom"/>
            <w:tcBorders>
              <w:top w:val="single" w:sz="8" w:color="0563C1"/>
              <w:bottom w:val="single" w:sz="8" w:color="91BBD3"/>
            </w:tcBorders>
          </w:tcPr>
          <w:p>
            <w:pPr>
              <w:spacing w:after="0"/>
              <w:rPr>
                <w:sz w:val="2"/>
                <w:szCs w:val="2"/>
                <w:color w:val="auto"/>
              </w:rPr>
            </w:pPr>
          </w:p>
        </w:tc>
        <w:tc>
          <w:tcPr>
            <w:tcW w:w="160" w:type="dxa"/>
            <w:vAlign w:val="bottom"/>
            <w:tcBorders>
              <w:top w:val="single" w:sz="8" w:color="0563C1"/>
              <w:bottom w:val="single" w:sz="8" w:color="91BBD3"/>
            </w:tcBorders>
          </w:tcPr>
          <w:p>
            <w:pPr>
              <w:spacing w:after="0"/>
              <w:rPr>
                <w:sz w:val="2"/>
                <w:szCs w:val="2"/>
                <w:color w:val="auto"/>
              </w:rPr>
            </w:pPr>
          </w:p>
        </w:tc>
        <w:tc>
          <w:tcPr>
            <w:tcW w:w="460" w:type="dxa"/>
            <w:vAlign w:val="bottom"/>
            <w:tcBorders>
              <w:top w:val="single" w:sz="8" w:color="0563C1"/>
              <w:bottom w:val="single" w:sz="8" w:color="91BBD3"/>
            </w:tcBorders>
          </w:tcPr>
          <w:p>
            <w:pPr>
              <w:spacing w:after="0"/>
              <w:rPr>
                <w:sz w:val="2"/>
                <w:szCs w:val="2"/>
                <w:color w:val="auto"/>
              </w:rPr>
            </w:pPr>
          </w:p>
        </w:tc>
        <w:tc>
          <w:tcPr>
            <w:tcW w:w="620" w:type="dxa"/>
            <w:vAlign w:val="bottom"/>
            <w:tcBorders>
              <w:bottom w:val="single" w:sz="8" w:color="91BBD3"/>
            </w:tcBorders>
          </w:tcPr>
          <w:p>
            <w:pPr>
              <w:spacing w:after="0"/>
              <w:rPr>
                <w:sz w:val="2"/>
                <w:szCs w:val="2"/>
                <w:color w:val="auto"/>
              </w:rPr>
            </w:pPr>
          </w:p>
        </w:tc>
        <w:tc>
          <w:tcPr>
            <w:tcW w:w="1260" w:type="dxa"/>
            <w:vAlign w:val="bottom"/>
            <w:tcBorders>
              <w:bottom w:val="single" w:sz="8" w:color="91BBD3"/>
            </w:tcBorders>
          </w:tcPr>
          <w:p>
            <w:pPr>
              <w:spacing w:after="0"/>
              <w:rPr>
                <w:sz w:val="2"/>
                <w:szCs w:val="2"/>
                <w:color w:val="auto"/>
              </w:rPr>
            </w:pPr>
          </w:p>
        </w:tc>
        <w:tc>
          <w:tcPr>
            <w:tcW w:w="1280" w:type="dxa"/>
            <w:vAlign w:val="bottom"/>
            <w:tcBorders>
              <w:bottom w:val="single" w:sz="8" w:color="91BBD3"/>
            </w:tcBorders>
          </w:tcPr>
          <w:p>
            <w:pPr>
              <w:spacing w:after="0"/>
              <w:rPr>
                <w:sz w:val="2"/>
                <w:szCs w:val="2"/>
                <w:color w:val="auto"/>
              </w:rPr>
            </w:pPr>
          </w:p>
        </w:tc>
        <w:tc>
          <w:tcPr>
            <w:tcW w:w="42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220" w:type="dxa"/>
            <w:vAlign w:val="bottom"/>
            <w:tcBorders>
              <w:bottom w:val="single" w:sz="8" w:color="91BBD3"/>
            </w:tcBorders>
          </w:tcPr>
          <w:p>
            <w:pPr>
              <w:spacing w:after="0"/>
              <w:rPr>
                <w:sz w:val="2"/>
                <w:szCs w:val="2"/>
                <w:color w:val="auto"/>
              </w:rPr>
            </w:pPr>
          </w:p>
        </w:tc>
        <w:tc>
          <w:tcPr>
            <w:tcW w:w="206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bottom w:val="single" w:sz="8" w:color="DAE8F0"/>
              <w:right w:val="single" w:sz="8" w:color="91BBD3"/>
            </w:tcBorders>
            <w:shd w:val="clear" w:color="auto" w:fill="DAE8F0"/>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10.21</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3"/>
            <w:shd w:val="clear" w:color="auto" w:fill="DAE8F0"/>
          </w:tcPr>
          <w:p>
            <w:pPr>
              <w:spacing w:after="0" w:line="156" w:lineRule="exact"/>
              <w:rPr>
                <w:rFonts w:ascii="MS PGothic" w:cs="MS PGothic" w:eastAsia="MS PGothic" w:hAnsi="MS PGothic"/>
                <w:sz w:val="18"/>
                <w:szCs w:val="18"/>
                <w:color w:val="0563C1"/>
                <w:w w:val="96"/>
              </w:rPr>
            </w:pPr>
            <w:hyperlink r:id="rId705">
              <w:r>
                <w:rPr>
                  <w:rFonts w:ascii="MS PGothic" w:cs="MS PGothic" w:eastAsia="MS PGothic" w:hAnsi="MS PGothic"/>
                  <w:sz w:val="18"/>
                  <w:szCs w:val="18"/>
                  <w:color w:val="0563C1"/>
                  <w:w w:val="96"/>
                </w:rPr>
                <w:t>Martn Marieta Materials, Inc. Amended and Restated Executve Incentve Plan (incorporated by reference to Exhibit 10.05 to</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4"/>
            <w:shd w:val="clear" w:color="auto" w:fill="DAE8F0"/>
          </w:tcPr>
          <w:p>
            <w:pPr>
              <w:spacing w:after="0"/>
              <w:rPr>
                <w:rFonts w:ascii="MS PGothic" w:cs="MS PGothic" w:eastAsia="MS PGothic" w:hAnsi="MS PGothic"/>
                <w:sz w:val="18"/>
                <w:szCs w:val="18"/>
                <w:color w:val="0563C1"/>
                <w:w w:val="99"/>
              </w:rPr>
            </w:pPr>
            <w:hyperlink r:id="rId705">
              <w:r>
                <w:rPr>
                  <w:rFonts w:ascii="MS PGothic" w:cs="MS PGothic" w:eastAsia="MS PGothic" w:hAnsi="MS PGothic"/>
                  <w:sz w:val="18"/>
                  <w:szCs w:val="18"/>
                  <w:color w:val="0563C1"/>
                  <w:w w:val="99"/>
                </w:rPr>
                <w:t>the Martn Marieta Materials, Inc. Annual Report on Form 10-K for the fscal year ended December 31, 2008) (Commission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91BBD3"/>
            </w:tcBorders>
          </w:tcPr>
          <w:p>
            <w:pPr>
              <w:spacing w:after="0"/>
              <w:rPr>
                <w:sz w:val="20"/>
                <w:szCs w:val="20"/>
                <w:color w:val="auto"/>
              </w:rPr>
            </w:pPr>
          </w:p>
        </w:tc>
        <w:tc>
          <w:tcPr>
            <w:tcW w:w="1660" w:type="dxa"/>
            <w:vAlign w:val="bottom"/>
            <w:tcBorders>
              <w:top w:val="single" w:sz="8" w:color="DAE8F0"/>
              <w:right w:val="single" w:sz="8" w:color="91BBD3"/>
            </w:tcBorders>
            <w:shd w:val="clear" w:color="auto" w:fill="DAE8F0"/>
          </w:tcPr>
          <w:p>
            <w:pPr>
              <w:spacing w:after="0"/>
              <w:rPr>
                <w:sz w:val="20"/>
                <w:szCs w:val="20"/>
                <w:color w:val="auto"/>
              </w:rPr>
            </w:pPr>
          </w:p>
        </w:tc>
        <w:tc>
          <w:tcPr>
            <w:tcW w:w="100" w:type="dxa"/>
            <w:vAlign w:val="bottom"/>
            <w:tcBorders>
              <w:top w:val="single" w:sz="8" w:color="DAE8F0"/>
            </w:tcBorders>
            <w:shd w:val="clear" w:color="auto" w:fill="DAE8F0"/>
          </w:tcPr>
          <w:p>
            <w:pPr>
              <w:spacing w:after="0"/>
              <w:rPr>
                <w:sz w:val="20"/>
                <w:szCs w:val="20"/>
                <w:color w:val="auto"/>
              </w:rPr>
            </w:pPr>
          </w:p>
        </w:tc>
        <w:tc>
          <w:tcPr>
            <w:tcW w:w="8980" w:type="dxa"/>
            <w:vAlign w:val="bottom"/>
            <w:tcBorders>
              <w:top w:val="single" w:sz="8" w:color="0563C1"/>
            </w:tcBorders>
            <w:gridSpan w:val="13"/>
            <w:shd w:val="clear" w:color="auto" w:fill="DAE8F0"/>
          </w:tcPr>
          <w:p>
            <w:pPr>
              <w:spacing w:after="0"/>
              <w:rPr>
                <w:rFonts w:ascii="MS PGothic" w:cs="MS PGothic" w:eastAsia="MS PGothic" w:hAnsi="MS PGothic"/>
                <w:sz w:val="18"/>
                <w:szCs w:val="18"/>
                <w:color w:val="0563C1"/>
              </w:rPr>
            </w:pPr>
            <w:hyperlink r:id="rId705">
              <w:r>
                <w:rPr>
                  <w:rFonts w:ascii="MS PGothic" w:cs="MS PGothic" w:eastAsia="MS PGothic" w:hAnsi="MS PGothic"/>
                  <w:sz w:val="18"/>
                  <w:szCs w:val="18"/>
                  <w:color w:val="0563C1"/>
                </w:rPr>
                <w:t>File No. 1-12744)**</w:t>
              </w:r>
            </w:hyperlink>
          </w:p>
        </w:tc>
        <w:tc>
          <w:tcPr>
            <w:tcW w:w="140" w:type="dxa"/>
            <w:vAlign w:val="bottom"/>
            <w:tcBorders>
              <w:top w:val="single" w:sz="8" w:color="DAE8F0"/>
              <w:left w:val="single" w:sz="8" w:color="DAE8F0"/>
              <w:right w:val="single" w:sz="8" w:color="91BBD3"/>
            </w:tcBorders>
            <w:shd w:val="clear" w:color="auto" w:fill="DAE8F0"/>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80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46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126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320" w:type="dxa"/>
            <w:vAlign w:val="bottom"/>
            <w:tcBorders>
              <w:top w:val="single" w:sz="8" w:color="DAE8F0"/>
            </w:tcBorders>
            <w:shd w:val="clear" w:color="auto" w:fill="91BBD3"/>
          </w:tcPr>
          <w:p>
            <w:pPr>
              <w:spacing w:after="0" w:line="20" w:lineRule="exact"/>
              <w:rPr>
                <w:sz w:val="1"/>
                <w:szCs w:val="1"/>
                <w:color w:val="auto"/>
              </w:rPr>
            </w:pPr>
          </w:p>
        </w:tc>
        <w:tc>
          <w:tcPr>
            <w:tcW w:w="220" w:type="dxa"/>
            <w:vAlign w:val="bottom"/>
            <w:tcBorders>
              <w:top w:val="single" w:sz="8" w:color="DAE8F0"/>
            </w:tcBorders>
            <w:shd w:val="clear" w:color="auto" w:fill="91BBD3"/>
          </w:tcPr>
          <w:p>
            <w:pPr>
              <w:spacing w:after="0" w:line="20" w:lineRule="exact"/>
              <w:rPr>
                <w:sz w:val="1"/>
                <w:szCs w:val="1"/>
                <w:color w:val="auto"/>
              </w:rPr>
            </w:pPr>
          </w:p>
        </w:tc>
        <w:tc>
          <w:tcPr>
            <w:tcW w:w="206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10.22</w:t>
            </w:r>
          </w:p>
        </w:tc>
        <w:tc>
          <w:tcPr>
            <w:tcW w:w="100" w:type="dxa"/>
            <w:vAlign w:val="bottom"/>
          </w:tcPr>
          <w:p>
            <w:pPr>
              <w:spacing w:after="0"/>
              <w:rPr>
                <w:sz w:val="13"/>
                <w:szCs w:val="13"/>
                <w:color w:val="auto"/>
              </w:rPr>
            </w:pPr>
          </w:p>
        </w:tc>
        <w:tc>
          <w:tcPr>
            <w:tcW w:w="9120" w:type="dxa"/>
            <w:vAlign w:val="bottom"/>
            <w:tcBorders>
              <w:right w:val="single" w:sz="8" w:color="91BBD3"/>
            </w:tcBorders>
            <w:gridSpan w:val="14"/>
          </w:tcPr>
          <w:p>
            <w:pPr>
              <w:spacing w:after="0" w:line="156" w:lineRule="exact"/>
              <w:rPr>
                <w:rFonts w:ascii="MS PGothic" w:cs="MS PGothic" w:eastAsia="MS PGothic" w:hAnsi="MS PGothic"/>
                <w:sz w:val="18"/>
                <w:szCs w:val="18"/>
                <w:color w:val="0563C1"/>
              </w:rPr>
            </w:pPr>
            <w:hyperlink r:id="rId706">
              <w:r>
                <w:rPr>
                  <w:rFonts w:ascii="MS PGothic" w:cs="MS PGothic" w:eastAsia="MS PGothic" w:hAnsi="MS PGothic"/>
                  <w:sz w:val="18"/>
                  <w:szCs w:val="18"/>
                  <w:color w:val="0563C1"/>
                </w:rPr>
                <w:t>Martn Marieta Materials, Inc. Incentve Stock Plan, as Amended (incorporated by reference to Exhibit 10.06 to the Martn</w:t>
              </w:r>
            </w:hyperlink>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320" w:type="dxa"/>
            <w:vAlign w:val="bottom"/>
            <w:gridSpan w:val="5"/>
            <w:shd w:val="clear" w:color="auto" w:fill="0563C1"/>
          </w:tcPr>
          <w:p>
            <w:pPr>
              <w:spacing w:after="0" w:line="20" w:lineRule="exact"/>
              <w:rPr>
                <w:sz w:val="1"/>
                <w:szCs w:val="1"/>
                <w:color w:val="auto"/>
              </w:rPr>
            </w:pPr>
          </w:p>
        </w:tc>
        <w:tc>
          <w:tcPr>
            <w:tcW w:w="1260" w:type="dxa"/>
            <w:vAlign w:val="bottom"/>
            <w:shd w:val="clear" w:color="auto" w:fill="0563C1"/>
          </w:tcPr>
          <w:p>
            <w:pPr>
              <w:spacing w:after="0" w:line="20" w:lineRule="exact"/>
              <w:rPr>
                <w:sz w:val="1"/>
                <w:szCs w:val="1"/>
                <w:color w:val="auto"/>
              </w:rPr>
            </w:pPr>
          </w:p>
        </w:tc>
        <w:tc>
          <w:tcPr>
            <w:tcW w:w="128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280" w:type="dxa"/>
            <w:vAlign w:val="bottom"/>
            <w:gridSpan w:val="2"/>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rPr>
                <w:rFonts w:ascii="MS PGothic" w:cs="MS PGothic" w:eastAsia="MS PGothic" w:hAnsi="MS PGothic"/>
                <w:sz w:val="18"/>
                <w:szCs w:val="18"/>
                <w:color w:val="0563C1"/>
                <w:w w:val="99"/>
              </w:rPr>
            </w:pPr>
            <w:hyperlink r:id="rId706">
              <w:r>
                <w:rPr>
                  <w:rFonts w:ascii="MS PGothic" w:cs="MS PGothic" w:eastAsia="MS PGothic" w:hAnsi="MS PGothic"/>
                  <w:sz w:val="18"/>
                  <w:szCs w:val="18"/>
                  <w:color w:val="0563C1"/>
                  <w:w w:val="99"/>
                </w:rPr>
                <w:t>Marieta Materials, Inc. Annual Report on Form 10-K for the fscal year ended December 31, 2008) (Commission File No. 1-</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260" w:type="dxa"/>
            <w:vAlign w:val="bottom"/>
            <w:shd w:val="clear" w:color="auto" w:fill="0563C1"/>
          </w:tcPr>
          <w:p>
            <w:pPr>
              <w:spacing w:after="0" w:line="20" w:lineRule="exact"/>
              <w:rPr>
                <w:sz w:val="1"/>
                <w:szCs w:val="1"/>
                <w:color w:val="auto"/>
              </w:rPr>
            </w:pPr>
          </w:p>
        </w:tc>
        <w:tc>
          <w:tcPr>
            <w:tcW w:w="128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6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200" w:type="dxa"/>
            <w:vAlign w:val="bottom"/>
            <w:gridSpan w:val="3"/>
          </w:tcPr>
          <w:p>
            <w:pPr>
              <w:ind w:left="100"/>
              <w:spacing w:after="0"/>
              <w:rPr>
                <w:rFonts w:ascii="MS PGothic" w:cs="MS PGothic" w:eastAsia="MS PGothic" w:hAnsi="MS PGothic"/>
                <w:sz w:val="18"/>
                <w:szCs w:val="18"/>
                <w:color w:val="0563C1"/>
              </w:rPr>
            </w:pPr>
            <w:hyperlink r:id="rId706">
              <w:r>
                <w:rPr>
                  <w:rFonts w:ascii="MS PGothic" w:cs="MS PGothic" w:eastAsia="MS PGothic" w:hAnsi="MS PGothic"/>
                  <w:sz w:val="18"/>
                  <w:szCs w:val="18"/>
                  <w:color w:val="0563C1"/>
                </w:rPr>
                <w:t>12744)**</w:t>
              </w:r>
            </w:hyperlink>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660" w:type="dxa"/>
            <w:vAlign w:val="bottom"/>
            <w:tcBorders>
              <w:top w:val="single" w:sz="8" w:color="0563C1"/>
              <w:bottom w:val="single" w:sz="8" w:color="91BBD3"/>
            </w:tcBorders>
          </w:tcPr>
          <w:p>
            <w:pPr>
              <w:spacing w:after="0"/>
              <w:rPr>
                <w:sz w:val="2"/>
                <w:szCs w:val="2"/>
                <w:color w:val="auto"/>
              </w:rPr>
            </w:pPr>
          </w:p>
        </w:tc>
        <w:tc>
          <w:tcPr>
            <w:tcW w:w="440" w:type="dxa"/>
            <w:vAlign w:val="bottom"/>
            <w:tcBorders>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460" w:type="dxa"/>
            <w:vAlign w:val="bottom"/>
            <w:tcBorders>
              <w:bottom w:val="single" w:sz="8" w:color="91BBD3"/>
            </w:tcBorders>
          </w:tcPr>
          <w:p>
            <w:pPr>
              <w:spacing w:after="0"/>
              <w:rPr>
                <w:sz w:val="2"/>
                <w:szCs w:val="2"/>
                <w:color w:val="auto"/>
              </w:rPr>
            </w:pPr>
          </w:p>
        </w:tc>
        <w:tc>
          <w:tcPr>
            <w:tcW w:w="620" w:type="dxa"/>
            <w:vAlign w:val="bottom"/>
            <w:tcBorders>
              <w:bottom w:val="single" w:sz="8" w:color="91BBD3"/>
            </w:tcBorders>
          </w:tcPr>
          <w:p>
            <w:pPr>
              <w:spacing w:after="0"/>
              <w:rPr>
                <w:sz w:val="2"/>
                <w:szCs w:val="2"/>
                <w:color w:val="auto"/>
              </w:rPr>
            </w:pPr>
          </w:p>
        </w:tc>
        <w:tc>
          <w:tcPr>
            <w:tcW w:w="1260" w:type="dxa"/>
            <w:vAlign w:val="bottom"/>
            <w:tcBorders>
              <w:bottom w:val="single" w:sz="8" w:color="91BBD3"/>
            </w:tcBorders>
          </w:tcPr>
          <w:p>
            <w:pPr>
              <w:spacing w:after="0"/>
              <w:rPr>
                <w:sz w:val="2"/>
                <w:szCs w:val="2"/>
                <w:color w:val="auto"/>
              </w:rPr>
            </w:pPr>
          </w:p>
        </w:tc>
        <w:tc>
          <w:tcPr>
            <w:tcW w:w="1280" w:type="dxa"/>
            <w:vAlign w:val="bottom"/>
            <w:tcBorders>
              <w:bottom w:val="single" w:sz="8" w:color="91BBD3"/>
            </w:tcBorders>
          </w:tcPr>
          <w:p>
            <w:pPr>
              <w:spacing w:after="0"/>
              <w:rPr>
                <w:sz w:val="2"/>
                <w:szCs w:val="2"/>
                <w:color w:val="auto"/>
              </w:rPr>
            </w:pPr>
          </w:p>
        </w:tc>
        <w:tc>
          <w:tcPr>
            <w:tcW w:w="42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220" w:type="dxa"/>
            <w:vAlign w:val="bottom"/>
            <w:tcBorders>
              <w:bottom w:val="single" w:sz="8" w:color="91BBD3"/>
            </w:tcBorders>
          </w:tcPr>
          <w:p>
            <w:pPr>
              <w:spacing w:after="0"/>
              <w:rPr>
                <w:sz w:val="2"/>
                <w:szCs w:val="2"/>
                <w:color w:val="auto"/>
              </w:rPr>
            </w:pPr>
          </w:p>
        </w:tc>
        <w:tc>
          <w:tcPr>
            <w:tcW w:w="206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10.23</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4"/>
            <w:shd w:val="clear" w:color="auto" w:fill="DAE8F0"/>
          </w:tcPr>
          <w:p>
            <w:pPr>
              <w:spacing w:after="0" w:line="156" w:lineRule="exact"/>
              <w:rPr>
                <w:rFonts w:ascii="MS PGothic" w:cs="MS PGothic" w:eastAsia="MS PGothic" w:hAnsi="MS PGothic"/>
                <w:sz w:val="18"/>
                <w:szCs w:val="18"/>
                <w:color w:val="0563C1"/>
                <w:w w:val="97"/>
              </w:rPr>
            </w:pPr>
            <w:hyperlink r:id="rId707">
              <w:r>
                <w:rPr>
                  <w:rFonts w:ascii="MS PGothic" w:cs="MS PGothic" w:eastAsia="MS PGothic" w:hAnsi="MS PGothic"/>
                  <w:sz w:val="18"/>
                  <w:szCs w:val="18"/>
                  <w:color w:val="0563C1"/>
                  <w:w w:val="97"/>
                </w:rPr>
                <w:t>Martn Marieta Amended and Restated Stock-Based Award Plan last amended and restated February 18, 2016 (incorporated</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2320" w:type="dxa"/>
            <w:vAlign w:val="bottom"/>
            <w:gridSpan w:val="5"/>
            <w:shd w:val="clear" w:color="auto" w:fill="0563C1"/>
          </w:tcPr>
          <w:p>
            <w:pPr>
              <w:spacing w:after="0" w:line="20" w:lineRule="exact"/>
              <w:rPr>
                <w:sz w:val="1"/>
                <w:szCs w:val="1"/>
                <w:color w:val="auto"/>
              </w:rPr>
            </w:pPr>
          </w:p>
        </w:tc>
        <w:tc>
          <w:tcPr>
            <w:tcW w:w="1260" w:type="dxa"/>
            <w:vAlign w:val="bottom"/>
            <w:shd w:val="clear" w:color="auto" w:fill="0563C1"/>
          </w:tcPr>
          <w:p>
            <w:pPr>
              <w:spacing w:after="0" w:line="20" w:lineRule="exact"/>
              <w:rPr>
                <w:sz w:val="1"/>
                <w:szCs w:val="1"/>
                <w:color w:val="auto"/>
              </w:rPr>
            </w:pPr>
          </w:p>
        </w:tc>
        <w:tc>
          <w:tcPr>
            <w:tcW w:w="128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2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3"/>
            <w:shd w:val="clear" w:color="auto" w:fill="DAE8F0"/>
          </w:tcPr>
          <w:p>
            <w:pPr>
              <w:spacing w:after="0"/>
              <w:rPr>
                <w:rFonts w:ascii="MS PGothic" w:cs="MS PGothic" w:eastAsia="MS PGothic" w:hAnsi="MS PGothic"/>
                <w:sz w:val="18"/>
                <w:szCs w:val="18"/>
                <w:color w:val="0563C1"/>
                <w:w w:val="99"/>
              </w:rPr>
            </w:pPr>
            <w:hyperlink r:id="rId707">
              <w:r>
                <w:rPr>
                  <w:rFonts w:ascii="MS PGothic" w:cs="MS PGothic" w:eastAsia="MS PGothic" w:hAnsi="MS PGothic"/>
                  <w:sz w:val="18"/>
                  <w:szCs w:val="18"/>
                  <w:color w:val="0563C1"/>
                  <w:w w:val="99"/>
                </w:rPr>
                <w:t>by reference to Exhibit 10.01 to the Martn Marieta Materials, Inc. Quarterly Report on Form 10‑Q for the quarter ended</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91BBD3"/>
            </w:tcBorders>
          </w:tcPr>
          <w:p>
            <w:pPr>
              <w:spacing w:after="0"/>
              <w:rPr>
                <w:sz w:val="20"/>
                <w:szCs w:val="20"/>
                <w:color w:val="auto"/>
              </w:rPr>
            </w:pPr>
          </w:p>
        </w:tc>
        <w:tc>
          <w:tcPr>
            <w:tcW w:w="1660" w:type="dxa"/>
            <w:vAlign w:val="bottom"/>
            <w:tcBorders>
              <w:right w:val="single" w:sz="8" w:color="91BBD3"/>
            </w:tcBorders>
            <w:shd w:val="clear" w:color="auto" w:fill="DAE8F0"/>
          </w:tcPr>
          <w:p>
            <w:pPr>
              <w:spacing w:after="0"/>
              <w:rPr>
                <w:sz w:val="20"/>
                <w:szCs w:val="20"/>
                <w:color w:val="auto"/>
              </w:rPr>
            </w:pPr>
          </w:p>
        </w:tc>
        <w:tc>
          <w:tcPr>
            <w:tcW w:w="10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4"/>
            <w:shd w:val="clear" w:color="auto" w:fill="DAE8F0"/>
          </w:tcPr>
          <w:p>
            <w:pPr>
              <w:spacing w:after="0"/>
              <w:rPr>
                <w:rFonts w:ascii="MS PGothic" w:cs="MS PGothic" w:eastAsia="MS PGothic" w:hAnsi="MS PGothic"/>
                <w:sz w:val="18"/>
                <w:szCs w:val="18"/>
                <w:color w:val="0563C1"/>
              </w:rPr>
            </w:pPr>
            <w:hyperlink r:id="rId707">
              <w:r>
                <w:rPr>
                  <w:rFonts w:ascii="MS PGothic" w:cs="MS PGothic" w:eastAsia="MS PGothic" w:hAnsi="MS PGothic"/>
                  <w:sz w:val="18"/>
                  <w:szCs w:val="18"/>
                  <w:color w:val="0563C1"/>
                </w:rPr>
                <w:t>June 30, 2016) (Commission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80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46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26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320" w:type="dxa"/>
            <w:vAlign w:val="bottom"/>
            <w:tcBorders>
              <w:top w:val="single" w:sz="8" w:color="DAE8F0"/>
            </w:tcBorders>
            <w:shd w:val="clear" w:color="auto" w:fill="91BBD3"/>
          </w:tcPr>
          <w:p>
            <w:pPr>
              <w:spacing w:after="0" w:line="20" w:lineRule="exact"/>
              <w:rPr>
                <w:sz w:val="1"/>
                <w:szCs w:val="1"/>
                <w:color w:val="auto"/>
              </w:rPr>
            </w:pPr>
          </w:p>
        </w:tc>
        <w:tc>
          <w:tcPr>
            <w:tcW w:w="220" w:type="dxa"/>
            <w:vAlign w:val="bottom"/>
            <w:tcBorders>
              <w:top w:val="single" w:sz="8" w:color="DAE8F0"/>
            </w:tcBorders>
            <w:shd w:val="clear" w:color="auto" w:fill="91BBD3"/>
          </w:tcPr>
          <w:p>
            <w:pPr>
              <w:spacing w:after="0" w:line="20" w:lineRule="exact"/>
              <w:rPr>
                <w:sz w:val="1"/>
                <w:szCs w:val="1"/>
                <w:color w:val="auto"/>
              </w:rPr>
            </w:pPr>
          </w:p>
        </w:tc>
        <w:tc>
          <w:tcPr>
            <w:tcW w:w="206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10.24</w:t>
            </w:r>
          </w:p>
        </w:tc>
        <w:tc>
          <w:tcPr>
            <w:tcW w:w="100" w:type="dxa"/>
            <w:vAlign w:val="bottom"/>
          </w:tcPr>
          <w:p>
            <w:pPr>
              <w:spacing w:after="0"/>
              <w:rPr>
                <w:sz w:val="13"/>
                <w:szCs w:val="13"/>
                <w:color w:val="auto"/>
              </w:rPr>
            </w:pPr>
          </w:p>
        </w:tc>
        <w:tc>
          <w:tcPr>
            <w:tcW w:w="8980" w:type="dxa"/>
            <w:vAlign w:val="bottom"/>
            <w:tcBorders>
              <w:bottom w:val="single" w:sz="8" w:color="0563C1"/>
            </w:tcBorders>
            <w:gridSpan w:val="13"/>
          </w:tcPr>
          <w:p>
            <w:pPr>
              <w:spacing w:after="0" w:line="156" w:lineRule="exact"/>
              <w:rPr>
                <w:rFonts w:ascii="MS PGothic" w:cs="MS PGothic" w:eastAsia="MS PGothic" w:hAnsi="MS PGothic"/>
                <w:sz w:val="18"/>
                <w:szCs w:val="18"/>
                <w:color w:val="0563C1"/>
                <w:w w:val="97"/>
              </w:rPr>
            </w:pPr>
            <w:hyperlink r:id="rId708">
              <w:r>
                <w:rPr>
                  <w:rFonts w:ascii="MS PGothic" w:cs="MS PGothic" w:eastAsia="MS PGothic" w:hAnsi="MS PGothic"/>
                  <w:sz w:val="18"/>
                  <w:szCs w:val="18"/>
                  <w:color w:val="0563C1"/>
                  <w:w w:val="97"/>
                </w:rPr>
                <w:t>Martn Marieta Executve Cash Incentve Plan adopted February 18, 2016 (incorporated by reference to Exhibit 10.02 to the</w:t>
              </w:r>
            </w:hyperlink>
          </w:p>
        </w:tc>
        <w:tc>
          <w:tcPr>
            <w:tcW w:w="140" w:type="dxa"/>
            <w:vAlign w:val="bottom"/>
            <w:tcBorders>
              <w:right w:val="single" w:sz="8" w:color="91BBD3"/>
            </w:tcBorders>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rPr>
                <w:rFonts w:ascii="MS PGothic" w:cs="MS PGothic" w:eastAsia="MS PGothic" w:hAnsi="MS PGothic"/>
                <w:sz w:val="18"/>
                <w:szCs w:val="18"/>
                <w:color w:val="0563C1"/>
                <w:w w:val="98"/>
              </w:rPr>
            </w:pPr>
            <w:hyperlink r:id="rId708">
              <w:r>
                <w:rPr>
                  <w:rFonts w:ascii="MS PGothic" w:cs="MS PGothic" w:eastAsia="MS PGothic" w:hAnsi="MS PGothic"/>
                  <w:sz w:val="18"/>
                  <w:szCs w:val="18"/>
                  <w:color w:val="0563C1"/>
                  <w:w w:val="98"/>
                </w:rPr>
                <w:t>Martn Marieta Materials, Inc. Quarterly Report on Form 10‑Q for the quarter ended June 30, 2016) (Commission File No. 1-</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260" w:type="dxa"/>
            <w:vAlign w:val="bottom"/>
            <w:shd w:val="clear" w:color="auto" w:fill="0563C1"/>
          </w:tcPr>
          <w:p>
            <w:pPr>
              <w:spacing w:after="0" w:line="20" w:lineRule="exact"/>
              <w:rPr>
                <w:sz w:val="1"/>
                <w:szCs w:val="1"/>
                <w:color w:val="auto"/>
              </w:rPr>
            </w:pPr>
          </w:p>
        </w:tc>
        <w:tc>
          <w:tcPr>
            <w:tcW w:w="128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6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200" w:type="dxa"/>
            <w:vAlign w:val="bottom"/>
            <w:gridSpan w:val="3"/>
          </w:tcPr>
          <w:p>
            <w:pPr>
              <w:ind w:left="100"/>
              <w:spacing w:after="0"/>
              <w:rPr>
                <w:rFonts w:ascii="MS PGothic" w:cs="MS PGothic" w:eastAsia="MS PGothic" w:hAnsi="MS PGothic"/>
                <w:sz w:val="18"/>
                <w:szCs w:val="18"/>
                <w:color w:val="0563C1"/>
              </w:rPr>
            </w:pPr>
            <w:hyperlink r:id="rId708">
              <w:r>
                <w:rPr>
                  <w:rFonts w:ascii="MS PGothic" w:cs="MS PGothic" w:eastAsia="MS PGothic" w:hAnsi="MS PGothic"/>
                  <w:sz w:val="18"/>
                  <w:szCs w:val="18"/>
                  <w:color w:val="0563C1"/>
                </w:rPr>
                <w:t>12744)**</w:t>
              </w:r>
            </w:hyperlink>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660" w:type="dxa"/>
            <w:vAlign w:val="bottom"/>
            <w:tcBorders>
              <w:top w:val="single" w:sz="8" w:color="0563C1"/>
              <w:bottom w:val="single" w:sz="8" w:color="91BBD3"/>
            </w:tcBorders>
          </w:tcPr>
          <w:p>
            <w:pPr>
              <w:spacing w:after="0"/>
              <w:rPr>
                <w:sz w:val="2"/>
                <w:szCs w:val="2"/>
                <w:color w:val="auto"/>
              </w:rPr>
            </w:pPr>
          </w:p>
        </w:tc>
        <w:tc>
          <w:tcPr>
            <w:tcW w:w="440" w:type="dxa"/>
            <w:vAlign w:val="bottom"/>
            <w:tcBorders>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160" w:type="dxa"/>
            <w:vAlign w:val="bottom"/>
            <w:tcBorders>
              <w:bottom w:val="single" w:sz="8" w:color="91BBD3"/>
            </w:tcBorders>
          </w:tcPr>
          <w:p>
            <w:pPr>
              <w:spacing w:after="0"/>
              <w:rPr>
                <w:sz w:val="2"/>
                <w:szCs w:val="2"/>
                <w:color w:val="auto"/>
              </w:rPr>
            </w:pPr>
          </w:p>
        </w:tc>
        <w:tc>
          <w:tcPr>
            <w:tcW w:w="460" w:type="dxa"/>
            <w:vAlign w:val="bottom"/>
            <w:tcBorders>
              <w:bottom w:val="single" w:sz="8" w:color="91BBD3"/>
            </w:tcBorders>
          </w:tcPr>
          <w:p>
            <w:pPr>
              <w:spacing w:after="0"/>
              <w:rPr>
                <w:sz w:val="2"/>
                <w:szCs w:val="2"/>
                <w:color w:val="auto"/>
              </w:rPr>
            </w:pPr>
          </w:p>
        </w:tc>
        <w:tc>
          <w:tcPr>
            <w:tcW w:w="620" w:type="dxa"/>
            <w:vAlign w:val="bottom"/>
            <w:tcBorders>
              <w:bottom w:val="single" w:sz="8" w:color="91BBD3"/>
            </w:tcBorders>
          </w:tcPr>
          <w:p>
            <w:pPr>
              <w:spacing w:after="0"/>
              <w:rPr>
                <w:sz w:val="2"/>
                <w:szCs w:val="2"/>
                <w:color w:val="auto"/>
              </w:rPr>
            </w:pPr>
          </w:p>
        </w:tc>
        <w:tc>
          <w:tcPr>
            <w:tcW w:w="1260" w:type="dxa"/>
            <w:vAlign w:val="bottom"/>
            <w:tcBorders>
              <w:bottom w:val="single" w:sz="8" w:color="91BBD3"/>
            </w:tcBorders>
          </w:tcPr>
          <w:p>
            <w:pPr>
              <w:spacing w:after="0"/>
              <w:rPr>
                <w:sz w:val="2"/>
                <w:szCs w:val="2"/>
                <w:color w:val="auto"/>
              </w:rPr>
            </w:pPr>
          </w:p>
        </w:tc>
        <w:tc>
          <w:tcPr>
            <w:tcW w:w="1280" w:type="dxa"/>
            <w:vAlign w:val="bottom"/>
            <w:tcBorders>
              <w:bottom w:val="single" w:sz="8" w:color="91BBD3"/>
            </w:tcBorders>
          </w:tcPr>
          <w:p>
            <w:pPr>
              <w:spacing w:after="0"/>
              <w:rPr>
                <w:sz w:val="2"/>
                <w:szCs w:val="2"/>
                <w:color w:val="auto"/>
              </w:rPr>
            </w:pPr>
          </w:p>
        </w:tc>
        <w:tc>
          <w:tcPr>
            <w:tcW w:w="42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220" w:type="dxa"/>
            <w:vAlign w:val="bottom"/>
            <w:tcBorders>
              <w:bottom w:val="single" w:sz="8" w:color="91BBD3"/>
            </w:tcBorders>
          </w:tcPr>
          <w:p>
            <w:pPr>
              <w:spacing w:after="0"/>
              <w:rPr>
                <w:sz w:val="2"/>
                <w:szCs w:val="2"/>
                <w:color w:val="auto"/>
              </w:rPr>
            </w:pPr>
          </w:p>
        </w:tc>
        <w:tc>
          <w:tcPr>
            <w:tcW w:w="206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bottom w:val="single" w:sz="8" w:color="DAE8F0"/>
              <w:right w:val="single" w:sz="8" w:color="91BBD3"/>
            </w:tcBorders>
            <w:shd w:val="clear" w:color="auto" w:fill="DAE8F0"/>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10.25</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3"/>
            <w:shd w:val="clear" w:color="auto" w:fill="DAE8F0"/>
          </w:tcPr>
          <w:p>
            <w:pPr>
              <w:spacing w:after="0" w:line="156" w:lineRule="exact"/>
              <w:rPr>
                <w:rFonts w:ascii="MS PGothic" w:cs="MS PGothic" w:eastAsia="MS PGothic" w:hAnsi="MS PGothic"/>
                <w:sz w:val="18"/>
                <w:szCs w:val="18"/>
                <w:color w:val="0563C1"/>
                <w:w w:val="98"/>
              </w:rPr>
            </w:pPr>
            <w:hyperlink r:id="rId709">
              <w:r>
                <w:rPr>
                  <w:rFonts w:ascii="MS PGothic" w:cs="MS PGothic" w:eastAsia="MS PGothic" w:hAnsi="MS PGothic"/>
                  <w:sz w:val="18"/>
                  <w:szCs w:val="18"/>
                  <w:color w:val="0563C1"/>
                  <w:w w:val="98"/>
                </w:rPr>
                <w:t>Martn Marieta Materials, Inc. Amended Omnibus Securites Award Plan (incorporated by reference to Exhibit 10.16 to the</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4"/>
            <w:shd w:val="clear" w:color="auto" w:fill="DAE8F0"/>
          </w:tcPr>
          <w:p>
            <w:pPr>
              <w:spacing w:after="0"/>
              <w:rPr>
                <w:rFonts w:ascii="MS PGothic" w:cs="MS PGothic" w:eastAsia="MS PGothic" w:hAnsi="MS PGothic"/>
                <w:sz w:val="18"/>
                <w:szCs w:val="18"/>
                <w:color w:val="0563C1"/>
              </w:rPr>
            </w:pPr>
            <w:hyperlink r:id="rId709">
              <w:r>
                <w:rPr>
                  <w:rFonts w:ascii="MS PGothic" w:cs="MS PGothic" w:eastAsia="MS PGothic" w:hAnsi="MS PGothic"/>
                  <w:sz w:val="18"/>
                  <w:szCs w:val="18"/>
                  <w:color w:val="0563C1"/>
                </w:rPr>
                <w:t>Martn Marieta Materials, Inc. Annual Report on Form 10‑K for the fscal year ended December 31, 2000) (Commission File</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91BBD3"/>
            </w:tcBorders>
          </w:tcPr>
          <w:p>
            <w:pPr>
              <w:spacing w:after="0"/>
              <w:rPr>
                <w:sz w:val="20"/>
                <w:szCs w:val="20"/>
                <w:color w:val="auto"/>
              </w:rPr>
            </w:pPr>
          </w:p>
        </w:tc>
        <w:tc>
          <w:tcPr>
            <w:tcW w:w="1660" w:type="dxa"/>
            <w:vAlign w:val="bottom"/>
            <w:tcBorders>
              <w:top w:val="single" w:sz="8" w:color="DAE8F0"/>
              <w:right w:val="single" w:sz="8" w:color="91BBD3"/>
            </w:tcBorders>
            <w:shd w:val="clear" w:color="auto" w:fill="DAE8F0"/>
          </w:tcPr>
          <w:p>
            <w:pPr>
              <w:spacing w:after="0"/>
              <w:rPr>
                <w:sz w:val="20"/>
                <w:szCs w:val="20"/>
                <w:color w:val="auto"/>
              </w:rPr>
            </w:pPr>
          </w:p>
        </w:tc>
        <w:tc>
          <w:tcPr>
            <w:tcW w:w="100" w:type="dxa"/>
            <w:vAlign w:val="bottom"/>
            <w:tcBorders>
              <w:top w:val="single" w:sz="8" w:color="DAE8F0"/>
            </w:tcBorders>
            <w:shd w:val="clear" w:color="auto" w:fill="DAE8F0"/>
          </w:tcPr>
          <w:p>
            <w:pPr>
              <w:spacing w:after="0"/>
              <w:rPr>
                <w:sz w:val="20"/>
                <w:szCs w:val="20"/>
                <w:color w:val="auto"/>
              </w:rPr>
            </w:pPr>
          </w:p>
        </w:tc>
        <w:tc>
          <w:tcPr>
            <w:tcW w:w="8980" w:type="dxa"/>
            <w:vAlign w:val="bottom"/>
            <w:tcBorders>
              <w:top w:val="single" w:sz="8" w:color="0563C1"/>
            </w:tcBorders>
            <w:gridSpan w:val="13"/>
            <w:shd w:val="clear" w:color="auto" w:fill="DAE8F0"/>
          </w:tcPr>
          <w:p>
            <w:pPr>
              <w:spacing w:after="0"/>
              <w:rPr>
                <w:rFonts w:ascii="MS PGothic" w:cs="MS PGothic" w:eastAsia="MS PGothic" w:hAnsi="MS PGothic"/>
                <w:sz w:val="18"/>
                <w:szCs w:val="18"/>
                <w:color w:val="0563C1"/>
              </w:rPr>
            </w:pPr>
            <w:hyperlink r:id="rId709">
              <w:r>
                <w:rPr>
                  <w:rFonts w:ascii="MS PGothic" w:cs="MS PGothic" w:eastAsia="MS PGothic" w:hAnsi="MS PGothic"/>
                  <w:sz w:val="18"/>
                  <w:szCs w:val="18"/>
                  <w:color w:val="0563C1"/>
                </w:rPr>
                <w:t>No. 1-12744)**</w:t>
              </w:r>
            </w:hyperlink>
          </w:p>
        </w:tc>
        <w:tc>
          <w:tcPr>
            <w:tcW w:w="140" w:type="dxa"/>
            <w:vAlign w:val="bottom"/>
            <w:tcBorders>
              <w:top w:val="single" w:sz="8" w:color="DAE8F0"/>
              <w:left w:val="single" w:sz="8" w:color="DAE8F0"/>
              <w:right w:val="single" w:sz="8" w:color="91BBD3"/>
            </w:tcBorders>
            <w:shd w:val="clear" w:color="auto" w:fill="DAE8F0"/>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80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46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126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320" w:type="dxa"/>
            <w:vAlign w:val="bottom"/>
            <w:tcBorders>
              <w:top w:val="single" w:sz="8" w:color="DAE8F0"/>
            </w:tcBorders>
            <w:shd w:val="clear" w:color="auto" w:fill="91BBD3"/>
          </w:tcPr>
          <w:p>
            <w:pPr>
              <w:spacing w:after="0" w:line="20" w:lineRule="exact"/>
              <w:rPr>
                <w:sz w:val="1"/>
                <w:szCs w:val="1"/>
                <w:color w:val="auto"/>
              </w:rPr>
            </w:pPr>
          </w:p>
        </w:tc>
        <w:tc>
          <w:tcPr>
            <w:tcW w:w="220" w:type="dxa"/>
            <w:vAlign w:val="bottom"/>
            <w:tcBorders>
              <w:top w:val="single" w:sz="8" w:color="DAE8F0"/>
            </w:tcBorders>
            <w:shd w:val="clear" w:color="auto" w:fill="91BBD3"/>
          </w:tcPr>
          <w:p>
            <w:pPr>
              <w:spacing w:after="0" w:line="20" w:lineRule="exact"/>
              <w:rPr>
                <w:sz w:val="1"/>
                <w:szCs w:val="1"/>
                <w:color w:val="auto"/>
              </w:rPr>
            </w:pPr>
          </w:p>
        </w:tc>
        <w:tc>
          <w:tcPr>
            <w:tcW w:w="206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10.26</w:t>
            </w:r>
          </w:p>
        </w:tc>
        <w:tc>
          <w:tcPr>
            <w:tcW w:w="100" w:type="dxa"/>
            <w:vAlign w:val="bottom"/>
          </w:tcPr>
          <w:p>
            <w:pPr>
              <w:spacing w:after="0"/>
              <w:rPr>
                <w:sz w:val="13"/>
                <w:szCs w:val="13"/>
                <w:color w:val="auto"/>
              </w:rPr>
            </w:pPr>
          </w:p>
        </w:tc>
        <w:tc>
          <w:tcPr>
            <w:tcW w:w="9120" w:type="dxa"/>
            <w:vAlign w:val="bottom"/>
            <w:tcBorders>
              <w:right w:val="single" w:sz="8" w:color="91BBD3"/>
            </w:tcBorders>
            <w:gridSpan w:val="14"/>
          </w:tcPr>
          <w:p>
            <w:pPr>
              <w:spacing w:after="0" w:line="156" w:lineRule="exact"/>
              <w:rPr>
                <w:rFonts w:ascii="MS PGothic" w:cs="MS PGothic" w:eastAsia="MS PGothic" w:hAnsi="MS PGothic"/>
                <w:sz w:val="18"/>
                <w:szCs w:val="18"/>
                <w:color w:val="0563C1"/>
              </w:rPr>
            </w:pPr>
            <w:hyperlink r:id="rId710">
              <w:r>
                <w:rPr>
                  <w:rFonts w:ascii="MS PGothic" w:cs="MS PGothic" w:eastAsia="MS PGothic" w:hAnsi="MS PGothic"/>
                  <w:sz w:val="18"/>
                  <w:szCs w:val="18"/>
                  <w:color w:val="0563C1"/>
                </w:rPr>
                <w:t>Martn Marieta Materials, Inc. Third Amended and Restated Supplemental Excess Retrement Plan (incorporated by</w:t>
              </w:r>
            </w:hyperlink>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gridSpan w:val="8"/>
            <w:shd w:val="clear" w:color="auto" w:fill="0563C1"/>
          </w:tcPr>
          <w:p>
            <w:pPr>
              <w:spacing w:after="0" w:line="20" w:lineRule="exact"/>
              <w:rPr>
                <w:sz w:val="1"/>
                <w:szCs w:val="1"/>
                <w:color w:val="auto"/>
              </w:rPr>
            </w:pPr>
          </w:p>
        </w:tc>
        <w:tc>
          <w:tcPr>
            <w:tcW w:w="128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280" w:type="dxa"/>
            <w:vAlign w:val="bottom"/>
            <w:gridSpan w:val="2"/>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rPr>
                <w:rFonts w:ascii="MS PGothic" w:cs="MS PGothic" w:eastAsia="MS PGothic" w:hAnsi="MS PGothic"/>
                <w:sz w:val="18"/>
                <w:szCs w:val="18"/>
                <w:color w:val="0563C1"/>
                <w:w w:val="98"/>
              </w:rPr>
            </w:pPr>
            <w:hyperlink r:id="rId710">
              <w:r>
                <w:rPr>
                  <w:rFonts w:ascii="MS PGothic" w:cs="MS PGothic" w:eastAsia="MS PGothic" w:hAnsi="MS PGothic"/>
                  <w:sz w:val="18"/>
                  <w:szCs w:val="18"/>
                  <w:color w:val="0563C1"/>
                  <w:w w:val="98"/>
                </w:rPr>
                <w:t>reference to Exhibit 10 to the Martn Marieta Materials, Inc. Quarterly Report on Form 10-Q for the quarter ended June 30,</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3"/>
          </w:tcPr>
          <w:p>
            <w:pPr>
              <w:spacing w:after="0"/>
              <w:rPr>
                <w:rFonts w:ascii="MS PGothic" w:cs="MS PGothic" w:eastAsia="MS PGothic" w:hAnsi="MS PGothic"/>
                <w:sz w:val="18"/>
                <w:szCs w:val="18"/>
                <w:color w:val="0563C1"/>
              </w:rPr>
            </w:pPr>
            <w:hyperlink r:id="rId710">
              <w:r>
                <w:rPr>
                  <w:rFonts w:ascii="MS PGothic" w:cs="MS PGothic" w:eastAsia="MS PGothic" w:hAnsi="MS PGothic"/>
                  <w:sz w:val="18"/>
                  <w:szCs w:val="18"/>
                  <w:color w:val="0563C1"/>
                </w:rPr>
                <w:t>2012)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660" w:type="dxa"/>
            <w:vAlign w:val="bottom"/>
            <w:tcBorders>
              <w:top w:val="single" w:sz="8" w:color="0563C1"/>
              <w:bottom w:val="single" w:sz="8" w:color="91BBD3"/>
            </w:tcBorders>
          </w:tcPr>
          <w:p>
            <w:pPr>
              <w:spacing w:after="0"/>
              <w:rPr>
                <w:sz w:val="2"/>
                <w:szCs w:val="2"/>
                <w:color w:val="auto"/>
              </w:rPr>
            </w:pPr>
          </w:p>
        </w:tc>
        <w:tc>
          <w:tcPr>
            <w:tcW w:w="44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800" w:type="dxa"/>
            <w:vAlign w:val="bottom"/>
            <w:tcBorders>
              <w:top w:val="single" w:sz="8" w:color="0563C1"/>
              <w:bottom w:val="single" w:sz="8" w:color="91BBD3"/>
            </w:tcBorders>
          </w:tcPr>
          <w:p>
            <w:pPr>
              <w:spacing w:after="0"/>
              <w:rPr>
                <w:sz w:val="2"/>
                <w:szCs w:val="2"/>
                <w:color w:val="auto"/>
              </w:rPr>
            </w:pPr>
          </w:p>
        </w:tc>
        <w:tc>
          <w:tcPr>
            <w:tcW w:w="160" w:type="dxa"/>
            <w:vAlign w:val="bottom"/>
            <w:tcBorders>
              <w:top w:val="single" w:sz="8" w:color="0563C1"/>
              <w:bottom w:val="single" w:sz="8" w:color="91BBD3"/>
            </w:tcBorders>
          </w:tcPr>
          <w:p>
            <w:pPr>
              <w:spacing w:after="0"/>
              <w:rPr>
                <w:sz w:val="2"/>
                <w:szCs w:val="2"/>
                <w:color w:val="auto"/>
              </w:rPr>
            </w:pPr>
          </w:p>
        </w:tc>
        <w:tc>
          <w:tcPr>
            <w:tcW w:w="460" w:type="dxa"/>
            <w:vAlign w:val="bottom"/>
            <w:tcBorders>
              <w:top w:val="single" w:sz="8" w:color="0563C1"/>
              <w:bottom w:val="single" w:sz="8" w:color="91BBD3"/>
            </w:tcBorders>
          </w:tcPr>
          <w:p>
            <w:pPr>
              <w:spacing w:after="0"/>
              <w:rPr>
                <w:sz w:val="2"/>
                <w:szCs w:val="2"/>
                <w:color w:val="auto"/>
              </w:rPr>
            </w:pPr>
          </w:p>
        </w:tc>
        <w:tc>
          <w:tcPr>
            <w:tcW w:w="620" w:type="dxa"/>
            <w:vAlign w:val="bottom"/>
            <w:tcBorders>
              <w:bottom w:val="single" w:sz="8" w:color="91BBD3"/>
            </w:tcBorders>
          </w:tcPr>
          <w:p>
            <w:pPr>
              <w:spacing w:after="0"/>
              <w:rPr>
                <w:sz w:val="2"/>
                <w:szCs w:val="2"/>
                <w:color w:val="auto"/>
              </w:rPr>
            </w:pPr>
          </w:p>
        </w:tc>
        <w:tc>
          <w:tcPr>
            <w:tcW w:w="1260" w:type="dxa"/>
            <w:vAlign w:val="bottom"/>
            <w:tcBorders>
              <w:bottom w:val="single" w:sz="8" w:color="91BBD3"/>
            </w:tcBorders>
          </w:tcPr>
          <w:p>
            <w:pPr>
              <w:spacing w:after="0"/>
              <w:rPr>
                <w:sz w:val="2"/>
                <w:szCs w:val="2"/>
                <w:color w:val="auto"/>
              </w:rPr>
            </w:pPr>
          </w:p>
        </w:tc>
        <w:tc>
          <w:tcPr>
            <w:tcW w:w="1280" w:type="dxa"/>
            <w:vAlign w:val="bottom"/>
            <w:tcBorders>
              <w:bottom w:val="single" w:sz="8" w:color="91BBD3"/>
            </w:tcBorders>
          </w:tcPr>
          <w:p>
            <w:pPr>
              <w:spacing w:after="0"/>
              <w:rPr>
                <w:sz w:val="2"/>
                <w:szCs w:val="2"/>
                <w:color w:val="auto"/>
              </w:rPr>
            </w:pPr>
          </w:p>
        </w:tc>
        <w:tc>
          <w:tcPr>
            <w:tcW w:w="42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220" w:type="dxa"/>
            <w:vAlign w:val="bottom"/>
            <w:tcBorders>
              <w:bottom w:val="single" w:sz="8" w:color="91BBD3"/>
            </w:tcBorders>
          </w:tcPr>
          <w:p>
            <w:pPr>
              <w:spacing w:after="0"/>
              <w:rPr>
                <w:sz w:val="2"/>
                <w:szCs w:val="2"/>
                <w:color w:val="auto"/>
              </w:rPr>
            </w:pPr>
          </w:p>
        </w:tc>
        <w:tc>
          <w:tcPr>
            <w:tcW w:w="206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right w:val="single" w:sz="8" w:color="91BBD3"/>
            </w:tcBorders>
            <w:shd w:val="clear" w:color="auto" w:fill="DAE8F0"/>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10.27</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4"/>
            <w:shd w:val="clear" w:color="auto" w:fill="DAE8F0"/>
          </w:tcPr>
          <w:p>
            <w:pPr>
              <w:spacing w:after="0" w:line="156" w:lineRule="exact"/>
              <w:rPr>
                <w:rFonts w:ascii="MS PGothic" w:cs="MS PGothic" w:eastAsia="MS PGothic" w:hAnsi="MS PGothic"/>
                <w:sz w:val="18"/>
                <w:szCs w:val="18"/>
                <w:color w:val="0563C1"/>
                <w:w w:val="98"/>
              </w:rPr>
            </w:pPr>
            <w:hyperlink r:id="rId711">
              <w:r>
                <w:rPr>
                  <w:rFonts w:ascii="MS PGothic" w:cs="MS PGothic" w:eastAsia="MS PGothic" w:hAnsi="MS PGothic"/>
                  <w:sz w:val="18"/>
                  <w:szCs w:val="18"/>
                  <w:color w:val="0563C1"/>
                  <w:w w:val="98"/>
                </w:rPr>
                <w:t>Form of Opton Award Agreement under the Martn Marieta Materials, Inc. Amended and Restated Stock-Based Award Plan</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4680" w:type="dxa"/>
            <w:vAlign w:val="bottom"/>
            <w:gridSpan w:val="8"/>
            <w:shd w:val="clear" w:color="auto" w:fill="0563C1"/>
          </w:tcPr>
          <w:p>
            <w:pPr>
              <w:spacing w:after="0" w:line="20" w:lineRule="exact"/>
              <w:rPr>
                <w:sz w:val="1"/>
                <w:szCs w:val="1"/>
                <w:color w:val="auto"/>
              </w:rPr>
            </w:pPr>
          </w:p>
        </w:tc>
        <w:tc>
          <w:tcPr>
            <w:tcW w:w="128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2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3"/>
            <w:shd w:val="clear" w:color="auto" w:fill="DAE8F0"/>
          </w:tcPr>
          <w:p>
            <w:pPr>
              <w:spacing w:after="0"/>
              <w:rPr>
                <w:rFonts w:ascii="MS PGothic" w:cs="MS PGothic" w:eastAsia="MS PGothic" w:hAnsi="MS PGothic"/>
                <w:sz w:val="18"/>
                <w:szCs w:val="18"/>
                <w:color w:val="0563C1"/>
                <w:w w:val="97"/>
              </w:rPr>
            </w:pPr>
            <w:hyperlink r:id="rId711">
              <w:r>
                <w:rPr>
                  <w:rFonts w:ascii="MS PGothic" w:cs="MS PGothic" w:eastAsia="MS PGothic" w:hAnsi="MS PGothic"/>
                  <w:sz w:val="18"/>
                  <w:szCs w:val="18"/>
                  <w:color w:val="0563C1"/>
                  <w:w w:val="97"/>
                </w:rPr>
                <w:t>(incorporated by reference to Exhibit 10.11 to the Martn Marieta Materials, Inc. Annual Report on Form 10-K for the fscal</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91BBD3"/>
            </w:tcBorders>
          </w:tcPr>
          <w:p>
            <w:pPr>
              <w:spacing w:after="0"/>
              <w:rPr>
                <w:sz w:val="20"/>
                <w:szCs w:val="20"/>
                <w:color w:val="auto"/>
              </w:rPr>
            </w:pPr>
          </w:p>
        </w:tc>
        <w:tc>
          <w:tcPr>
            <w:tcW w:w="1660" w:type="dxa"/>
            <w:vAlign w:val="bottom"/>
            <w:tcBorders>
              <w:right w:val="single" w:sz="8" w:color="91BBD3"/>
            </w:tcBorders>
            <w:shd w:val="clear" w:color="auto" w:fill="DAE8F0"/>
          </w:tcPr>
          <w:p>
            <w:pPr>
              <w:spacing w:after="0"/>
              <w:rPr>
                <w:sz w:val="20"/>
                <w:szCs w:val="20"/>
                <w:color w:val="auto"/>
              </w:rPr>
            </w:pPr>
          </w:p>
        </w:tc>
        <w:tc>
          <w:tcPr>
            <w:tcW w:w="10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4"/>
            <w:shd w:val="clear" w:color="auto" w:fill="DAE8F0"/>
          </w:tcPr>
          <w:p>
            <w:pPr>
              <w:spacing w:after="0"/>
              <w:rPr>
                <w:rFonts w:ascii="MS PGothic" w:cs="MS PGothic" w:eastAsia="MS PGothic" w:hAnsi="MS PGothic"/>
                <w:sz w:val="18"/>
                <w:szCs w:val="18"/>
                <w:color w:val="0563C1"/>
              </w:rPr>
            </w:pPr>
            <w:hyperlink r:id="rId711">
              <w:r>
                <w:rPr>
                  <w:rFonts w:ascii="MS PGothic" w:cs="MS PGothic" w:eastAsia="MS PGothic" w:hAnsi="MS PGothic"/>
                  <w:sz w:val="18"/>
                  <w:szCs w:val="18"/>
                  <w:color w:val="0563C1"/>
                </w:rPr>
                <w:t>year ended December 31, 2008) (Commission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80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46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260" w:type="dxa"/>
            <w:vAlign w:val="bottom"/>
            <w:tcBorders>
              <w:top w:val="single" w:sz="8" w:color="0563C1"/>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320" w:type="dxa"/>
            <w:vAlign w:val="bottom"/>
            <w:tcBorders>
              <w:top w:val="single" w:sz="8" w:color="DAE8F0"/>
            </w:tcBorders>
            <w:shd w:val="clear" w:color="auto" w:fill="91BBD3"/>
          </w:tcPr>
          <w:p>
            <w:pPr>
              <w:spacing w:after="0" w:line="20" w:lineRule="exact"/>
              <w:rPr>
                <w:sz w:val="1"/>
                <w:szCs w:val="1"/>
                <w:color w:val="auto"/>
              </w:rPr>
            </w:pPr>
          </w:p>
        </w:tc>
        <w:tc>
          <w:tcPr>
            <w:tcW w:w="220" w:type="dxa"/>
            <w:vAlign w:val="bottom"/>
            <w:tcBorders>
              <w:top w:val="single" w:sz="8" w:color="DAE8F0"/>
            </w:tcBorders>
            <w:shd w:val="clear" w:color="auto" w:fill="91BBD3"/>
          </w:tcPr>
          <w:p>
            <w:pPr>
              <w:spacing w:after="0" w:line="20" w:lineRule="exact"/>
              <w:rPr>
                <w:sz w:val="1"/>
                <w:szCs w:val="1"/>
                <w:color w:val="auto"/>
              </w:rPr>
            </w:pPr>
          </w:p>
        </w:tc>
        <w:tc>
          <w:tcPr>
            <w:tcW w:w="206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10.28</w:t>
            </w:r>
          </w:p>
        </w:tc>
        <w:tc>
          <w:tcPr>
            <w:tcW w:w="100" w:type="dxa"/>
            <w:vAlign w:val="bottom"/>
          </w:tcPr>
          <w:p>
            <w:pPr>
              <w:spacing w:after="0"/>
              <w:rPr>
                <w:sz w:val="13"/>
                <w:szCs w:val="13"/>
                <w:color w:val="auto"/>
              </w:rPr>
            </w:pPr>
          </w:p>
        </w:tc>
        <w:tc>
          <w:tcPr>
            <w:tcW w:w="8980" w:type="dxa"/>
            <w:vAlign w:val="bottom"/>
            <w:tcBorders>
              <w:bottom w:val="single" w:sz="8" w:color="0563C1"/>
            </w:tcBorders>
            <w:gridSpan w:val="13"/>
          </w:tcPr>
          <w:p>
            <w:pPr>
              <w:spacing w:after="0" w:line="156" w:lineRule="exact"/>
              <w:rPr>
                <w:rFonts w:ascii="MS PGothic" w:cs="MS PGothic" w:eastAsia="MS PGothic" w:hAnsi="MS PGothic"/>
                <w:sz w:val="18"/>
                <w:szCs w:val="18"/>
                <w:color w:val="0563C1"/>
                <w:w w:val="98"/>
              </w:rPr>
            </w:pPr>
            <w:hyperlink r:id="rId712">
              <w:r>
                <w:rPr>
                  <w:rFonts w:ascii="MS PGothic" w:cs="MS PGothic" w:eastAsia="MS PGothic" w:hAnsi="MS PGothic"/>
                  <w:sz w:val="18"/>
                  <w:szCs w:val="18"/>
                  <w:color w:val="0563C1"/>
                  <w:w w:val="98"/>
                </w:rPr>
                <w:t>Form of Amendment to the Stock Unit Agreement under the Martn Marieta Materials, Inc. Amended and Restated Stock-</w:t>
              </w:r>
            </w:hyperlink>
          </w:p>
        </w:tc>
        <w:tc>
          <w:tcPr>
            <w:tcW w:w="140" w:type="dxa"/>
            <w:vAlign w:val="bottom"/>
            <w:tcBorders>
              <w:right w:val="single" w:sz="8" w:color="91BBD3"/>
            </w:tcBorders>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rPr>
                <w:rFonts w:ascii="MS PGothic" w:cs="MS PGothic" w:eastAsia="MS PGothic" w:hAnsi="MS PGothic"/>
                <w:sz w:val="18"/>
                <w:szCs w:val="18"/>
                <w:color w:val="0563C1"/>
                <w:w w:val="99"/>
              </w:rPr>
            </w:pPr>
            <w:hyperlink r:id="rId712">
              <w:r>
                <w:rPr>
                  <w:rFonts w:ascii="MS PGothic" w:cs="MS PGothic" w:eastAsia="MS PGothic" w:hAnsi="MS PGothic"/>
                  <w:sz w:val="18"/>
                  <w:szCs w:val="18"/>
                  <w:color w:val="0563C1"/>
                  <w:w w:val="99"/>
                </w:rPr>
                <w:t>Based Award Plan (incorporated by reference to Exhibit 10.13 to the Martn Marieta Materials, Inc. Annual Report on Form</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3"/>
          </w:tcPr>
          <w:p>
            <w:pPr>
              <w:spacing w:after="0"/>
              <w:rPr>
                <w:rFonts w:ascii="MS PGothic" w:cs="MS PGothic" w:eastAsia="MS PGothic" w:hAnsi="MS PGothic"/>
                <w:sz w:val="18"/>
                <w:szCs w:val="18"/>
                <w:color w:val="0563C1"/>
              </w:rPr>
            </w:pPr>
            <w:hyperlink r:id="rId712">
              <w:r>
                <w:rPr>
                  <w:rFonts w:ascii="MS PGothic" w:cs="MS PGothic" w:eastAsia="MS PGothic" w:hAnsi="MS PGothic"/>
                  <w:sz w:val="18"/>
                  <w:szCs w:val="18"/>
                  <w:color w:val="0563C1"/>
                </w:rPr>
                <w:t>10-K for the fscal year ended December 31, 2008)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660" w:type="dxa"/>
            <w:vAlign w:val="bottom"/>
            <w:tcBorders>
              <w:top w:val="single" w:sz="8" w:color="0563C1"/>
              <w:bottom w:val="single" w:sz="8" w:color="91BBD3"/>
            </w:tcBorders>
          </w:tcPr>
          <w:p>
            <w:pPr>
              <w:spacing w:after="0"/>
              <w:rPr>
                <w:sz w:val="2"/>
                <w:szCs w:val="2"/>
                <w:color w:val="auto"/>
              </w:rPr>
            </w:pPr>
          </w:p>
        </w:tc>
        <w:tc>
          <w:tcPr>
            <w:tcW w:w="44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800" w:type="dxa"/>
            <w:vAlign w:val="bottom"/>
            <w:tcBorders>
              <w:top w:val="single" w:sz="8" w:color="0563C1"/>
              <w:bottom w:val="single" w:sz="8" w:color="91BBD3"/>
            </w:tcBorders>
          </w:tcPr>
          <w:p>
            <w:pPr>
              <w:spacing w:after="0"/>
              <w:rPr>
                <w:sz w:val="2"/>
                <w:szCs w:val="2"/>
                <w:color w:val="auto"/>
              </w:rPr>
            </w:pPr>
          </w:p>
        </w:tc>
        <w:tc>
          <w:tcPr>
            <w:tcW w:w="160" w:type="dxa"/>
            <w:vAlign w:val="bottom"/>
            <w:tcBorders>
              <w:top w:val="single" w:sz="8" w:color="0563C1"/>
              <w:bottom w:val="single" w:sz="8" w:color="91BBD3"/>
            </w:tcBorders>
          </w:tcPr>
          <w:p>
            <w:pPr>
              <w:spacing w:after="0"/>
              <w:rPr>
                <w:sz w:val="2"/>
                <w:szCs w:val="2"/>
                <w:color w:val="auto"/>
              </w:rPr>
            </w:pPr>
          </w:p>
        </w:tc>
        <w:tc>
          <w:tcPr>
            <w:tcW w:w="460" w:type="dxa"/>
            <w:vAlign w:val="bottom"/>
            <w:tcBorders>
              <w:top w:val="single" w:sz="8" w:color="0563C1"/>
              <w:bottom w:val="single" w:sz="8" w:color="91BBD3"/>
            </w:tcBorders>
          </w:tcPr>
          <w:p>
            <w:pPr>
              <w:spacing w:after="0"/>
              <w:rPr>
                <w:sz w:val="2"/>
                <w:szCs w:val="2"/>
                <w:color w:val="auto"/>
              </w:rPr>
            </w:pPr>
          </w:p>
        </w:tc>
        <w:tc>
          <w:tcPr>
            <w:tcW w:w="620" w:type="dxa"/>
            <w:vAlign w:val="bottom"/>
            <w:tcBorders>
              <w:top w:val="single" w:sz="8" w:color="0563C1"/>
              <w:bottom w:val="single" w:sz="8" w:color="91BBD3"/>
            </w:tcBorders>
          </w:tcPr>
          <w:p>
            <w:pPr>
              <w:spacing w:after="0"/>
              <w:rPr>
                <w:sz w:val="2"/>
                <w:szCs w:val="2"/>
                <w:color w:val="auto"/>
              </w:rPr>
            </w:pPr>
          </w:p>
        </w:tc>
        <w:tc>
          <w:tcPr>
            <w:tcW w:w="1260" w:type="dxa"/>
            <w:vAlign w:val="bottom"/>
            <w:tcBorders>
              <w:top w:val="single" w:sz="8" w:color="0563C1"/>
              <w:bottom w:val="single" w:sz="8" w:color="91BBD3"/>
            </w:tcBorders>
          </w:tcPr>
          <w:p>
            <w:pPr>
              <w:spacing w:after="0"/>
              <w:rPr>
                <w:sz w:val="2"/>
                <w:szCs w:val="2"/>
                <w:color w:val="auto"/>
              </w:rPr>
            </w:pPr>
          </w:p>
        </w:tc>
        <w:tc>
          <w:tcPr>
            <w:tcW w:w="1280" w:type="dxa"/>
            <w:vAlign w:val="bottom"/>
            <w:tcBorders>
              <w:top w:val="single" w:sz="8" w:color="0563C1"/>
              <w:bottom w:val="single" w:sz="8" w:color="91BBD3"/>
            </w:tcBorders>
          </w:tcPr>
          <w:p>
            <w:pPr>
              <w:spacing w:after="0"/>
              <w:rPr>
                <w:sz w:val="2"/>
                <w:szCs w:val="2"/>
                <w:color w:val="auto"/>
              </w:rPr>
            </w:pPr>
          </w:p>
        </w:tc>
        <w:tc>
          <w:tcPr>
            <w:tcW w:w="42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220" w:type="dxa"/>
            <w:vAlign w:val="bottom"/>
            <w:tcBorders>
              <w:bottom w:val="single" w:sz="8" w:color="91BBD3"/>
            </w:tcBorders>
          </w:tcPr>
          <w:p>
            <w:pPr>
              <w:spacing w:after="0"/>
              <w:rPr>
                <w:sz w:val="2"/>
                <w:szCs w:val="2"/>
                <w:color w:val="auto"/>
              </w:rPr>
            </w:pPr>
          </w:p>
        </w:tc>
        <w:tc>
          <w:tcPr>
            <w:tcW w:w="206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91BBD3"/>
            </w:tcBorders>
          </w:tcPr>
          <w:p>
            <w:pPr>
              <w:spacing w:after="0"/>
              <w:rPr>
                <w:sz w:val="13"/>
                <w:szCs w:val="13"/>
                <w:color w:val="auto"/>
              </w:rPr>
            </w:pPr>
          </w:p>
        </w:tc>
        <w:tc>
          <w:tcPr>
            <w:tcW w:w="1660" w:type="dxa"/>
            <w:vAlign w:val="bottom"/>
            <w:tcBorders>
              <w:bottom w:val="single" w:sz="8" w:color="DAE8F0"/>
              <w:right w:val="single" w:sz="8" w:color="91BBD3"/>
            </w:tcBorders>
            <w:shd w:val="clear" w:color="auto" w:fill="DAE8F0"/>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10.29</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3"/>
            <w:shd w:val="clear" w:color="auto" w:fill="DAE8F0"/>
          </w:tcPr>
          <w:p>
            <w:pPr>
              <w:spacing w:after="0" w:line="156" w:lineRule="exact"/>
              <w:rPr>
                <w:rFonts w:ascii="MS PGothic" w:cs="MS PGothic" w:eastAsia="MS PGothic" w:hAnsi="MS PGothic"/>
                <w:sz w:val="18"/>
                <w:szCs w:val="18"/>
                <w:color w:val="0563C1"/>
              </w:rPr>
            </w:pPr>
            <w:hyperlink r:id="rId713">
              <w:r>
                <w:rPr>
                  <w:rFonts w:ascii="MS PGothic" w:cs="MS PGothic" w:eastAsia="MS PGothic" w:hAnsi="MS PGothic"/>
                  <w:sz w:val="18"/>
                  <w:szCs w:val="18"/>
                  <w:color w:val="0563C1"/>
                </w:rPr>
                <w:t>Form of Restricted Stock Unit Agreement for Directors under the Martn Marieta Materials, Inc. Amended and Restated</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3"/>
            <w:shd w:val="clear" w:color="auto" w:fill="DAE8F0"/>
          </w:tcPr>
          <w:p>
            <w:pPr>
              <w:spacing w:after="0"/>
              <w:rPr>
                <w:rFonts w:ascii="MS PGothic" w:cs="MS PGothic" w:eastAsia="MS PGothic" w:hAnsi="MS PGothic"/>
                <w:sz w:val="18"/>
                <w:szCs w:val="18"/>
                <w:color w:val="0563C1"/>
                <w:w w:val="96"/>
              </w:rPr>
            </w:pPr>
            <w:hyperlink r:id="rId713">
              <w:r>
                <w:rPr>
                  <w:rFonts w:ascii="MS PGothic" w:cs="MS PGothic" w:eastAsia="MS PGothic" w:hAnsi="MS PGothic"/>
                  <w:sz w:val="18"/>
                  <w:szCs w:val="18"/>
                  <w:color w:val="0563C1"/>
                  <w:w w:val="96"/>
                </w:rPr>
                <w:t>Stock-Based Award Plan (incorporated by reference to Exhibit 10.14 to the Martn Marieta Materials, Inc. Annual Report on</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91BBD3"/>
            </w:tcBorders>
          </w:tcPr>
          <w:p>
            <w:pPr>
              <w:spacing w:after="0"/>
              <w:rPr>
                <w:sz w:val="20"/>
                <w:szCs w:val="20"/>
                <w:color w:val="auto"/>
              </w:rPr>
            </w:pPr>
          </w:p>
        </w:tc>
        <w:tc>
          <w:tcPr>
            <w:tcW w:w="1660" w:type="dxa"/>
            <w:vAlign w:val="bottom"/>
            <w:tcBorders>
              <w:right w:val="single" w:sz="8" w:color="91BBD3"/>
            </w:tcBorders>
            <w:shd w:val="clear" w:color="auto" w:fill="DAE8F0"/>
          </w:tcPr>
          <w:p>
            <w:pPr>
              <w:spacing w:after="0"/>
              <w:rPr>
                <w:sz w:val="20"/>
                <w:szCs w:val="20"/>
                <w:color w:val="auto"/>
              </w:rPr>
            </w:pPr>
          </w:p>
        </w:tc>
        <w:tc>
          <w:tcPr>
            <w:tcW w:w="10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4"/>
            <w:shd w:val="clear" w:color="auto" w:fill="DAE8F0"/>
          </w:tcPr>
          <w:p>
            <w:pPr>
              <w:spacing w:after="0"/>
              <w:rPr>
                <w:rFonts w:ascii="MS PGothic" w:cs="MS PGothic" w:eastAsia="MS PGothic" w:hAnsi="MS PGothic"/>
                <w:sz w:val="18"/>
                <w:szCs w:val="18"/>
                <w:color w:val="0563C1"/>
              </w:rPr>
            </w:pPr>
            <w:hyperlink r:id="rId713">
              <w:r>
                <w:rPr>
                  <w:rFonts w:ascii="MS PGothic" w:cs="MS PGothic" w:eastAsia="MS PGothic" w:hAnsi="MS PGothic"/>
                  <w:sz w:val="18"/>
                  <w:szCs w:val="18"/>
                  <w:color w:val="0563C1"/>
                </w:rPr>
                <w:t>Form 10-K for the fscal year ended December 31, 2013) (Commission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80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46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260" w:type="dxa"/>
            <w:vAlign w:val="bottom"/>
            <w:tcBorders>
              <w:top w:val="single" w:sz="8" w:color="0563C1"/>
            </w:tcBorders>
            <w:shd w:val="clear" w:color="auto" w:fill="91BBD3"/>
          </w:tcPr>
          <w:p>
            <w:pPr>
              <w:spacing w:after="0" w:line="20" w:lineRule="exact"/>
              <w:rPr>
                <w:sz w:val="1"/>
                <w:szCs w:val="1"/>
                <w:color w:val="auto"/>
              </w:rPr>
            </w:pPr>
          </w:p>
        </w:tc>
        <w:tc>
          <w:tcPr>
            <w:tcW w:w="1280" w:type="dxa"/>
            <w:vAlign w:val="bottom"/>
            <w:tcBorders>
              <w:top w:val="single" w:sz="8" w:color="0563C1"/>
            </w:tcBorders>
            <w:shd w:val="clear" w:color="auto" w:fill="91BBD3"/>
          </w:tcPr>
          <w:p>
            <w:pPr>
              <w:spacing w:after="0" w:line="20" w:lineRule="exact"/>
              <w:rPr>
                <w:sz w:val="1"/>
                <w:szCs w:val="1"/>
                <w:color w:val="auto"/>
              </w:rPr>
            </w:pPr>
          </w:p>
        </w:tc>
        <w:tc>
          <w:tcPr>
            <w:tcW w:w="420" w:type="dxa"/>
            <w:vAlign w:val="bottom"/>
            <w:tcBorders>
              <w:top w:val="single" w:sz="8" w:color="0563C1"/>
            </w:tcBorders>
            <w:shd w:val="clear" w:color="auto" w:fill="91BBD3"/>
          </w:tcPr>
          <w:p>
            <w:pPr>
              <w:spacing w:after="0" w:line="20" w:lineRule="exact"/>
              <w:rPr>
                <w:sz w:val="1"/>
                <w:szCs w:val="1"/>
                <w:color w:val="auto"/>
              </w:rPr>
            </w:pPr>
          </w:p>
        </w:tc>
        <w:tc>
          <w:tcPr>
            <w:tcW w:w="320" w:type="dxa"/>
            <w:vAlign w:val="bottom"/>
            <w:tcBorders>
              <w:top w:val="single" w:sz="8" w:color="DAE8F0"/>
            </w:tcBorders>
            <w:shd w:val="clear" w:color="auto" w:fill="91BBD3"/>
          </w:tcPr>
          <w:p>
            <w:pPr>
              <w:spacing w:after="0" w:line="20" w:lineRule="exact"/>
              <w:rPr>
                <w:sz w:val="1"/>
                <w:szCs w:val="1"/>
                <w:color w:val="auto"/>
              </w:rPr>
            </w:pPr>
          </w:p>
        </w:tc>
        <w:tc>
          <w:tcPr>
            <w:tcW w:w="220" w:type="dxa"/>
            <w:vAlign w:val="bottom"/>
            <w:tcBorders>
              <w:top w:val="single" w:sz="8" w:color="DAE8F0"/>
            </w:tcBorders>
            <w:shd w:val="clear" w:color="auto" w:fill="91BBD3"/>
          </w:tcPr>
          <w:p>
            <w:pPr>
              <w:spacing w:after="0" w:line="20" w:lineRule="exact"/>
              <w:rPr>
                <w:sz w:val="1"/>
                <w:szCs w:val="1"/>
                <w:color w:val="auto"/>
              </w:rPr>
            </w:pPr>
          </w:p>
        </w:tc>
        <w:tc>
          <w:tcPr>
            <w:tcW w:w="206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tcBorders>
              <w:right w:val="single" w:sz="8" w:color="91BBD3"/>
            </w:tcBorders>
            <w:vMerge w:val="continue"/>
          </w:tcPr>
          <w:p>
            <w:pPr>
              <w:spacing w:after="0"/>
              <w:rPr>
                <w:sz w:val="13"/>
                <w:szCs w:val="13"/>
                <w:color w:val="auto"/>
              </w:rPr>
            </w:pPr>
          </w:p>
        </w:tc>
        <w:tc>
          <w:tcPr>
            <w:tcW w:w="1660" w:type="dxa"/>
            <w:vAlign w:val="bottom"/>
            <w:tcBorders>
              <w:right w:val="single" w:sz="8" w:color="91BBD3"/>
            </w:tcBorders>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10.30</w:t>
            </w:r>
          </w:p>
        </w:tc>
        <w:tc>
          <w:tcPr>
            <w:tcW w:w="100" w:type="dxa"/>
            <w:vAlign w:val="bottom"/>
          </w:tcPr>
          <w:p>
            <w:pPr>
              <w:spacing w:after="0"/>
              <w:rPr>
                <w:sz w:val="13"/>
                <w:szCs w:val="13"/>
                <w:color w:val="auto"/>
              </w:rPr>
            </w:pPr>
          </w:p>
        </w:tc>
        <w:tc>
          <w:tcPr>
            <w:tcW w:w="8980" w:type="dxa"/>
            <w:vAlign w:val="bottom"/>
            <w:tcBorders>
              <w:bottom w:val="single" w:sz="8" w:color="0563C1"/>
            </w:tcBorders>
            <w:gridSpan w:val="13"/>
          </w:tcPr>
          <w:p>
            <w:pPr>
              <w:spacing w:after="0" w:line="156" w:lineRule="exact"/>
              <w:rPr>
                <w:rFonts w:ascii="MS PGothic" w:cs="MS PGothic" w:eastAsia="MS PGothic" w:hAnsi="MS PGothic"/>
                <w:sz w:val="18"/>
                <w:szCs w:val="18"/>
                <w:color w:val="0563C1"/>
                <w:w w:val="98"/>
              </w:rPr>
            </w:pPr>
            <w:hyperlink r:id="rId714">
              <w:r>
                <w:rPr>
                  <w:rFonts w:ascii="MS PGothic" w:cs="MS PGothic" w:eastAsia="MS PGothic" w:hAnsi="MS PGothic"/>
                  <w:sz w:val="18"/>
                  <w:szCs w:val="18"/>
                  <w:color w:val="0563C1"/>
                  <w:w w:val="98"/>
                </w:rPr>
                <w:t>Form of Special Restricted Stock Unit Agreement under the Martn Marieta Materials, Inc. Amended and Restated Stock-</w:t>
              </w:r>
            </w:hyperlink>
          </w:p>
        </w:tc>
        <w:tc>
          <w:tcPr>
            <w:tcW w:w="140" w:type="dxa"/>
            <w:vAlign w:val="bottom"/>
            <w:tcBorders>
              <w:right w:val="single" w:sz="8" w:color="91BBD3"/>
            </w:tcBorders>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4"/>
          </w:tcPr>
          <w:p>
            <w:pPr>
              <w:spacing w:after="0"/>
              <w:rPr>
                <w:rFonts w:ascii="MS PGothic" w:cs="MS PGothic" w:eastAsia="MS PGothic" w:hAnsi="MS PGothic"/>
                <w:sz w:val="18"/>
                <w:szCs w:val="18"/>
                <w:color w:val="0563C1"/>
                <w:w w:val="99"/>
              </w:rPr>
            </w:pPr>
            <w:hyperlink r:id="rId714">
              <w:r>
                <w:rPr>
                  <w:rFonts w:ascii="MS PGothic" w:cs="MS PGothic" w:eastAsia="MS PGothic" w:hAnsi="MS PGothic"/>
                  <w:sz w:val="18"/>
                  <w:szCs w:val="18"/>
                  <w:color w:val="0563C1"/>
                  <w:w w:val="99"/>
                </w:rPr>
                <w:t>Based Award Plan (incorporated by reference to Exhibit 10.19 to the Martn Marieta Materials, Inc. Annual Report on Form</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3"/>
          </w:tcPr>
          <w:p>
            <w:pPr>
              <w:spacing w:after="0"/>
              <w:rPr>
                <w:rFonts w:ascii="MS PGothic" w:cs="MS PGothic" w:eastAsia="MS PGothic" w:hAnsi="MS PGothic"/>
                <w:sz w:val="18"/>
                <w:szCs w:val="18"/>
                <w:color w:val="0563C1"/>
              </w:rPr>
            </w:pPr>
            <w:hyperlink r:id="rId714">
              <w:r>
                <w:rPr>
                  <w:rFonts w:ascii="MS PGothic" w:cs="MS PGothic" w:eastAsia="MS PGothic" w:hAnsi="MS PGothic"/>
                  <w:sz w:val="18"/>
                  <w:szCs w:val="18"/>
                  <w:color w:val="0563C1"/>
                </w:rPr>
                <w:t>10-K for the fscal year ended December 31, 2014)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91BBD3"/>
            </w:tcBorders>
          </w:tcPr>
          <w:p>
            <w:pPr>
              <w:spacing w:after="0"/>
              <w:rPr>
                <w:sz w:val="2"/>
                <w:szCs w:val="2"/>
                <w:color w:val="auto"/>
              </w:rPr>
            </w:pPr>
          </w:p>
        </w:tc>
        <w:tc>
          <w:tcPr>
            <w:tcW w:w="1660" w:type="dxa"/>
            <w:vAlign w:val="bottom"/>
            <w:tcBorders>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660" w:type="dxa"/>
            <w:vAlign w:val="bottom"/>
            <w:tcBorders>
              <w:top w:val="single" w:sz="8" w:color="0563C1"/>
              <w:bottom w:val="single" w:sz="8" w:color="91BBD3"/>
            </w:tcBorders>
          </w:tcPr>
          <w:p>
            <w:pPr>
              <w:spacing w:after="0"/>
              <w:rPr>
                <w:sz w:val="2"/>
                <w:szCs w:val="2"/>
                <w:color w:val="auto"/>
              </w:rPr>
            </w:pPr>
          </w:p>
        </w:tc>
        <w:tc>
          <w:tcPr>
            <w:tcW w:w="44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800" w:type="dxa"/>
            <w:vAlign w:val="bottom"/>
            <w:tcBorders>
              <w:top w:val="single" w:sz="8" w:color="0563C1"/>
              <w:bottom w:val="single" w:sz="8" w:color="91BBD3"/>
            </w:tcBorders>
          </w:tcPr>
          <w:p>
            <w:pPr>
              <w:spacing w:after="0"/>
              <w:rPr>
                <w:sz w:val="2"/>
                <w:szCs w:val="2"/>
                <w:color w:val="auto"/>
              </w:rPr>
            </w:pPr>
          </w:p>
        </w:tc>
        <w:tc>
          <w:tcPr>
            <w:tcW w:w="160" w:type="dxa"/>
            <w:vAlign w:val="bottom"/>
            <w:tcBorders>
              <w:top w:val="single" w:sz="8" w:color="0563C1"/>
              <w:bottom w:val="single" w:sz="8" w:color="91BBD3"/>
            </w:tcBorders>
          </w:tcPr>
          <w:p>
            <w:pPr>
              <w:spacing w:after="0"/>
              <w:rPr>
                <w:sz w:val="2"/>
                <w:szCs w:val="2"/>
                <w:color w:val="auto"/>
              </w:rPr>
            </w:pPr>
          </w:p>
        </w:tc>
        <w:tc>
          <w:tcPr>
            <w:tcW w:w="460" w:type="dxa"/>
            <w:vAlign w:val="bottom"/>
            <w:tcBorders>
              <w:top w:val="single" w:sz="8" w:color="0563C1"/>
              <w:bottom w:val="single" w:sz="8" w:color="91BBD3"/>
            </w:tcBorders>
          </w:tcPr>
          <w:p>
            <w:pPr>
              <w:spacing w:after="0"/>
              <w:rPr>
                <w:sz w:val="2"/>
                <w:szCs w:val="2"/>
                <w:color w:val="auto"/>
              </w:rPr>
            </w:pPr>
          </w:p>
        </w:tc>
        <w:tc>
          <w:tcPr>
            <w:tcW w:w="620" w:type="dxa"/>
            <w:vAlign w:val="bottom"/>
            <w:tcBorders>
              <w:top w:val="single" w:sz="8" w:color="0563C1"/>
              <w:bottom w:val="single" w:sz="8" w:color="91BBD3"/>
            </w:tcBorders>
          </w:tcPr>
          <w:p>
            <w:pPr>
              <w:spacing w:after="0"/>
              <w:rPr>
                <w:sz w:val="2"/>
                <w:szCs w:val="2"/>
                <w:color w:val="auto"/>
              </w:rPr>
            </w:pPr>
          </w:p>
        </w:tc>
        <w:tc>
          <w:tcPr>
            <w:tcW w:w="1260" w:type="dxa"/>
            <w:vAlign w:val="bottom"/>
            <w:tcBorders>
              <w:top w:val="single" w:sz="8" w:color="0563C1"/>
              <w:bottom w:val="single" w:sz="8" w:color="91BBD3"/>
            </w:tcBorders>
          </w:tcPr>
          <w:p>
            <w:pPr>
              <w:spacing w:after="0"/>
              <w:rPr>
                <w:sz w:val="2"/>
                <w:szCs w:val="2"/>
                <w:color w:val="auto"/>
              </w:rPr>
            </w:pPr>
          </w:p>
        </w:tc>
        <w:tc>
          <w:tcPr>
            <w:tcW w:w="1280" w:type="dxa"/>
            <w:vAlign w:val="bottom"/>
            <w:tcBorders>
              <w:top w:val="single" w:sz="8" w:color="0563C1"/>
              <w:bottom w:val="single" w:sz="8" w:color="91BBD3"/>
            </w:tcBorders>
          </w:tcPr>
          <w:p>
            <w:pPr>
              <w:spacing w:after="0"/>
              <w:rPr>
                <w:sz w:val="2"/>
                <w:szCs w:val="2"/>
                <w:color w:val="auto"/>
              </w:rPr>
            </w:pPr>
          </w:p>
        </w:tc>
        <w:tc>
          <w:tcPr>
            <w:tcW w:w="420" w:type="dxa"/>
            <w:vAlign w:val="bottom"/>
            <w:tcBorders>
              <w:bottom w:val="single" w:sz="8" w:color="91BBD3"/>
            </w:tcBorders>
          </w:tcPr>
          <w:p>
            <w:pPr>
              <w:spacing w:after="0"/>
              <w:rPr>
                <w:sz w:val="2"/>
                <w:szCs w:val="2"/>
                <w:color w:val="auto"/>
              </w:rPr>
            </w:pPr>
          </w:p>
        </w:tc>
        <w:tc>
          <w:tcPr>
            <w:tcW w:w="320" w:type="dxa"/>
            <w:vAlign w:val="bottom"/>
            <w:tcBorders>
              <w:bottom w:val="single" w:sz="8" w:color="91BBD3"/>
            </w:tcBorders>
          </w:tcPr>
          <w:p>
            <w:pPr>
              <w:spacing w:after="0"/>
              <w:rPr>
                <w:sz w:val="2"/>
                <w:szCs w:val="2"/>
                <w:color w:val="auto"/>
              </w:rPr>
            </w:pPr>
          </w:p>
        </w:tc>
        <w:tc>
          <w:tcPr>
            <w:tcW w:w="220" w:type="dxa"/>
            <w:vAlign w:val="bottom"/>
            <w:tcBorders>
              <w:bottom w:val="single" w:sz="8" w:color="91BBD3"/>
            </w:tcBorders>
          </w:tcPr>
          <w:p>
            <w:pPr>
              <w:spacing w:after="0"/>
              <w:rPr>
                <w:sz w:val="2"/>
                <w:szCs w:val="2"/>
                <w:color w:val="auto"/>
              </w:rPr>
            </w:pPr>
          </w:p>
        </w:tc>
        <w:tc>
          <w:tcPr>
            <w:tcW w:w="206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0" w:type="dxa"/>
            <w:vAlign w:val="bottom"/>
            <w:tcBorders>
              <w:right w:val="single" w:sz="8" w:color="91BBD3"/>
            </w:tcBorders>
          </w:tcPr>
          <w:p>
            <w:pPr>
              <w:spacing w:after="0"/>
              <w:rPr>
                <w:sz w:val="13"/>
                <w:szCs w:val="13"/>
                <w:color w:val="auto"/>
              </w:rPr>
            </w:pPr>
          </w:p>
        </w:tc>
        <w:tc>
          <w:tcPr>
            <w:tcW w:w="1660" w:type="dxa"/>
            <w:vAlign w:val="bottom"/>
            <w:tcBorders>
              <w:bottom w:val="single" w:sz="8" w:color="DAE8F0"/>
              <w:right w:val="single" w:sz="8" w:color="91BBD3"/>
            </w:tcBorders>
            <w:shd w:val="clear" w:color="auto" w:fill="DAE8F0"/>
          </w:tcPr>
          <w:p>
            <w:pPr>
              <w:jc w:val="right"/>
              <w:ind w:right="1081"/>
              <w:spacing w:after="0" w:line="156" w:lineRule="exact"/>
              <w:rPr>
                <w:sz w:val="20"/>
                <w:szCs w:val="20"/>
                <w:color w:val="auto"/>
              </w:rPr>
            </w:pPr>
            <w:r>
              <w:rPr>
                <w:rFonts w:ascii="Calibri" w:cs="Calibri" w:eastAsia="Calibri" w:hAnsi="Calibri"/>
                <w:sz w:val="16"/>
                <w:szCs w:val="16"/>
                <w:b w:val="1"/>
                <w:bCs w:val="1"/>
                <w:color w:val="auto"/>
              </w:rPr>
              <w:t>10.31</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3"/>
            <w:shd w:val="clear" w:color="auto" w:fill="DAE8F0"/>
          </w:tcPr>
          <w:p>
            <w:pPr>
              <w:spacing w:after="0" w:line="156" w:lineRule="exact"/>
              <w:rPr>
                <w:rFonts w:ascii="MS PGothic" w:cs="MS PGothic" w:eastAsia="MS PGothic" w:hAnsi="MS PGothic"/>
                <w:sz w:val="18"/>
                <w:szCs w:val="18"/>
                <w:color w:val="0563C1"/>
                <w:w w:val="96"/>
              </w:rPr>
            </w:pPr>
            <w:hyperlink r:id="rId715">
              <w:r>
                <w:rPr>
                  <w:rFonts w:ascii="MS PGothic" w:cs="MS PGothic" w:eastAsia="MS PGothic" w:hAnsi="MS PGothic"/>
                  <w:sz w:val="18"/>
                  <w:szCs w:val="18"/>
                  <w:color w:val="0563C1"/>
                  <w:w w:val="96"/>
                </w:rPr>
                <w:t>Form of Performance-Based Restricted Stock Unit Award Agreement under the Martn Marieta Materials, Inc. Amended and</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4"/>
            <w:shd w:val="clear" w:color="auto" w:fill="DAE8F0"/>
          </w:tcPr>
          <w:p>
            <w:pPr>
              <w:spacing w:after="0"/>
              <w:rPr>
                <w:rFonts w:ascii="MS PGothic" w:cs="MS PGothic" w:eastAsia="MS PGothic" w:hAnsi="MS PGothic"/>
                <w:sz w:val="18"/>
                <w:szCs w:val="18"/>
                <w:color w:val="0563C1"/>
                <w:w w:val="96"/>
              </w:rPr>
            </w:pPr>
            <w:hyperlink r:id="rId715">
              <w:r>
                <w:rPr>
                  <w:rFonts w:ascii="MS PGothic" w:cs="MS PGothic" w:eastAsia="MS PGothic" w:hAnsi="MS PGothic"/>
                  <w:sz w:val="18"/>
                  <w:szCs w:val="18"/>
                  <w:color w:val="0563C1"/>
                  <w:w w:val="96"/>
                </w:rPr>
                <w:t>Restated Stock-Based Award Plan (incorporated by reference to Exhibit 10.02 to the Martn Marieta Materials, Inc. Quarterly</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Borders>
              <w:right w:val="single" w:sz="8" w:color="91BBD3"/>
            </w:tcBorders>
          </w:tcPr>
          <w:p>
            <w:pPr>
              <w:spacing w:after="0"/>
              <w:rPr>
                <w:sz w:val="20"/>
                <w:szCs w:val="20"/>
                <w:color w:val="auto"/>
              </w:rPr>
            </w:pPr>
          </w:p>
        </w:tc>
        <w:tc>
          <w:tcPr>
            <w:tcW w:w="1660" w:type="dxa"/>
            <w:vAlign w:val="bottom"/>
            <w:tcBorders>
              <w:top w:val="single" w:sz="8" w:color="DAE8F0"/>
              <w:right w:val="single" w:sz="8" w:color="91BBD3"/>
            </w:tcBorders>
            <w:shd w:val="clear" w:color="auto" w:fill="DAE8F0"/>
          </w:tcPr>
          <w:p>
            <w:pPr>
              <w:spacing w:after="0"/>
              <w:rPr>
                <w:sz w:val="20"/>
                <w:szCs w:val="20"/>
                <w:color w:val="auto"/>
              </w:rPr>
            </w:pPr>
          </w:p>
        </w:tc>
        <w:tc>
          <w:tcPr>
            <w:tcW w:w="100" w:type="dxa"/>
            <w:vAlign w:val="bottom"/>
            <w:tcBorders>
              <w:top w:val="single" w:sz="8" w:color="DAE8F0"/>
            </w:tcBorders>
            <w:shd w:val="clear" w:color="auto" w:fill="DAE8F0"/>
          </w:tcPr>
          <w:p>
            <w:pPr>
              <w:spacing w:after="0"/>
              <w:rPr>
                <w:sz w:val="20"/>
                <w:szCs w:val="20"/>
                <w:color w:val="auto"/>
              </w:rPr>
            </w:pPr>
          </w:p>
        </w:tc>
        <w:tc>
          <w:tcPr>
            <w:tcW w:w="8980" w:type="dxa"/>
            <w:vAlign w:val="bottom"/>
            <w:tcBorders>
              <w:top w:val="single" w:sz="8" w:color="0563C1"/>
            </w:tcBorders>
            <w:gridSpan w:val="13"/>
            <w:shd w:val="clear" w:color="auto" w:fill="DAE8F0"/>
          </w:tcPr>
          <w:p>
            <w:pPr>
              <w:spacing w:after="0"/>
              <w:rPr>
                <w:rFonts w:ascii="MS PGothic" w:cs="MS PGothic" w:eastAsia="MS PGothic" w:hAnsi="MS PGothic"/>
                <w:sz w:val="18"/>
                <w:szCs w:val="18"/>
                <w:color w:val="0563C1"/>
              </w:rPr>
            </w:pPr>
            <w:hyperlink r:id="rId715">
              <w:r>
                <w:rPr>
                  <w:rFonts w:ascii="MS PGothic" w:cs="MS PGothic" w:eastAsia="MS PGothic" w:hAnsi="MS PGothic"/>
                  <w:sz w:val="18"/>
                  <w:szCs w:val="18"/>
                  <w:color w:val="0563C1"/>
                </w:rPr>
                <w:t>Report on Form 10-Q for the quarter ended March 31, 2017) (Commission File No. 1-12744)**</w:t>
              </w:r>
            </w:hyperlink>
          </w:p>
        </w:tc>
        <w:tc>
          <w:tcPr>
            <w:tcW w:w="140" w:type="dxa"/>
            <w:vAlign w:val="bottom"/>
            <w:tcBorders>
              <w:top w:val="single" w:sz="8" w:color="DAE8F0"/>
              <w:left w:val="single" w:sz="8" w:color="DAE8F0"/>
              <w:right w:val="single" w:sz="8" w:color="91BBD3"/>
            </w:tcBorders>
            <w:shd w:val="clear" w:color="auto" w:fill="DAE8F0"/>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80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0563C1"/>
            </w:tcBorders>
            <w:shd w:val="clear" w:color="auto" w:fill="91BBD3"/>
          </w:tcPr>
          <w:p>
            <w:pPr>
              <w:spacing w:after="0" w:line="20" w:lineRule="exact"/>
              <w:rPr>
                <w:sz w:val="1"/>
                <w:szCs w:val="1"/>
                <w:color w:val="auto"/>
              </w:rPr>
            </w:pPr>
          </w:p>
        </w:tc>
        <w:tc>
          <w:tcPr>
            <w:tcW w:w="46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260" w:type="dxa"/>
            <w:vAlign w:val="bottom"/>
            <w:tcBorders>
              <w:top w:val="single" w:sz="8" w:color="0563C1"/>
            </w:tcBorders>
            <w:shd w:val="clear" w:color="auto" w:fill="91BBD3"/>
          </w:tcPr>
          <w:p>
            <w:pPr>
              <w:spacing w:after="0" w:line="20" w:lineRule="exact"/>
              <w:rPr>
                <w:sz w:val="1"/>
                <w:szCs w:val="1"/>
                <w:color w:val="auto"/>
              </w:rPr>
            </w:pPr>
          </w:p>
        </w:tc>
        <w:tc>
          <w:tcPr>
            <w:tcW w:w="1280" w:type="dxa"/>
            <w:vAlign w:val="bottom"/>
            <w:tcBorders>
              <w:top w:val="single" w:sz="8" w:color="0563C1"/>
            </w:tcBorders>
            <w:shd w:val="clear" w:color="auto" w:fill="91BBD3"/>
          </w:tcPr>
          <w:p>
            <w:pPr>
              <w:spacing w:after="0" w:line="20" w:lineRule="exact"/>
              <w:rPr>
                <w:sz w:val="1"/>
                <w:szCs w:val="1"/>
                <w:color w:val="auto"/>
              </w:rPr>
            </w:pPr>
          </w:p>
        </w:tc>
        <w:tc>
          <w:tcPr>
            <w:tcW w:w="420" w:type="dxa"/>
            <w:vAlign w:val="bottom"/>
            <w:tcBorders>
              <w:top w:val="single" w:sz="8" w:color="0563C1"/>
            </w:tcBorders>
            <w:shd w:val="clear" w:color="auto" w:fill="91BBD3"/>
          </w:tcPr>
          <w:p>
            <w:pPr>
              <w:spacing w:after="0" w:line="20" w:lineRule="exact"/>
              <w:rPr>
                <w:sz w:val="1"/>
                <w:szCs w:val="1"/>
                <w:color w:val="auto"/>
              </w:rPr>
            </w:pPr>
          </w:p>
        </w:tc>
        <w:tc>
          <w:tcPr>
            <w:tcW w:w="320" w:type="dxa"/>
            <w:vAlign w:val="bottom"/>
            <w:tcBorders>
              <w:top w:val="single" w:sz="8" w:color="0563C1"/>
            </w:tcBorders>
            <w:shd w:val="clear" w:color="auto" w:fill="91BBD3"/>
          </w:tcPr>
          <w:p>
            <w:pPr>
              <w:spacing w:after="0" w:line="20" w:lineRule="exact"/>
              <w:rPr>
                <w:sz w:val="1"/>
                <w:szCs w:val="1"/>
                <w:color w:val="auto"/>
              </w:rPr>
            </w:pPr>
          </w:p>
        </w:tc>
        <w:tc>
          <w:tcPr>
            <w:tcW w:w="220" w:type="dxa"/>
            <w:vAlign w:val="bottom"/>
            <w:tcBorders>
              <w:top w:val="single" w:sz="8" w:color="DAE8F0"/>
            </w:tcBorders>
            <w:shd w:val="clear" w:color="auto" w:fill="91BBD3"/>
          </w:tcPr>
          <w:p>
            <w:pPr>
              <w:spacing w:after="0" w:line="20" w:lineRule="exact"/>
              <w:rPr>
                <w:sz w:val="1"/>
                <w:szCs w:val="1"/>
                <w:color w:val="auto"/>
              </w:rPr>
            </w:pPr>
          </w:p>
        </w:tc>
        <w:tc>
          <w:tcPr>
            <w:tcW w:w="206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860" w:type="dxa"/>
            <w:vAlign w:val="bottom"/>
            <w:gridSpan w:val="2"/>
          </w:tcPr>
          <w:p>
            <w:pPr>
              <w:jc w:val="right"/>
              <w:ind w:right="481"/>
              <w:spacing w:after="0"/>
              <w:rPr>
                <w:sz w:val="20"/>
                <w:szCs w:val="20"/>
                <w:color w:val="auto"/>
              </w:rPr>
            </w:pPr>
            <w:r>
              <w:rPr>
                <w:rFonts w:ascii="MS PGothic" w:cs="MS PGothic" w:eastAsia="MS PGothic" w:hAnsi="MS PGothic"/>
                <w:sz w:val="18"/>
                <w:szCs w:val="18"/>
                <w:color w:val="auto"/>
                <w:w w:val="97"/>
              </w:rPr>
              <w:t xml:space="preserve">Form 10-K </w:t>
            </w:r>
            <w:r>
              <w:rPr>
                <w:rFonts w:ascii="Arial" w:cs="Arial" w:eastAsia="Arial" w:hAnsi="Arial"/>
                <w:sz w:val="23"/>
                <w:szCs w:val="23"/>
                <w:color w:val="0070C0"/>
                <w:w w:val="97"/>
              </w:rPr>
              <w:t>♦</w:t>
            </w:r>
            <w:r>
              <w:rPr>
                <w:rFonts w:ascii="MS PGothic" w:cs="MS PGothic" w:eastAsia="MS PGothic" w:hAnsi="MS PGothic"/>
                <w:sz w:val="18"/>
                <w:szCs w:val="18"/>
                <w:color w:val="auto"/>
                <w:w w:val="97"/>
              </w:rPr>
              <w:t xml:space="preserve"> 111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-762635</wp:posOffset>
            </wp:positionV>
            <wp:extent cx="325755" cy="1968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6">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3" w:name="page114"/>
    <w:bookmarkEnd w:id="113"/>
    <w:tbl>
      <w:tblPr>
        <w:tblLayout w:type="fixed"/>
        <w:tblInd w:w="170" w:type="dxa"/>
        <w:tblCellMar>
          <w:top w:w="0" w:type="dxa"/>
          <w:left w:w="0" w:type="dxa"/>
          <w:bottom w:w="0" w:type="dxa"/>
          <w:right w:w="0" w:type="dxa"/>
        </w:tblCellMar>
      </w:tblPr>
      <w:tr>
        <w:trPr>
          <w:trHeight w:val="308"/>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40" w:type="dxa"/>
            <w:vAlign w:val="bottom"/>
            <w:gridSpan w:val="7"/>
          </w:tcPr>
          <w:p>
            <w:pPr>
              <w:spacing w:after="0"/>
              <w:rPr>
                <w:sz w:val="20"/>
                <w:szCs w:val="20"/>
                <w:color w:val="auto"/>
              </w:rPr>
            </w:pPr>
            <w:r>
              <w:rPr>
                <w:rFonts w:ascii="MS PGothic" w:cs="MS PGothic" w:eastAsia="MS PGothic" w:hAnsi="MS PGothic"/>
                <w:sz w:val="18"/>
                <w:szCs w:val="18"/>
                <w:color w:val="auto"/>
                <w:w w:val="93"/>
              </w:rPr>
              <w:t xml:space="preserve">Part IV </w:t>
            </w:r>
            <w:r>
              <w:rPr>
                <w:rFonts w:ascii="Arial" w:cs="Arial" w:eastAsia="Arial" w:hAnsi="Arial"/>
                <w:sz w:val="23"/>
                <w:szCs w:val="23"/>
                <w:color w:val="0070C0"/>
                <w:w w:val="93"/>
              </w:rPr>
              <w:t>♦</w:t>
            </w:r>
            <w:r>
              <w:rPr>
                <w:rFonts w:ascii="MS PGothic" w:cs="MS PGothic" w:eastAsia="MS PGothic" w:hAnsi="MS PGothic"/>
                <w:sz w:val="18"/>
                <w:szCs w:val="18"/>
                <w:color w:val="auto"/>
                <w:w w:val="93"/>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720" w:type="dxa"/>
            <w:vAlign w:val="bottom"/>
            <w:tcBorders>
              <w:bottom w:val="single" w:sz="8" w:color="007DC6"/>
            </w:tcBorders>
          </w:tcPr>
          <w:p>
            <w:pPr>
              <w:spacing w:after="0"/>
              <w:rPr>
                <w:sz w:val="14"/>
                <w:szCs w:val="14"/>
                <w:color w:val="auto"/>
              </w:rPr>
            </w:pPr>
          </w:p>
        </w:tc>
        <w:tc>
          <w:tcPr>
            <w:tcW w:w="1380" w:type="dxa"/>
            <w:vAlign w:val="bottom"/>
            <w:tcBorders>
              <w:bottom w:val="single" w:sz="8" w:color="007DC6"/>
            </w:tcBorders>
          </w:tcPr>
          <w:p>
            <w:pPr>
              <w:spacing w:after="0"/>
              <w:rPr>
                <w:sz w:val="14"/>
                <w:szCs w:val="14"/>
                <w:color w:val="auto"/>
              </w:rPr>
            </w:pPr>
          </w:p>
        </w:tc>
        <w:tc>
          <w:tcPr>
            <w:tcW w:w="40" w:type="dxa"/>
            <w:vAlign w:val="bottom"/>
            <w:tcBorders>
              <w:bottom w:val="single" w:sz="8" w:color="007DC6"/>
            </w:tcBorders>
          </w:tcPr>
          <w:p>
            <w:pPr>
              <w:spacing w:after="0"/>
              <w:rPr>
                <w:sz w:val="14"/>
                <w:szCs w:val="14"/>
                <w:color w:val="auto"/>
              </w:rPr>
            </w:pPr>
          </w:p>
        </w:tc>
        <w:tc>
          <w:tcPr>
            <w:tcW w:w="280" w:type="dxa"/>
            <w:vAlign w:val="bottom"/>
            <w:tcBorders>
              <w:bottom w:val="single" w:sz="8" w:color="007DC6"/>
            </w:tcBorders>
          </w:tcPr>
          <w:p>
            <w:pPr>
              <w:spacing w:after="0"/>
              <w:rPr>
                <w:sz w:val="14"/>
                <w:szCs w:val="14"/>
                <w:color w:val="auto"/>
              </w:rPr>
            </w:pPr>
          </w:p>
        </w:tc>
        <w:tc>
          <w:tcPr>
            <w:tcW w:w="28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700" w:type="dxa"/>
            <w:vAlign w:val="bottom"/>
            <w:tcBorders>
              <w:bottom w:val="single" w:sz="8" w:color="007DC6"/>
            </w:tcBorders>
          </w:tcPr>
          <w:p>
            <w:pPr>
              <w:spacing w:after="0"/>
              <w:rPr>
                <w:sz w:val="14"/>
                <w:szCs w:val="14"/>
                <w:color w:val="auto"/>
              </w:rPr>
            </w:pPr>
          </w:p>
        </w:tc>
        <w:tc>
          <w:tcPr>
            <w:tcW w:w="300" w:type="dxa"/>
            <w:vAlign w:val="bottom"/>
            <w:tcBorders>
              <w:bottom w:val="single" w:sz="8" w:color="007DC6"/>
            </w:tcBorders>
          </w:tcPr>
          <w:p>
            <w:pPr>
              <w:spacing w:after="0"/>
              <w:rPr>
                <w:sz w:val="14"/>
                <w:szCs w:val="14"/>
                <w:color w:val="auto"/>
              </w:rPr>
            </w:pPr>
          </w:p>
        </w:tc>
        <w:tc>
          <w:tcPr>
            <w:tcW w:w="340" w:type="dxa"/>
            <w:vAlign w:val="bottom"/>
            <w:tcBorders>
              <w:bottom w:val="single" w:sz="8" w:color="007DC6"/>
            </w:tcBorders>
          </w:tcPr>
          <w:p>
            <w:pPr>
              <w:spacing w:after="0"/>
              <w:rPr>
                <w:sz w:val="14"/>
                <w:szCs w:val="14"/>
                <w:color w:val="auto"/>
              </w:rPr>
            </w:pPr>
          </w:p>
        </w:tc>
        <w:tc>
          <w:tcPr>
            <w:tcW w:w="680" w:type="dxa"/>
            <w:vAlign w:val="bottom"/>
            <w:tcBorders>
              <w:bottom w:val="single" w:sz="8" w:color="007DC6"/>
            </w:tcBorders>
          </w:tcPr>
          <w:p>
            <w:pPr>
              <w:spacing w:after="0"/>
              <w:rPr>
                <w:sz w:val="14"/>
                <w:szCs w:val="14"/>
                <w:color w:val="auto"/>
              </w:rPr>
            </w:pPr>
          </w:p>
        </w:tc>
        <w:tc>
          <w:tcPr>
            <w:tcW w:w="260" w:type="dxa"/>
            <w:vAlign w:val="bottom"/>
            <w:tcBorders>
              <w:bottom w:val="single" w:sz="8" w:color="007DC6"/>
            </w:tcBorders>
          </w:tcPr>
          <w:p>
            <w:pPr>
              <w:spacing w:after="0"/>
              <w:rPr>
                <w:sz w:val="14"/>
                <w:szCs w:val="14"/>
                <w:color w:val="auto"/>
              </w:rPr>
            </w:pPr>
          </w:p>
        </w:tc>
        <w:tc>
          <w:tcPr>
            <w:tcW w:w="800" w:type="dxa"/>
            <w:vAlign w:val="bottom"/>
            <w:tcBorders>
              <w:bottom w:val="single" w:sz="8" w:color="007DC6"/>
            </w:tcBorders>
          </w:tcPr>
          <w:p>
            <w:pPr>
              <w:spacing w:after="0"/>
              <w:rPr>
                <w:sz w:val="14"/>
                <w:szCs w:val="14"/>
                <w:color w:val="auto"/>
              </w:rPr>
            </w:pPr>
          </w:p>
        </w:tc>
        <w:tc>
          <w:tcPr>
            <w:tcW w:w="580" w:type="dxa"/>
            <w:vAlign w:val="bottom"/>
            <w:tcBorders>
              <w:bottom w:val="single" w:sz="8" w:color="007DC6"/>
            </w:tcBorders>
          </w:tcPr>
          <w:p>
            <w:pPr>
              <w:spacing w:after="0"/>
              <w:rPr>
                <w:sz w:val="14"/>
                <w:szCs w:val="14"/>
                <w:color w:val="auto"/>
              </w:rPr>
            </w:pPr>
          </w:p>
        </w:tc>
        <w:tc>
          <w:tcPr>
            <w:tcW w:w="1400" w:type="dxa"/>
            <w:vAlign w:val="bottom"/>
            <w:tcBorders>
              <w:bottom w:val="single" w:sz="8" w:color="007DC6"/>
            </w:tcBorders>
          </w:tcPr>
          <w:p>
            <w:pPr>
              <w:spacing w:after="0"/>
              <w:rPr>
                <w:sz w:val="14"/>
                <w:szCs w:val="14"/>
                <w:color w:val="auto"/>
              </w:rPr>
            </w:pPr>
          </w:p>
        </w:tc>
        <w:tc>
          <w:tcPr>
            <w:tcW w:w="1200" w:type="dxa"/>
            <w:vAlign w:val="bottom"/>
            <w:tcBorders>
              <w:bottom w:val="single" w:sz="8" w:color="007DC6"/>
            </w:tcBorders>
          </w:tcPr>
          <w:p>
            <w:pPr>
              <w:spacing w:after="0"/>
              <w:rPr>
                <w:sz w:val="14"/>
                <w:szCs w:val="14"/>
                <w:color w:val="auto"/>
              </w:rPr>
            </w:pPr>
          </w:p>
        </w:tc>
        <w:tc>
          <w:tcPr>
            <w:tcW w:w="140" w:type="dxa"/>
            <w:vAlign w:val="bottom"/>
            <w:tcBorders>
              <w:bottom w:val="single" w:sz="8" w:color="007DC6"/>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4"/>
        </w:trPr>
        <w:tc>
          <w:tcPr>
            <w:tcW w:w="1680" w:type="dxa"/>
            <w:vAlign w:val="bottom"/>
            <w:tcBorders>
              <w:left w:val="single" w:sz="8" w:color="91BBD3"/>
              <w:bottom w:val="single" w:sz="8" w:color="007DC6"/>
              <w:right w:val="single" w:sz="8" w:color="91BBD3"/>
            </w:tcBorders>
            <w:shd w:val="clear" w:color="auto" w:fill="007DC6"/>
          </w:tcPr>
          <w:p>
            <w:pPr>
              <w:ind w:left="440"/>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720" w:type="dxa"/>
            <w:vAlign w:val="bottom"/>
            <w:tcBorders>
              <w:bottom w:val="single" w:sz="8" w:color="007DC6"/>
            </w:tcBorders>
            <w:shd w:val="clear" w:color="auto" w:fill="007DC6"/>
          </w:tcPr>
          <w:p>
            <w:pPr>
              <w:spacing w:after="0"/>
              <w:rPr>
                <w:sz w:val="24"/>
                <w:szCs w:val="24"/>
                <w:color w:val="auto"/>
              </w:rPr>
            </w:pPr>
          </w:p>
        </w:tc>
        <w:tc>
          <w:tcPr>
            <w:tcW w:w="1380" w:type="dxa"/>
            <w:vAlign w:val="bottom"/>
            <w:tcBorders>
              <w:bottom w:val="single" w:sz="8" w:color="007DC6"/>
            </w:tcBorders>
            <w:shd w:val="clear" w:color="auto" w:fill="007DC6"/>
          </w:tcPr>
          <w:p>
            <w:pPr>
              <w:spacing w:after="0"/>
              <w:rPr>
                <w:sz w:val="24"/>
                <w:szCs w:val="24"/>
                <w:color w:val="auto"/>
              </w:rPr>
            </w:pPr>
          </w:p>
        </w:tc>
        <w:tc>
          <w:tcPr>
            <w:tcW w:w="40" w:type="dxa"/>
            <w:vAlign w:val="bottom"/>
            <w:tcBorders>
              <w:bottom w:val="single" w:sz="8" w:color="007DC6"/>
            </w:tcBorders>
            <w:shd w:val="clear" w:color="auto" w:fill="007DC6"/>
          </w:tcPr>
          <w:p>
            <w:pPr>
              <w:spacing w:after="0"/>
              <w:rPr>
                <w:sz w:val="24"/>
                <w:szCs w:val="24"/>
                <w:color w:val="auto"/>
              </w:rPr>
            </w:pPr>
          </w:p>
        </w:tc>
        <w:tc>
          <w:tcPr>
            <w:tcW w:w="280" w:type="dxa"/>
            <w:vAlign w:val="bottom"/>
            <w:tcBorders>
              <w:bottom w:val="single" w:sz="8" w:color="007DC6"/>
            </w:tcBorders>
            <w:shd w:val="clear" w:color="auto" w:fill="007DC6"/>
          </w:tcPr>
          <w:p>
            <w:pPr>
              <w:spacing w:after="0"/>
              <w:rPr>
                <w:sz w:val="24"/>
                <w:szCs w:val="24"/>
                <w:color w:val="auto"/>
              </w:rPr>
            </w:pPr>
          </w:p>
        </w:tc>
        <w:tc>
          <w:tcPr>
            <w:tcW w:w="28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700" w:type="dxa"/>
            <w:vAlign w:val="bottom"/>
            <w:tcBorders>
              <w:bottom w:val="single" w:sz="8" w:color="007DC6"/>
            </w:tcBorders>
            <w:shd w:val="clear" w:color="auto" w:fill="007DC6"/>
          </w:tcPr>
          <w:p>
            <w:pPr>
              <w:spacing w:after="0"/>
              <w:rPr>
                <w:sz w:val="24"/>
                <w:szCs w:val="24"/>
                <w:color w:val="auto"/>
              </w:rPr>
            </w:pPr>
          </w:p>
        </w:tc>
        <w:tc>
          <w:tcPr>
            <w:tcW w:w="300" w:type="dxa"/>
            <w:vAlign w:val="bottom"/>
            <w:tcBorders>
              <w:bottom w:val="single" w:sz="8" w:color="007DC6"/>
            </w:tcBorders>
            <w:shd w:val="clear" w:color="auto" w:fill="007DC6"/>
          </w:tcPr>
          <w:p>
            <w:pPr>
              <w:spacing w:after="0"/>
              <w:rPr>
                <w:sz w:val="24"/>
                <w:szCs w:val="24"/>
                <w:color w:val="auto"/>
              </w:rPr>
            </w:pPr>
          </w:p>
        </w:tc>
        <w:tc>
          <w:tcPr>
            <w:tcW w:w="340" w:type="dxa"/>
            <w:vAlign w:val="bottom"/>
            <w:tcBorders>
              <w:bottom w:val="single" w:sz="8" w:color="007DC6"/>
            </w:tcBorders>
            <w:shd w:val="clear" w:color="auto" w:fill="007DC6"/>
          </w:tcPr>
          <w:p>
            <w:pPr>
              <w:spacing w:after="0"/>
              <w:rPr>
                <w:sz w:val="24"/>
                <w:szCs w:val="24"/>
                <w:color w:val="auto"/>
              </w:rPr>
            </w:pPr>
          </w:p>
        </w:tc>
        <w:tc>
          <w:tcPr>
            <w:tcW w:w="680" w:type="dxa"/>
            <w:vAlign w:val="bottom"/>
            <w:tcBorders>
              <w:bottom w:val="single" w:sz="8" w:color="007DC6"/>
            </w:tcBorders>
            <w:shd w:val="clear" w:color="auto" w:fill="007DC6"/>
          </w:tcPr>
          <w:p>
            <w:pPr>
              <w:spacing w:after="0"/>
              <w:rPr>
                <w:sz w:val="24"/>
                <w:szCs w:val="24"/>
                <w:color w:val="auto"/>
              </w:rPr>
            </w:pPr>
          </w:p>
        </w:tc>
        <w:tc>
          <w:tcPr>
            <w:tcW w:w="260" w:type="dxa"/>
            <w:vAlign w:val="bottom"/>
            <w:tcBorders>
              <w:bottom w:val="single" w:sz="8" w:color="007DC6"/>
            </w:tcBorders>
            <w:shd w:val="clear" w:color="auto" w:fill="007DC6"/>
          </w:tcPr>
          <w:p>
            <w:pPr>
              <w:spacing w:after="0"/>
              <w:rPr>
                <w:sz w:val="24"/>
                <w:szCs w:val="24"/>
                <w:color w:val="auto"/>
              </w:rPr>
            </w:pPr>
          </w:p>
        </w:tc>
        <w:tc>
          <w:tcPr>
            <w:tcW w:w="800" w:type="dxa"/>
            <w:vAlign w:val="bottom"/>
            <w:tcBorders>
              <w:bottom w:val="single" w:sz="8" w:color="007DC6"/>
            </w:tcBorders>
            <w:shd w:val="clear" w:color="auto" w:fill="007DC6"/>
          </w:tcPr>
          <w:p>
            <w:pPr>
              <w:spacing w:after="0"/>
              <w:rPr>
                <w:sz w:val="24"/>
                <w:szCs w:val="24"/>
                <w:color w:val="auto"/>
              </w:rPr>
            </w:pPr>
          </w:p>
        </w:tc>
        <w:tc>
          <w:tcPr>
            <w:tcW w:w="580" w:type="dxa"/>
            <w:vAlign w:val="bottom"/>
            <w:tcBorders>
              <w:bottom w:val="single" w:sz="8" w:color="007DC6"/>
            </w:tcBorders>
            <w:shd w:val="clear" w:color="auto" w:fill="007DC6"/>
          </w:tcPr>
          <w:p>
            <w:pPr>
              <w:spacing w:after="0"/>
              <w:rPr>
                <w:sz w:val="24"/>
                <w:szCs w:val="24"/>
                <w:color w:val="auto"/>
              </w:rPr>
            </w:pPr>
          </w:p>
        </w:tc>
        <w:tc>
          <w:tcPr>
            <w:tcW w:w="1400" w:type="dxa"/>
            <w:vAlign w:val="bottom"/>
            <w:tcBorders>
              <w:bottom w:val="single" w:sz="8" w:color="007DC6"/>
            </w:tcBorders>
            <w:shd w:val="clear" w:color="auto" w:fill="007DC6"/>
          </w:tcPr>
          <w:p>
            <w:pPr>
              <w:spacing w:after="0"/>
              <w:rPr>
                <w:sz w:val="24"/>
                <w:szCs w:val="24"/>
                <w:color w:val="auto"/>
              </w:rPr>
            </w:pPr>
          </w:p>
        </w:tc>
        <w:tc>
          <w:tcPr>
            <w:tcW w:w="1200" w:type="dxa"/>
            <w:vAlign w:val="bottom"/>
            <w:tcBorders>
              <w:bottom w:val="single" w:sz="8" w:color="007DC6"/>
            </w:tcBorders>
            <w:shd w:val="clear" w:color="auto" w:fill="007DC6"/>
          </w:tcPr>
          <w:p>
            <w:pPr>
              <w:spacing w:after="0"/>
              <w:rPr>
                <w:sz w:val="24"/>
                <w:szCs w:val="24"/>
                <w:color w:val="auto"/>
              </w:rPr>
            </w:pPr>
          </w:p>
        </w:tc>
        <w:tc>
          <w:tcPr>
            <w:tcW w:w="140" w:type="dxa"/>
            <w:vAlign w:val="bottom"/>
            <w:tcBorders>
              <w:left w:val="single" w:sz="8" w:color="007DC6"/>
              <w:bottom w:val="single" w:sz="8" w:color="007DC6"/>
              <w:right w:val="single" w:sz="8" w:color="91BBD3"/>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80" w:type="dxa"/>
            <w:vAlign w:val="bottom"/>
            <w:tcBorders>
              <w:top w:val="single" w:sz="8" w:color="91BBD3"/>
              <w:left w:val="single" w:sz="8" w:color="91BBD3"/>
              <w:right w:val="single" w:sz="8" w:color="91BBD3"/>
            </w:tcBorders>
          </w:tcPr>
          <w:p>
            <w:pPr>
              <w:ind w:left="120"/>
              <w:spacing w:after="0" w:line="135" w:lineRule="exact"/>
              <w:rPr>
                <w:sz w:val="20"/>
                <w:szCs w:val="20"/>
                <w:color w:val="auto"/>
              </w:rPr>
            </w:pPr>
            <w:r>
              <w:rPr>
                <w:rFonts w:ascii="Calibri" w:cs="Calibri" w:eastAsia="Calibri" w:hAnsi="Calibri"/>
                <w:sz w:val="13"/>
                <w:szCs w:val="13"/>
                <w:b w:val="1"/>
                <w:bCs w:val="1"/>
                <w:color w:val="auto"/>
              </w:rPr>
              <w:t>10.32</w:t>
            </w:r>
          </w:p>
        </w:tc>
        <w:tc>
          <w:tcPr>
            <w:tcW w:w="100" w:type="dxa"/>
            <w:vAlign w:val="bottom"/>
            <w:tcBorders>
              <w:top w:val="single" w:sz="8" w:color="91BBD3"/>
            </w:tcBorders>
          </w:tcPr>
          <w:p>
            <w:pPr>
              <w:spacing w:after="0"/>
              <w:rPr>
                <w:sz w:val="11"/>
                <w:szCs w:val="11"/>
                <w:color w:val="auto"/>
              </w:rPr>
            </w:pPr>
          </w:p>
        </w:tc>
        <w:tc>
          <w:tcPr>
            <w:tcW w:w="8980" w:type="dxa"/>
            <w:vAlign w:val="bottom"/>
            <w:tcBorders>
              <w:top w:val="single" w:sz="8" w:color="91BBD3"/>
              <w:bottom w:val="single" w:sz="8" w:color="0563C1"/>
            </w:tcBorders>
            <w:gridSpan w:val="15"/>
          </w:tcPr>
          <w:p>
            <w:pPr>
              <w:spacing w:after="0" w:line="136" w:lineRule="exact"/>
              <w:rPr>
                <w:rFonts w:ascii="MS PGothic" w:cs="MS PGothic" w:eastAsia="MS PGothic" w:hAnsi="MS PGothic"/>
                <w:sz w:val="18"/>
                <w:szCs w:val="18"/>
                <w:color w:val="0563C1"/>
                <w:w w:val="97"/>
              </w:rPr>
            </w:pPr>
            <w:hyperlink r:id="rId719">
              <w:r>
                <w:rPr>
                  <w:rFonts w:ascii="MS PGothic" w:cs="MS PGothic" w:eastAsia="MS PGothic" w:hAnsi="MS PGothic"/>
                  <w:sz w:val="18"/>
                  <w:szCs w:val="18"/>
                  <w:color w:val="0563C1"/>
                  <w:w w:val="97"/>
                </w:rPr>
                <w:t>Ofer Leter, dated as of June 9, 2017, by and between Martn Marieta Materials, Inc. and James A. J. Nickolas (incorporated</w:t>
              </w:r>
            </w:hyperlink>
          </w:p>
        </w:tc>
        <w:tc>
          <w:tcPr>
            <w:tcW w:w="140" w:type="dxa"/>
            <w:vAlign w:val="bottom"/>
            <w:tcBorders>
              <w:top w:val="single" w:sz="8" w:color="91BBD3"/>
              <w:right w:val="single" w:sz="8" w:color="91BBD3"/>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5"/>
          </w:tcPr>
          <w:p>
            <w:pPr>
              <w:spacing w:after="0"/>
              <w:rPr>
                <w:rFonts w:ascii="MS PGothic" w:cs="MS PGothic" w:eastAsia="MS PGothic" w:hAnsi="MS PGothic"/>
                <w:sz w:val="18"/>
                <w:szCs w:val="18"/>
                <w:color w:val="0563C1"/>
                <w:w w:val="99"/>
              </w:rPr>
            </w:pPr>
            <w:hyperlink r:id="rId719">
              <w:r>
                <w:rPr>
                  <w:rFonts w:ascii="MS PGothic" w:cs="MS PGothic" w:eastAsia="MS PGothic" w:hAnsi="MS PGothic"/>
                  <w:sz w:val="18"/>
                  <w:szCs w:val="18"/>
                  <w:color w:val="0563C1"/>
                  <w:w w:val="99"/>
                </w:rPr>
                <w:t>by reference to Exhibit 10.01 to the Martn Marieta Materials, Inc. Quarterly Report on Form 10‑Q for the quarter ended</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719">
              <w:r>
                <w:rPr>
                  <w:rFonts w:ascii="MS PGothic" w:cs="MS PGothic" w:eastAsia="MS PGothic" w:hAnsi="MS PGothic"/>
                  <w:sz w:val="18"/>
                  <w:szCs w:val="18"/>
                  <w:color w:val="0563C1"/>
                </w:rPr>
                <w:t>June 30, 2018)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680" w:type="dxa"/>
            <w:vAlign w:val="bottom"/>
            <w:tcBorders>
              <w:left w:val="single" w:sz="8" w:color="91BBD3"/>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720" w:type="dxa"/>
            <w:vAlign w:val="bottom"/>
            <w:tcBorders>
              <w:top w:val="single" w:sz="8" w:color="0563C1"/>
              <w:bottom w:val="single" w:sz="8" w:color="91BBD3"/>
            </w:tcBorders>
          </w:tcPr>
          <w:p>
            <w:pPr>
              <w:spacing w:after="0"/>
              <w:rPr>
                <w:sz w:val="2"/>
                <w:szCs w:val="2"/>
                <w:color w:val="auto"/>
              </w:rPr>
            </w:pPr>
          </w:p>
        </w:tc>
        <w:tc>
          <w:tcPr>
            <w:tcW w:w="1380" w:type="dxa"/>
            <w:vAlign w:val="bottom"/>
            <w:tcBorders>
              <w:top w:val="single" w:sz="8" w:color="0563C1"/>
              <w:bottom w:val="single" w:sz="8" w:color="91BBD3"/>
            </w:tcBorders>
          </w:tcPr>
          <w:p>
            <w:pPr>
              <w:spacing w:after="0"/>
              <w:rPr>
                <w:sz w:val="2"/>
                <w:szCs w:val="2"/>
                <w:color w:val="auto"/>
              </w:rPr>
            </w:pPr>
          </w:p>
        </w:tc>
        <w:tc>
          <w:tcPr>
            <w:tcW w:w="4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20" w:type="dxa"/>
            <w:vAlign w:val="bottom"/>
            <w:tcBorders>
              <w:top w:val="single" w:sz="8" w:color="0563C1"/>
              <w:bottom w:val="single" w:sz="8" w:color="91BBD3"/>
            </w:tcBorders>
          </w:tcPr>
          <w:p>
            <w:pPr>
              <w:spacing w:after="0"/>
              <w:rPr>
                <w:sz w:val="2"/>
                <w:szCs w:val="2"/>
                <w:color w:val="auto"/>
              </w:rPr>
            </w:pPr>
          </w:p>
        </w:tc>
        <w:tc>
          <w:tcPr>
            <w:tcW w:w="700" w:type="dxa"/>
            <w:vAlign w:val="bottom"/>
            <w:tcBorders>
              <w:top w:val="single" w:sz="8" w:color="0563C1"/>
              <w:bottom w:val="single" w:sz="8" w:color="91BBD3"/>
            </w:tcBorders>
          </w:tcPr>
          <w:p>
            <w:pPr>
              <w:spacing w:after="0"/>
              <w:rPr>
                <w:sz w:val="2"/>
                <w:szCs w:val="2"/>
                <w:color w:val="auto"/>
              </w:rPr>
            </w:pPr>
          </w:p>
        </w:tc>
        <w:tc>
          <w:tcPr>
            <w:tcW w:w="300" w:type="dxa"/>
            <w:vAlign w:val="bottom"/>
            <w:tcBorders>
              <w:bottom w:val="single" w:sz="8" w:color="91BBD3"/>
            </w:tcBorders>
          </w:tcPr>
          <w:p>
            <w:pPr>
              <w:spacing w:after="0"/>
              <w:rPr>
                <w:sz w:val="2"/>
                <w:szCs w:val="2"/>
                <w:color w:val="auto"/>
              </w:rPr>
            </w:pPr>
          </w:p>
        </w:tc>
        <w:tc>
          <w:tcPr>
            <w:tcW w:w="340" w:type="dxa"/>
            <w:vAlign w:val="bottom"/>
            <w:tcBorders>
              <w:bottom w:val="single" w:sz="8" w:color="91BBD3"/>
            </w:tcBorders>
          </w:tcPr>
          <w:p>
            <w:pPr>
              <w:spacing w:after="0"/>
              <w:rPr>
                <w:sz w:val="2"/>
                <w:szCs w:val="2"/>
                <w:color w:val="auto"/>
              </w:rPr>
            </w:pPr>
          </w:p>
        </w:tc>
        <w:tc>
          <w:tcPr>
            <w:tcW w:w="680" w:type="dxa"/>
            <w:vAlign w:val="bottom"/>
            <w:tcBorders>
              <w:bottom w:val="single" w:sz="8" w:color="91BBD3"/>
            </w:tcBorders>
          </w:tcPr>
          <w:p>
            <w:pPr>
              <w:spacing w:after="0"/>
              <w:rPr>
                <w:sz w:val="2"/>
                <w:szCs w:val="2"/>
                <w:color w:val="auto"/>
              </w:rPr>
            </w:pPr>
          </w:p>
        </w:tc>
        <w:tc>
          <w:tcPr>
            <w:tcW w:w="260" w:type="dxa"/>
            <w:vAlign w:val="bottom"/>
            <w:tcBorders>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580" w:type="dxa"/>
            <w:vAlign w:val="bottom"/>
            <w:tcBorders>
              <w:bottom w:val="single" w:sz="8" w:color="91BBD3"/>
            </w:tcBorders>
          </w:tcPr>
          <w:p>
            <w:pPr>
              <w:spacing w:after="0"/>
              <w:rPr>
                <w:sz w:val="2"/>
                <w:szCs w:val="2"/>
                <w:color w:val="auto"/>
              </w:rPr>
            </w:pPr>
          </w:p>
        </w:tc>
        <w:tc>
          <w:tcPr>
            <w:tcW w:w="1400" w:type="dxa"/>
            <w:vAlign w:val="bottom"/>
            <w:tcBorders>
              <w:bottom w:val="single" w:sz="8" w:color="91BBD3"/>
            </w:tcBorders>
          </w:tcPr>
          <w:p>
            <w:pPr>
              <w:spacing w:after="0"/>
              <w:rPr>
                <w:sz w:val="2"/>
                <w:szCs w:val="2"/>
                <w:color w:val="auto"/>
              </w:rPr>
            </w:pPr>
          </w:p>
        </w:tc>
        <w:tc>
          <w:tcPr>
            <w:tcW w:w="12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680" w:type="dxa"/>
            <w:vAlign w:val="bottom"/>
            <w:tcBorders>
              <w:left w:val="single" w:sz="8" w:color="91BBD3"/>
              <w:bottom w:val="single" w:sz="8" w:color="DAE8F0"/>
              <w:right w:val="single" w:sz="8" w:color="91BBD3"/>
            </w:tcBorders>
            <w:shd w:val="clear" w:color="auto" w:fill="DAE8F0"/>
          </w:tcPr>
          <w:p>
            <w:pPr>
              <w:ind w:left="120"/>
              <w:spacing w:after="0" w:line="156" w:lineRule="exact"/>
              <w:rPr>
                <w:sz w:val="20"/>
                <w:szCs w:val="20"/>
                <w:color w:val="auto"/>
              </w:rPr>
            </w:pPr>
            <w:r>
              <w:rPr>
                <w:rFonts w:ascii="Calibri" w:cs="Calibri" w:eastAsia="Calibri" w:hAnsi="Calibri"/>
                <w:sz w:val="16"/>
                <w:szCs w:val="16"/>
                <w:b w:val="1"/>
                <w:bCs w:val="1"/>
                <w:color w:val="auto"/>
              </w:rPr>
              <w:t>10.33</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5"/>
            <w:shd w:val="clear" w:color="auto" w:fill="DAE8F0"/>
          </w:tcPr>
          <w:p>
            <w:pPr>
              <w:spacing w:after="0" w:line="156" w:lineRule="exact"/>
              <w:rPr>
                <w:rFonts w:ascii="MS PGothic" w:cs="MS PGothic" w:eastAsia="MS PGothic" w:hAnsi="MS PGothic"/>
                <w:sz w:val="18"/>
                <w:szCs w:val="18"/>
                <w:color w:val="0563C1"/>
              </w:rPr>
            </w:pPr>
            <w:hyperlink r:id="rId720">
              <w:r>
                <w:rPr>
                  <w:rFonts w:ascii="MS PGothic" w:cs="MS PGothic" w:eastAsia="MS PGothic" w:hAnsi="MS PGothic"/>
                  <w:sz w:val="18"/>
                  <w:szCs w:val="18"/>
                  <w:color w:val="0563C1"/>
                </w:rPr>
                <w:t>Form of First Amendment to the Martn Marieta Materials, Inc. Third Amended and Restated Employment Protecton</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5"/>
            <w:shd w:val="clear" w:color="auto" w:fill="DAE8F0"/>
          </w:tcPr>
          <w:p>
            <w:pPr>
              <w:spacing w:after="0"/>
              <w:rPr>
                <w:rFonts w:ascii="MS PGothic" w:cs="MS PGothic" w:eastAsia="MS PGothic" w:hAnsi="MS PGothic"/>
                <w:sz w:val="18"/>
                <w:szCs w:val="18"/>
                <w:color w:val="0563C1"/>
                <w:w w:val="96"/>
              </w:rPr>
            </w:pPr>
            <w:hyperlink r:id="rId720">
              <w:r>
                <w:rPr>
                  <w:rFonts w:ascii="MS PGothic" w:cs="MS PGothic" w:eastAsia="MS PGothic" w:hAnsi="MS PGothic"/>
                  <w:sz w:val="18"/>
                  <w:szCs w:val="18"/>
                  <w:color w:val="0563C1"/>
                  <w:w w:val="96"/>
                </w:rPr>
                <w:t>Agreement (incorporated by reference to Exhibit 10.1 to the Martn Marieta Materials, Inc. Current Report on Form 8‑K, fled</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tcBorders>
              <w:left w:val="single" w:sz="8" w:color="91BBD3"/>
              <w:right w:val="single" w:sz="8" w:color="91BBD3"/>
            </w:tcBorders>
            <w:shd w:val="clear" w:color="auto" w:fill="DAE8F0"/>
          </w:tcPr>
          <w:p>
            <w:pPr>
              <w:spacing w:after="0"/>
              <w:rPr>
                <w:sz w:val="20"/>
                <w:szCs w:val="20"/>
                <w:color w:val="auto"/>
              </w:rPr>
            </w:pPr>
          </w:p>
        </w:tc>
        <w:tc>
          <w:tcPr>
            <w:tcW w:w="10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6"/>
            <w:shd w:val="clear" w:color="auto" w:fill="DAE8F0"/>
          </w:tcPr>
          <w:p>
            <w:pPr>
              <w:spacing w:after="0"/>
              <w:rPr>
                <w:rFonts w:ascii="MS PGothic" w:cs="MS PGothic" w:eastAsia="MS PGothic" w:hAnsi="MS PGothic"/>
                <w:sz w:val="18"/>
                <w:szCs w:val="18"/>
                <w:color w:val="0563C1"/>
              </w:rPr>
            </w:pPr>
            <w:hyperlink r:id="rId720">
              <w:r>
                <w:rPr>
                  <w:rFonts w:ascii="MS PGothic" w:cs="MS PGothic" w:eastAsia="MS PGothic" w:hAnsi="MS PGothic"/>
                  <w:sz w:val="18"/>
                  <w:szCs w:val="18"/>
                  <w:color w:val="0563C1"/>
                </w:rPr>
                <w:t>on December 18, 2018) (Commission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38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700" w:type="dxa"/>
            <w:vAlign w:val="bottom"/>
            <w:tcBorders>
              <w:top w:val="single" w:sz="8" w:color="0563C1"/>
            </w:tcBorders>
            <w:shd w:val="clear" w:color="auto" w:fill="91BBD3"/>
          </w:tcPr>
          <w:p>
            <w:pPr>
              <w:spacing w:after="0" w:line="20" w:lineRule="exact"/>
              <w:rPr>
                <w:sz w:val="1"/>
                <w:szCs w:val="1"/>
                <w:color w:val="auto"/>
              </w:rPr>
            </w:pPr>
          </w:p>
        </w:tc>
        <w:tc>
          <w:tcPr>
            <w:tcW w:w="300" w:type="dxa"/>
            <w:vAlign w:val="bottom"/>
            <w:tcBorders>
              <w:top w:val="single" w:sz="8" w:color="0563C1"/>
            </w:tcBorders>
            <w:shd w:val="clear" w:color="auto" w:fill="91BBD3"/>
          </w:tcPr>
          <w:p>
            <w:pPr>
              <w:spacing w:after="0" w:line="20" w:lineRule="exact"/>
              <w:rPr>
                <w:sz w:val="1"/>
                <w:szCs w:val="1"/>
                <w:color w:val="auto"/>
              </w:rPr>
            </w:pPr>
          </w:p>
        </w:tc>
        <w:tc>
          <w:tcPr>
            <w:tcW w:w="340" w:type="dxa"/>
            <w:vAlign w:val="bottom"/>
            <w:tcBorders>
              <w:top w:val="single" w:sz="8" w:color="0563C1"/>
            </w:tcBorders>
            <w:shd w:val="clear" w:color="auto" w:fill="91BBD3"/>
          </w:tcPr>
          <w:p>
            <w:pPr>
              <w:spacing w:after="0" w:line="20" w:lineRule="exact"/>
              <w:rPr>
                <w:sz w:val="1"/>
                <w:szCs w:val="1"/>
                <w:color w:val="auto"/>
              </w:rPr>
            </w:pPr>
          </w:p>
        </w:tc>
        <w:tc>
          <w:tcPr>
            <w:tcW w:w="680" w:type="dxa"/>
            <w:vAlign w:val="bottom"/>
            <w:tcBorders>
              <w:top w:val="single" w:sz="8" w:color="DAE8F0"/>
            </w:tcBorders>
            <w:shd w:val="clear" w:color="auto" w:fill="91BBD3"/>
          </w:tcPr>
          <w:p>
            <w:pPr>
              <w:spacing w:after="0" w:line="20" w:lineRule="exact"/>
              <w:rPr>
                <w:sz w:val="1"/>
                <w:szCs w:val="1"/>
                <w:color w:val="auto"/>
              </w:rPr>
            </w:pPr>
          </w:p>
        </w:tc>
        <w:tc>
          <w:tcPr>
            <w:tcW w:w="260" w:type="dxa"/>
            <w:vAlign w:val="bottom"/>
            <w:tcBorders>
              <w:top w:val="single" w:sz="8" w:color="DAE8F0"/>
            </w:tcBorders>
            <w:shd w:val="clear" w:color="auto" w:fill="91BBD3"/>
          </w:tcPr>
          <w:p>
            <w:pPr>
              <w:spacing w:after="0" w:line="20" w:lineRule="exact"/>
              <w:rPr>
                <w:sz w:val="1"/>
                <w:szCs w:val="1"/>
                <w:color w:val="auto"/>
              </w:rPr>
            </w:pPr>
          </w:p>
        </w:tc>
        <w:tc>
          <w:tcPr>
            <w:tcW w:w="800" w:type="dxa"/>
            <w:vAlign w:val="bottom"/>
            <w:tcBorders>
              <w:top w:val="single" w:sz="8" w:color="DAE8F0"/>
            </w:tcBorders>
            <w:shd w:val="clear" w:color="auto" w:fill="91BBD3"/>
          </w:tcPr>
          <w:p>
            <w:pPr>
              <w:spacing w:after="0" w:line="20" w:lineRule="exact"/>
              <w:rPr>
                <w:sz w:val="1"/>
                <w:szCs w:val="1"/>
                <w:color w:val="auto"/>
              </w:rPr>
            </w:pPr>
          </w:p>
        </w:tc>
        <w:tc>
          <w:tcPr>
            <w:tcW w:w="580" w:type="dxa"/>
            <w:vAlign w:val="bottom"/>
            <w:tcBorders>
              <w:top w:val="single" w:sz="8" w:color="DAE8F0"/>
            </w:tcBorders>
            <w:shd w:val="clear" w:color="auto" w:fill="91BBD3"/>
          </w:tcPr>
          <w:p>
            <w:pPr>
              <w:spacing w:after="0" w:line="20" w:lineRule="exact"/>
              <w:rPr>
                <w:sz w:val="1"/>
                <w:szCs w:val="1"/>
                <w:color w:val="auto"/>
              </w:rPr>
            </w:pPr>
          </w:p>
        </w:tc>
        <w:tc>
          <w:tcPr>
            <w:tcW w:w="1400" w:type="dxa"/>
            <w:vAlign w:val="bottom"/>
            <w:tcBorders>
              <w:top w:val="single" w:sz="8" w:color="DAE8F0"/>
            </w:tcBorders>
            <w:shd w:val="clear" w:color="auto" w:fill="91BBD3"/>
          </w:tcPr>
          <w:p>
            <w:pPr>
              <w:spacing w:after="0" w:line="20" w:lineRule="exact"/>
              <w:rPr>
                <w:sz w:val="1"/>
                <w:szCs w:val="1"/>
                <w:color w:val="auto"/>
              </w:rPr>
            </w:pPr>
          </w:p>
        </w:tc>
        <w:tc>
          <w:tcPr>
            <w:tcW w:w="120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Calibri" w:cs="Calibri" w:eastAsia="Calibri" w:hAnsi="Calibri"/>
                <w:sz w:val="16"/>
                <w:szCs w:val="16"/>
                <w:b w:val="1"/>
                <w:bCs w:val="1"/>
                <w:color w:val="auto"/>
              </w:rPr>
              <w:t>10.34</w:t>
            </w:r>
          </w:p>
        </w:tc>
        <w:tc>
          <w:tcPr>
            <w:tcW w:w="100" w:type="dxa"/>
            <w:vAlign w:val="bottom"/>
          </w:tcPr>
          <w:p>
            <w:pPr>
              <w:spacing w:after="0"/>
              <w:rPr>
                <w:sz w:val="13"/>
                <w:szCs w:val="13"/>
                <w:color w:val="auto"/>
              </w:rPr>
            </w:pPr>
          </w:p>
        </w:tc>
        <w:tc>
          <w:tcPr>
            <w:tcW w:w="8980" w:type="dxa"/>
            <w:vAlign w:val="bottom"/>
            <w:tcBorders>
              <w:bottom w:val="single" w:sz="8" w:color="0563C1"/>
            </w:tcBorders>
            <w:gridSpan w:val="15"/>
          </w:tcPr>
          <w:p>
            <w:pPr>
              <w:spacing w:after="0" w:line="156" w:lineRule="exact"/>
              <w:rPr>
                <w:rFonts w:ascii="MS PGothic" w:cs="MS PGothic" w:eastAsia="MS PGothic" w:hAnsi="MS PGothic"/>
                <w:sz w:val="18"/>
                <w:szCs w:val="18"/>
                <w:color w:val="0563C1"/>
                <w:w w:val="99"/>
              </w:rPr>
            </w:pPr>
            <w:hyperlink r:id="rId721">
              <w:r>
                <w:rPr>
                  <w:rFonts w:ascii="MS PGothic" w:cs="MS PGothic" w:eastAsia="MS PGothic" w:hAnsi="MS PGothic"/>
                  <w:sz w:val="18"/>
                  <w:szCs w:val="18"/>
                  <w:color w:val="0563C1"/>
                  <w:w w:val="99"/>
                </w:rPr>
                <w:t>Form of Restricted Stock Unit Award Agreement under the Martn Marieta Materials, Inc. Amended and Restated Stock-</w:t>
              </w:r>
            </w:hyperlink>
          </w:p>
        </w:tc>
        <w:tc>
          <w:tcPr>
            <w:tcW w:w="140" w:type="dxa"/>
            <w:vAlign w:val="bottom"/>
            <w:tcBorders>
              <w:right w:val="single" w:sz="8" w:color="91BBD3"/>
            </w:tcBorders>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5"/>
          </w:tcPr>
          <w:p>
            <w:pPr>
              <w:spacing w:after="0"/>
              <w:rPr>
                <w:rFonts w:ascii="MS PGothic" w:cs="MS PGothic" w:eastAsia="MS PGothic" w:hAnsi="MS PGothic"/>
                <w:sz w:val="18"/>
                <w:szCs w:val="18"/>
                <w:color w:val="0563C1"/>
                <w:w w:val="97"/>
              </w:rPr>
            </w:pPr>
            <w:hyperlink r:id="rId721">
              <w:r>
                <w:rPr>
                  <w:rFonts w:ascii="MS PGothic" w:cs="MS PGothic" w:eastAsia="MS PGothic" w:hAnsi="MS PGothic"/>
                  <w:sz w:val="18"/>
                  <w:szCs w:val="18"/>
                  <w:color w:val="0563C1"/>
                  <w:w w:val="97"/>
                </w:rPr>
                <w:t>Based Award Plan (incorporated by reference to Exhibit 10.2 to the Martn Marieta Materials, Inc. Current Report on Form</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721">
              <w:r>
                <w:rPr>
                  <w:rFonts w:ascii="MS PGothic" w:cs="MS PGothic" w:eastAsia="MS PGothic" w:hAnsi="MS PGothic"/>
                  <w:sz w:val="18"/>
                  <w:szCs w:val="18"/>
                  <w:color w:val="0563C1"/>
                </w:rPr>
                <w:t>8‑K, fled on December 18, 2018)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680" w:type="dxa"/>
            <w:vAlign w:val="bottom"/>
            <w:tcBorders>
              <w:left w:val="single" w:sz="8" w:color="91BBD3"/>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720" w:type="dxa"/>
            <w:vAlign w:val="bottom"/>
            <w:tcBorders>
              <w:top w:val="single" w:sz="8" w:color="0563C1"/>
              <w:bottom w:val="single" w:sz="8" w:color="91BBD3"/>
            </w:tcBorders>
          </w:tcPr>
          <w:p>
            <w:pPr>
              <w:spacing w:after="0"/>
              <w:rPr>
                <w:sz w:val="2"/>
                <w:szCs w:val="2"/>
                <w:color w:val="auto"/>
              </w:rPr>
            </w:pPr>
          </w:p>
        </w:tc>
        <w:tc>
          <w:tcPr>
            <w:tcW w:w="1380" w:type="dxa"/>
            <w:vAlign w:val="bottom"/>
            <w:tcBorders>
              <w:top w:val="single" w:sz="8" w:color="0563C1"/>
              <w:bottom w:val="single" w:sz="8" w:color="91BBD3"/>
            </w:tcBorders>
          </w:tcPr>
          <w:p>
            <w:pPr>
              <w:spacing w:after="0"/>
              <w:rPr>
                <w:sz w:val="2"/>
                <w:szCs w:val="2"/>
                <w:color w:val="auto"/>
              </w:rPr>
            </w:pPr>
          </w:p>
        </w:tc>
        <w:tc>
          <w:tcPr>
            <w:tcW w:w="4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20" w:type="dxa"/>
            <w:vAlign w:val="bottom"/>
            <w:tcBorders>
              <w:top w:val="single" w:sz="8" w:color="0563C1"/>
              <w:bottom w:val="single" w:sz="8" w:color="91BBD3"/>
            </w:tcBorders>
          </w:tcPr>
          <w:p>
            <w:pPr>
              <w:spacing w:after="0"/>
              <w:rPr>
                <w:sz w:val="2"/>
                <w:szCs w:val="2"/>
                <w:color w:val="auto"/>
              </w:rPr>
            </w:pPr>
          </w:p>
        </w:tc>
        <w:tc>
          <w:tcPr>
            <w:tcW w:w="700" w:type="dxa"/>
            <w:vAlign w:val="bottom"/>
            <w:tcBorders>
              <w:top w:val="single" w:sz="8" w:color="0563C1"/>
              <w:bottom w:val="single" w:sz="8" w:color="91BBD3"/>
            </w:tcBorders>
          </w:tcPr>
          <w:p>
            <w:pPr>
              <w:spacing w:after="0"/>
              <w:rPr>
                <w:sz w:val="2"/>
                <w:szCs w:val="2"/>
                <w:color w:val="auto"/>
              </w:rPr>
            </w:pPr>
          </w:p>
        </w:tc>
        <w:tc>
          <w:tcPr>
            <w:tcW w:w="300" w:type="dxa"/>
            <w:vAlign w:val="bottom"/>
            <w:tcBorders>
              <w:top w:val="single" w:sz="8" w:color="0563C1"/>
              <w:bottom w:val="single" w:sz="8" w:color="91BBD3"/>
            </w:tcBorders>
          </w:tcPr>
          <w:p>
            <w:pPr>
              <w:spacing w:after="0"/>
              <w:rPr>
                <w:sz w:val="2"/>
                <w:szCs w:val="2"/>
                <w:color w:val="auto"/>
              </w:rPr>
            </w:pPr>
          </w:p>
        </w:tc>
        <w:tc>
          <w:tcPr>
            <w:tcW w:w="340" w:type="dxa"/>
            <w:vAlign w:val="bottom"/>
            <w:tcBorders>
              <w:top w:val="single" w:sz="8" w:color="0563C1"/>
              <w:bottom w:val="single" w:sz="8" w:color="91BBD3"/>
            </w:tcBorders>
          </w:tcPr>
          <w:p>
            <w:pPr>
              <w:spacing w:after="0"/>
              <w:rPr>
                <w:sz w:val="2"/>
                <w:szCs w:val="2"/>
                <w:color w:val="auto"/>
              </w:rPr>
            </w:pPr>
          </w:p>
        </w:tc>
        <w:tc>
          <w:tcPr>
            <w:tcW w:w="680" w:type="dxa"/>
            <w:vAlign w:val="bottom"/>
            <w:tcBorders>
              <w:top w:val="single" w:sz="8" w:color="0563C1"/>
              <w:bottom w:val="single" w:sz="8" w:color="91BBD3"/>
            </w:tcBorders>
          </w:tcPr>
          <w:p>
            <w:pPr>
              <w:spacing w:after="0"/>
              <w:rPr>
                <w:sz w:val="2"/>
                <w:szCs w:val="2"/>
                <w:color w:val="auto"/>
              </w:rPr>
            </w:pPr>
          </w:p>
        </w:tc>
        <w:tc>
          <w:tcPr>
            <w:tcW w:w="260" w:type="dxa"/>
            <w:vAlign w:val="bottom"/>
            <w:tcBorders>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580" w:type="dxa"/>
            <w:vAlign w:val="bottom"/>
            <w:tcBorders>
              <w:bottom w:val="single" w:sz="8" w:color="91BBD3"/>
            </w:tcBorders>
          </w:tcPr>
          <w:p>
            <w:pPr>
              <w:spacing w:after="0"/>
              <w:rPr>
                <w:sz w:val="2"/>
                <w:szCs w:val="2"/>
                <w:color w:val="auto"/>
              </w:rPr>
            </w:pPr>
          </w:p>
        </w:tc>
        <w:tc>
          <w:tcPr>
            <w:tcW w:w="1400" w:type="dxa"/>
            <w:vAlign w:val="bottom"/>
            <w:tcBorders>
              <w:bottom w:val="single" w:sz="8" w:color="91BBD3"/>
            </w:tcBorders>
          </w:tcPr>
          <w:p>
            <w:pPr>
              <w:spacing w:after="0"/>
              <w:rPr>
                <w:sz w:val="2"/>
                <w:szCs w:val="2"/>
                <w:color w:val="auto"/>
              </w:rPr>
            </w:pPr>
          </w:p>
        </w:tc>
        <w:tc>
          <w:tcPr>
            <w:tcW w:w="12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80" w:type="dxa"/>
            <w:vAlign w:val="bottom"/>
            <w:tcBorders>
              <w:left w:val="single" w:sz="8" w:color="91BBD3"/>
              <w:right w:val="single" w:sz="8" w:color="91BBD3"/>
            </w:tcBorders>
            <w:shd w:val="clear" w:color="auto" w:fill="DAE8F0"/>
          </w:tcPr>
          <w:p>
            <w:pPr>
              <w:ind w:left="120"/>
              <w:spacing w:after="0" w:line="156" w:lineRule="exact"/>
              <w:rPr>
                <w:sz w:val="20"/>
                <w:szCs w:val="20"/>
                <w:color w:val="auto"/>
              </w:rPr>
            </w:pPr>
            <w:r>
              <w:rPr>
                <w:rFonts w:ascii="Calibri" w:cs="Calibri" w:eastAsia="Calibri" w:hAnsi="Calibri"/>
                <w:sz w:val="16"/>
                <w:szCs w:val="16"/>
                <w:b w:val="1"/>
                <w:bCs w:val="1"/>
                <w:color w:val="auto"/>
              </w:rPr>
              <w:t>10.35</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6"/>
            <w:shd w:val="clear" w:color="auto" w:fill="DAE8F0"/>
          </w:tcPr>
          <w:p>
            <w:pPr>
              <w:spacing w:after="0" w:line="156" w:lineRule="exact"/>
              <w:rPr>
                <w:rFonts w:ascii="MS PGothic" w:cs="MS PGothic" w:eastAsia="MS PGothic" w:hAnsi="MS PGothic"/>
                <w:sz w:val="18"/>
                <w:szCs w:val="18"/>
                <w:color w:val="0563C1"/>
                <w:w w:val="98"/>
              </w:rPr>
            </w:pPr>
            <w:hyperlink r:id="rId722">
              <w:r>
                <w:rPr>
                  <w:rFonts w:ascii="MS PGothic" w:cs="MS PGothic" w:eastAsia="MS PGothic" w:hAnsi="MS PGothic"/>
                  <w:sz w:val="18"/>
                  <w:szCs w:val="18"/>
                  <w:color w:val="0563C1"/>
                  <w:w w:val="98"/>
                </w:rPr>
                <w:t>Form of Performance Share Unit Award Agreement under the Martn Marieta Materials, Inc. Amended and Restated Stock-</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0" w:type="dxa"/>
            <w:vAlign w:val="bottom"/>
            <w:gridSpan w:val="2"/>
            <w:shd w:val="clear" w:color="auto" w:fill="0563C1"/>
          </w:tcPr>
          <w:p>
            <w:pPr>
              <w:spacing w:after="0" w:line="20" w:lineRule="exact"/>
              <w:rPr>
                <w:sz w:val="1"/>
                <w:szCs w:val="1"/>
                <w:color w:val="auto"/>
              </w:rPr>
            </w:pPr>
          </w:p>
        </w:tc>
        <w:tc>
          <w:tcPr>
            <w:tcW w:w="1280" w:type="dxa"/>
            <w:vAlign w:val="bottom"/>
            <w:gridSpan w:val="3"/>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5"/>
            <w:shd w:val="clear" w:color="auto" w:fill="DAE8F0"/>
          </w:tcPr>
          <w:p>
            <w:pPr>
              <w:spacing w:after="0"/>
              <w:rPr>
                <w:rFonts w:ascii="MS PGothic" w:cs="MS PGothic" w:eastAsia="MS PGothic" w:hAnsi="MS PGothic"/>
                <w:sz w:val="18"/>
                <w:szCs w:val="18"/>
                <w:color w:val="0563C1"/>
                <w:w w:val="97"/>
              </w:rPr>
            </w:pPr>
            <w:hyperlink r:id="rId722">
              <w:r>
                <w:rPr>
                  <w:rFonts w:ascii="MS PGothic" w:cs="MS PGothic" w:eastAsia="MS PGothic" w:hAnsi="MS PGothic"/>
                  <w:sz w:val="18"/>
                  <w:szCs w:val="18"/>
                  <w:color w:val="0563C1"/>
                  <w:w w:val="97"/>
                </w:rPr>
                <w:t>Based Award Plan (incorporated by reference to Exhibit 10.3 to the Martn Marieta Materials, Inc. Current Report on Form</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80" w:type="dxa"/>
            <w:vAlign w:val="bottom"/>
            <w:tcBorders>
              <w:left w:val="single" w:sz="8" w:color="91BBD3"/>
              <w:bottom w:val="single" w:sz="8" w:color="91BBD3"/>
              <w:right w:val="single" w:sz="8" w:color="91BBD3"/>
            </w:tcBorders>
            <w:shd w:val="clear" w:color="auto" w:fill="DAE8F0"/>
          </w:tcPr>
          <w:p>
            <w:pPr>
              <w:spacing w:after="0"/>
              <w:rPr>
                <w:sz w:val="21"/>
                <w:szCs w:val="21"/>
                <w:color w:val="auto"/>
              </w:rPr>
            </w:pPr>
          </w:p>
        </w:tc>
        <w:tc>
          <w:tcPr>
            <w:tcW w:w="100" w:type="dxa"/>
            <w:vAlign w:val="bottom"/>
            <w:tcBorders>
              <w:bottom w:val="single" w:sz="8" w:color="91BBD3"/>
            </w:tcBorders>
            <w:shd w:val="clear" w:color="auto" w:fill="DAE8F0"/>
          </w:tcPr>
          <w:p>
            <w:pPr>
              <w:spacing w:after="0"/>
              <w:rPr>
                <w:sz w:val="21"/>
                <w:szCs w:val="21"/>
                <w:color w:val="auto"/>
              </w:rPr>
            </w:pPr>
          </w:p>
        </w:tc>
        <w:tc>
          <w:tcPr>
            <w:tcW w:w="4740" w:type="dxa"/>
            <w:vAlign w:val="bottom"/>
            <w:tcBorders>
              <w:bottom w:val="single" w:sz="8" w:color="0563C1"/>
            </w:tcBorders>
            <w:gridSpan w:val="10"/>
            <w:shd w:val="clear" w:color="auto" w:fill="DAE8F0"/>
          </w:tcPr>
          <w:p>
            <w:pPr>
              <w:spacing w:after="0"/>
              <w:rPr>
                <w:rFonts w:ascii="MS PGothic" w:cs="MS PGothic" w:eastAsia="MS PGothic" w:hAnsi="MS PGothic"/>
                <w:sz w:val="18"/>
                <w:szCs w:val="18"/>
                <w:color w:val="0563C1"/>
                <w:w w:val="95"/>
              </w:rPr>
            </w:pPr>
            <w:hyperlink r:id="rId722">
              <w:r>
                <w:rPr>
                  <w:rFonts w:ascii="MS PGothic" w:cs="MS PGothic" w:eastAsia="MS PGothic" w:hAnsi="MS PGothic"/>
                  <w:sz w:val="18"/>
                  <w:szCs w:val="18"/>
                  <w:color w:val="0563C1"/>
                  <w:w w:val="95"/>
                </w:rPr>
                <w:t>8‑K, fled on December 18, 2018) (Commission File No. 1-12744)**</w:t>
              </w:r>
            </w:hyperlink>
          </w:p>
        </w:tc>
        <w:tc>
          <w:tcPr>
            <w:tcW w:w="4380" w:type="dxa"/>
            <w:vAlign w:val="bottom"/>
            <w:tcBorders>
              <w:bottom w:val="single" w:sz="8" w:color="91BBD3"/>
              <w:right w:val="single" w:sz="8" w:color="91BBD3"/>
            </w:tcBorders>
            <w:gridSpan w:val="6"/>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Calibri" w:cs="Calibri" w:eastAsia="Calibri" w:hAnsi="Calibri"/>
                <w:sz w:val="16"/>
                <w:szCs w:val="16"/>
                <w:b w:val="1"/>
                <w:bCs w:val="1"/>
                <w:color w:val="auto"/>
              </w:rPr>
              <w:t>10.36</w:t>
            </w:r>
          </w:p>
        </w:tc>
        <w:tc>
          <w:tcPr>
            <w:tcW w:w="100" w:type="dxa"/>
            <w:vAlign w:val="bottom"/>
          </w:tcPr>
          <w:p>
            <w:pPr>
              <w:spacing w:after="0"/>
              <w:rPr>
                <w:sz w:val="13"/>
                <w:szCs w:val="13"/>
                <w:color w:val="auto"/>
              </w:rPr>
            </w:pPr>
          </w:p>
        </w:tc>
        <w:tc>
          <w:tcPr>
            <w:tcW w:w="8980" w:type="dxa"/>
            <w:vAlign w:val="bottom"/>
            <w:tcBorders>
              <w:bottom w:val="single" w:sz="8" w:color="0563C1"/>
            </w:tcBorders>
            <w:gridSpan w:val="15"/>
          </w:tcPr>
          <w:p>
            <w:pPr>
              <w:spacing w:after="0" w:line="156" w:lineRule="exact"/>
              <w:rPr>
                <w:rFonts w:ascii="MS PGothic" w:cs="MS PGothic" w:eastAsia="MS PGothic" w:hAnsi="MS PGothic"/>
                <w:sz w:val="18"/>
                <w:szCs w:val="18"/>
                <w:color w:val="0563C1"/>
                <w:w w:val="96"/>
              </w:rPr>
            </w:pPr>
            <w:hyperlink r:id="rId723">
              <w:r>
                <w:rPr>
                  <w:rFonts w:ascii="MS PGothic" w:cs="MS PGothic" w:eastAsia="MS PGothic" w:hAnsi="MS PGothic"/>
                  <w:sz w:val="18"/>
                  <w:szCs w:val="18"/>
                  <w:color w:val="0563C1"/>
                  <w:w w:val="96"/>
                </w:rPr>
                <w:t>Form of Directors’ Restricted Stock Unit Award Agreement under the Martn Marieta Materials, Inc. Amended and Restated</w:t>
              </w:r>
            </w:hyperlink>
          </w:p>
        </w:tc>
        <w:tc>
          <w:tcPr>
            <w:tcW w:w="140" w:type="dxa"/>
            <w:vAlign w:val="bottom"/>
            <w:tcBorders>
              <w:right w:val="single" w:sz="8" w:color="91BBD3"/>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5"/>
          </w:tcPr>
          <w:p>
            <w:pPr>
              <w:spacing w:after="0"/>
              <w:rPr>
                <w:rFonts w:ascii="MS PGothic" w:cs="MS PGothic" w:eastAsia="MS PGothic" w:hAnsi="MS PGothic"/>
                <w:sz w:val="18"/>
                <w:szCs w:val="18"/>
                <w:color w:val="0563C1"/>
                <w:w w:val="96"/>
              </w:rPr>
            </w:pPr>
            <w:hyperlink r:id="rId723">
              <w:r>
                <w:rPr>
                  <w:rFonts w:ascii="MS PGothic" w:cs="MS PGothic" w:eastAsia="MS PGothic" w:hAnsi="MS PGothic"/>
                  <w:sz w:val="18"/>
                  <w:szCs w:val="18"/>
                  <w:color w:val="0563C1"/>
                  <w:w w:val="96"/>
                </w:rPr>
                <w:t>Stock-Based Award Plan (incorporated by reference to Exhibit 10.27 to the Martn Marieta Materials, Inc. Annual Report on</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723">
              <w:r>
                <w:rPr>
                  <w:rFonts w:ascii="MS PGothic" w:cs="MS PGothic" w:eastAsia="MS PGothic" w:hAnsi="MS PGothic"/>
                  <w:sz w:val="18"/>
                  <w:szCs w:val="18"/>
                  <w:color w:val="0563C1"/>
                </w:rPr>
                <w:t>Form 10-K for the fscal year ended December 31, 2018)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680" w:type="dxa"/>
            <w:vAlign w:val="bottom"/>
            <w:tcBorders>
              <w:left w:val="single" w:sz="8" w:color="91BBD3"/>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720" w:type="dxa"/>
            <w:vAlign w:val="bottom"/>
            <w:tcBorders>
              <w:top w:val="single" w:sz="8" w:color="0563C1"/>
              <w:bottom w:val="single" w:sz="8" w:color="91BBD3"/>
            </w:tcBorders>
          </w:tcPr>
          <w:p>
            <w:pPr>
              <w:spacing w:after="0"/>
              <w:rPr>
                <w:sz w:val="2"/>
                <w:szCs w:val="2"/>
                <w:color w:val="auto"/>
              </w:rPr>
            </w:pPr>
          </w:p>
        </w:tc>
        <w:tc>
          <w:tcPr>
            <w:tcW w:w="1380" w:type="dxa"/>
            <w:vAlign w:val="bottom"/>
            <w:tcBorders>
              <w:top w:val="single" w:sz="8" w:color="0563C1"/>
              <w:bottom w:val="single" w:sz="8" w:color="91BBD3"/>
            </w:tcBorders>
          </w:tcPr>
          <w:p>
            <w:pPr>
              <w:spacing w:after="0"/>
              <w:rPr>
                <w:sz w:val="2"/>
                <w:szCs w:val="2"/>
                <w:color w:val="auto"/>
              </w:rPr>
            </w:pPr>
          </w:p>
        </w:tc>
        <w:tc>
          <w:tcPr>
            <w:tcW w:w="4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20" w:type="dxa"/>
            <w:vAlign w:val="bottom"/>
            <w:tcBorders>
              <w:top w:val="single" w:sz="8" w:color="0563C1"/>
              <w:bottom w:val="single" w:sz="8" w:color="91BBD3"/>
            </w:tcBorders>
          </w:tcPr>
          <w:p>
            <w:pPr>
              <w:spacing w:after="0"/>
              <w:rPr>
                <w:sz w:val="2"/>
                <w:szCs w:val="2"/>
                <w:color w:val="auto"/>
              </w:rPr>
            </w:pPr>
          </w:p>
        </w:tc>
        <w:tc>
          <w:tcPr>
            <w:tcW w:w="700" w:type="dxa"/>
            <w:vAlign w:val="bottom"/>
            <w:tcBorders>
              <w:top w:val="single" w:sz="8" w:color="0563C1"/>
              <w:bottom w:val="single" w:sz="8" w:color="91BBD3"/>
            </w:tcBorders>
          </w:tcPr>
          <w:p>
            <w:pPr>
              <w:spacing w:after="0"/>
              <w:rPr>
                <w:sz w:val="2"/>
                <w:szCs w:val="2"/>
                <w:color w:val="auto"/>
              </w:rPr>
            </w:pPr>
          </w:p>
        </w:tc>
        <w:tc>
          <w:tcPr>
            <w:tcW w:w="300" w:type="dxa"/>
            <w:vAlign w:val="bottom"/>
            <w:tcBorders>
              <w:top w:val="single" w:sz="8" w:color="0563C1"/>
              <w:bottom w:val="single" w:sz="8" w:color="91BBD3"/>
            </w:tcBorders>
          </w:tcPr>
          <w:p>
            <w:pPr>
              <w:spacing w:after="0"/>
              <w:rPr>
                <w:sz w:val="2"/>
                <w:szCs w:val="2"/>
                <w:color w:val="auto"/>
              </w:rPr>
            </w:pPr>
          </w:p>
        </w:tc>
        <w:tc>
          <w:tcPr>
            <w:tcW w:w="340" w:type="dxa"/>
            <w:vAlign w:val="bottom"/>
            <w:tcBorders>
              <w:top w:val="single" w:sz="8" w:color="0563C1"/>
              <w:bottom w:val="single" w:sz="8" w:color="91BBD3"/>
            </w:tcBorders>
          </w:tcPr>
          <w:p>
            <w:pPr>
              <w:spacing w:after="0"/>
              <w:rPr>
                <w:sz w:val="2"/>
                <w:szCs w:val="2"/>
                <w:color w:val="auto"/>
              </w:rPr>
            </w:pPr>
          </w:p>
        </w:tc>
        <w:tc>
          <w:tcPr>
            <w:tcW w:w="680" w:type="dxa"/>
            <w:vAlign w:val="bottom"/>
            <w:tcBorders>
              <w:top w:val="single" w:sz="8" w:color="0563C1"/>
              <w:bottom w:val="single" w:sz="8" w:color="91BBD3"/>
            </w:tcBorders>
          </w:tcPr>
          <w:p>
            <w:pPr>
              <w:spacing w:after="0"/>
              <w:rPr>
                <w:sz w:val="2"/>
                <w:szCs w:val="2"/>
                <w:color w:val="auto"/>
              </w:rPr>
            </w:pPr>
          </w:p>
        </w:tc>
        <w:tc>
          <w:tcPr>
            <w:tcW w:w="260" w:type="dxa"/>
            <w:vAlign w:val="bottom"/>
            <w:tcBorders>
              <w:top w:val="single" w:sz="8" w:color="0563C1"/>
              <w:bottom w:val="single" w:sz="8" w:color="91BBD3"/>
            </w:tcBorders>
          </w:tcPr>
          <w:p>
            <w:pPr>
              <w:spacing w:after="0"/>
              <w:rPr>
                <w:sz w:val="2"/>
                <w:szCs w:val="2"/>
                <w:color w:val="auto"/>
              </w:rPr>
            </w:pPr>
          </w:p>
        </w:tc>
        <w:tc>
          <w:tcPr>
            <w:tcW w:w="800" w:type="dxa"/>
            <w:vAlign w:val="bottom"/>
            <w:tcBorders>
              <w:top w:val="single" w:sz="8" w:color="0563C1"/>
              <w:bottom w:val="single" w:sz="8" w:color="91BBD3"/>
            </w:tcBorders>
          </w:tcPr>
          <w:p>
            <w:pPr>
              <w:spacing w:after="0"/>
              <w:rPr>
                <w:sz w:val="2"/>
                <w:szCs w:val="2"/>
                <w:color w:val="auto"/>
              </w:rPr>
            </w:pPr>
          </w:p>
        </w:tc>
        <w:tc>
          <w:tcPr>
            <w:tcW w:w="580" w:type="dxa"/>
            <w:vAlign w:val="bottom"/>
            <w:tcBorders>
              <w:top w:val="single" w:sz="8" w:color="0563C1"/>
              <w:bottom w:val="single" w:sz="8" w:color="91BBD3"/>
            </w:tcBorders>
          </w:tcPr>
          <w:p>
            <w:pPr>
              <w:spacing w:after="0"/>
              <w:rPr>
                <w:sz w:val="2"/>
                <w:szCs w:val="2"/>
                <w:color w:val="auto"/>
              </w:rPr>
            </w:pPr>
          </w:p>
        </w:tc>
        <w:tc>
          <w:tcPr>
            <w:tcW w:w="1400" w:type="dxa"/>
            <w:vAlign w:val="bottom"/>
            <w:tcBorders>
              <w:bottom w:val="single" w:sz="8" w:color="91BBD3"/>
            </w:tcBorders>
          </w:tcPr>
          <w:p>
            <w:pPr>
              <w:spacing w:after="0"/>
              <w:rPr>
                <w:sz w:val="2"/>
                <w:szCs w:val="2"/>
                <w:color w:val="auto"/>
              </w:rPr>
            </w:pPr>
          </w:p>
        </w:tc>
        <w:tc>
          <w:tcPr>
            <w:tcW w:w="12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680" w:type="dxa"/>
            <w:vAlign w:val="bottom"/>
            <w:tcBorders>
              <w:left w:val="single" w:sz="8" w:color="91BBD3"/>
              <w:bottom w:val="single" w:sz="8" w:color="DAE8F0"/>
              <w:right w:val="single" w:sz="8" w:color="91BBD3"/>
            </w:tcBorders>
            <w:shd w:val="clear" w:color="auto" w:fill="DAE8F0"/>
          </w:tcPr>
          <w:p>
            <w:pPr>
              <w:ind w:left="120"/>
              <w:spacing w:after="0" w:line="156" w:lineRule="exact"/>
              <w:rPr>
                <w:sz w:val="20"/>
                <w:szCs w:val="20"/>
                <w:color w:val="auto"/>
              </w:rPr>
            </w:pPr>
            <w:r>
              <w:rPr>
                <w:rFonts w:ascii="Calibri" w:cs="Calibri" w:eastAsia="Calibri" w:hAnsi="Calibri"/>
                <w:sz w:val="16"/>
                <w:szCs w:val="16"/>
                <w:b w:val="1"/>
                <w:bCs w:val="1"/>
                <w:color w:val="auto"/>
              </w:rPr>
              <w:t>10.37</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5"/>
            <w:shd w:val="clear" w:color="auto" w:fill="DAE8F0"/>
          </w:tcPr>
          <w:p>
            <w:pPr>
              <w:spacing w:after="0" w:line="156" w:lineRule="exact"/>
              <w:rPr>
                <w:rFonts w:ascii="MS PGothic" w:cs="MS PGothic" w:eastAsia="MS PGothic" w:hAnsi="MS PGothic"/>
                <w:sz w:val="18"/>
                <w:szCs w:val="18"/>
                <w:color w:val="0563C1"/>
              </w:rPr>
            </w:pPr>
            <w:hyperlink r:id="rId724">
              <w:r>
                <w:rPr>
                  <w:rFonts w:ascii="MS PGothic" w:cs="MS PGothic" w:eastAsia="MS PGothic" w:hAnsi="MS PGothic"/>
                  <w:sz w:val="18"/>
                  <w:szCs w:val="18"/>
                  <w:color w:val="0563C1"/>
                </w:rPr>
                <w:t>Martn Marieta Nonqualifed Deferred Cash Compensaton Plan (incorporated by reference to Exhibit 10.1 to the Martn</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80" w:type="dxa"/>
            <w:vAlign w:val="bottom"/>
            <w:tcBorders>
              <w:left w:val="single" w:sz="8" w:color="91BBD3"/>
              <w:right w:val="single" w:sz="8" w:color="91BBD3"/>
            </w:tcBorders>
            <w:shd w:val="clear" w:color="auto" w:fill="DAE8F0"/>
          </w:tcPr>
          <w:p>
            <w:pPr>
              <w:spacing w:after="0"/>
              <w:rPr>
                <w:sz w:val="20"/>
                <w:szCs w:val="20"/>
                <w:color w:val="auto"/>
              </w:rPr>
            </w:pPr>
          </w:p>
        </w:tc>
        <w:tc>
          <w:tcPr>
            <w:tcW w:w="100" w:type="dxa"/>
            <w:vAlign w:val="bottom"/>
            <w:shd w:val="clear" w:color="auto" w:fill="DAE8F0"/>
          </w:tcPr>
          <w:p>
            <w:pPr>
              <w:spacing w:after="0"/>
              <w:rPr>
                <w:sz w:val="20"/>
                <w:szCs w:val="20"/>
                <w:color w:val="auto"/>
              </w:rPr>
            </w:pPr>
          </w:p>
        </w:tc>
        <w:tc>
          <w:tcPr>
            <w:tcW w:w="9120" w:type="dxa"/>
            <w:vAlign w:val="bottom"/>
            <w:tcBorders>
              <w:right w:val="single" w:sz="8" w:color="91BBD3"/>
            </w:tcBorders>
            <w:gridSpan w:val="16"/>
            <w:shd w:val="clear" w:color="auto" w:fill="DAE8F0"/>
          </w:tcPr>
          <w:p>
            <w:pPr>
              <w:spacing w:after="0"/>
              <w:rPr>
                <w:rFonts w:ascii="MS PGothic" w:cs="MS PGothic" w:eastAsia="MS PGothic" w:hAnsi="MS PGothic"/>
                <w:sz w:val="18"/>
                <w:szCs w:val="18"/>
                <w:color w:val="0563C1"/>
              </w:rPr>
            </w:pPr>
            <w:hyperlink r:id="rId724">
              <w:r>
                <w:rPr>
                  <w:rFonts w:ascii="MS PGothic" w:cs="MS PGothic" w:eastAsia="MS PGothic" w:hAnsi="MS PGothic"/>
                  <w:sz w:val="18"/>
                  <w:szCs w:val="18"/>
                  <w:color w:val="0563C1"/>
                </w:rPr>
                <w:t>Marieta Materials, Inc. Current Report on Form 8-K, fled on June 29, 2020 (Commission File No. 1-12744))**</w:t>
              </w:r>
            </w:hyperlink>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38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700" w:type="dxa"/>
            <w:vAlign w:val="bottom"/>
            <w:tcBorders>
              <w:top w:val="single" w:sz="8" w:color="0563C1"/>
            </w:tcBorders>
            <w:shd w:val="clear" w:color="auto" w:fill="91BBD3"/>
          </w:tcPr>
          <w:p>
            <w:pPr>
              <w:spacing w:after="0" w:line="20" w:lineRule="exact"/>
              <w:rPr>
                <w:sz w:val="1"/>
                <w:szCs w:val="1"/>
                <w:color w:val="auto"/>
              </w:rPr>
            </w:pPr>
          </w:p>
        </w:tc>
        <w:tc>
          <w:tcPr>
            <w:tcW w:w="300" w:type="dxa"/>
            <w:vAlign w:val="bottom"/>
            <w:tcBorders>
              <w:top w:val="single" w:sz="8" w:color="0563C1"/>
            </w:tcBorders>
            <w:shd w:val="clear" w:color="auto" w:fill="91BBD3"/>
          </w:tcPr>
          <w:p>
            <w:pPr>
              <w:spacing w:after="0" w:line="20" w:lineRule="exact"/>
              <w:rPr>
                <w:sz w:val="1"/>
                <w:szCs w:val="1"/>
                <w:color w:val="auto"/>
              </w:rPr>
            </w:pPr>
          </w:p>
        </w:tc>
        <w:tc>
          <w:tcPr>
            <w:tcW w:w="340" w:type="dxa"/>
            <w:vAlign w:val="bottom"/>
            <w:tcBorders>
              <w:top w:val="single" w:sz="8" w:color="0563C1"/>
            </w:tcBorders>
            <w:shd w:val="clear" w:color="auto" w:fill="91BBD3"/>
          </w:tcPr>
          <w:p>
            <w:pPr>
              <w:spacing w:after="0" w:line="20" w:lineRule="exact"/>
              <w:rPr>
                <w:sz w:val="1"/>
                <w:szCs w:val="1"/>
                <w:color w:val="auto"/>
              </w:rPr>
            </w:pPr>
          </w:p>
        </w:tc>
        <w:tc>
          <w:tcPr>
            <w:tcW w:w="680" w:type="dxa"/>
            <w:vAlign w:val="bottom"/>
            <w:tcBorders>
              <w:top w:val="single" w:sz="8" w:color="0563C1"/>
            </w:tcBorders>
            <w:shd w:val="clear" w:color="auto" w:fill="91BBD3"/>
          </w:tcPr>
          <w:p>
            <w:pPr>
              <w:spacing w:after="0" w:line="20" w:lineRule="exact"/>
              <w:rPr>
                <w:sz w:val="1"/>
                <w:szCs w:val="1"/>
                <w:color w:val="auto"/>
              </w:rPr>
            </w:pPr>
          </w:p>
        </w:tc>
        <w:tc>
          <w:tcPr>
            <w:tcW w:w="260" w:type="dxa"/>
            <w:vAlign w:val="bottom"/>
            <w:tcBorders>
              <w:top w:val="single" w:sz="8" w:color="0563C1"/>
            </w:tcBorders>
            <w:shd w:val="clear" w:color="auto" w:fill="91BBD3"/>
          </w:tcPr>
          <w:p>
            <w:pPr>
              <w:spacing w:after="0" w:line="20" w:lineRule="exact"/>
              <w:rPr>
                <w:sz w:val="1"/>
                <w:szCs w:val="1"/>
                <w:color w:val="auto"/>
              </w:rPr>
            </w:pPr>
          </w:p>
        </w:tc>
        <w:tc>
          <w:tcPr>
            <w:tcW w:w="800" w:type="dxa"/>
            <w:vAlign w:val="bottom"/>
            <w:tcBorders>
              <w:top w:val="single" w:sz="8" w:color="0563C1"/>
            </w:tcBorders>
            <w:shd w:val="clear" w:color="auto" w:fill="91BBD3"/>
          </w:tcPr>
          <w:p>
            <w:pPr>
              <w:spacing w:after="0" w:line="20" w:lineRule="exact"/>
              <w:rPr>
                <w:sz w:val="1"/>
                <w:szCs w:val="1"/>
                <w:color w:val="auto"/>
              </w:rPr>
            </w:pPr>
          </w:p>
        </w:tc>
        <w:tc>
          <w:tcPr>
            <w:tcW w:w="580" w:type="dxa"/>
            <w:vAlign w:val="bottom"/>
            <w:tcBorders>
              <w:top w:val="single" w:sz="8" w:color="0563C1"/>
            </w:tcBorders>
            <w:shd w:val="clear" w:color="auto" w:fill="91BBD3"/>
          </w:tcPr>
          <w:p>
            <w:pPr>
              <w:spacing w:after="0" w:line="20" w:lineRule="exact"/>
              <w:rPr>
                <w:sz w:val="1"/>
                <w:szCs w:val="1"/>
                <w:color w:val="auto"/>
              </w:rPr>
            </w:pPr>
          </w:p>
        </w:tc>
        <w:tc>
          <w:tcPr>
            <w:tcW w:w="1400" w:type="dxa"/>
            <w:vAlign w:val="bottom"/>
            <w:tcBorders>
              <w:top w:val="single" w:sz="8" w:color="0563C1"/>
            </w:tcBorders>
            <w:shd w:val="clear" w:color="auto" w:fill="91BBD3"/>
          </w:tcPr>
          <w:p>
            <w:pPr>
              <w:spacing w:after="0" w:line="20" w:lineRule="exact"/>
              <w:rPr>
                <w:sz w:val="1"/>
                <w:szCs w:val="1"/>
                <w:color w:val="auto"/>
              </w:rPr>
            </w:pPr>
          </w:p>
        </w:tc>
        <w:tc>
          <w:tcPr>
            <w:tcW w:w="120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Calibri" w:cs="Calibri" w:eastAsia="Calibri" w:hAnsi="Calibri"/>
                <w:sz w:val="16"/>
                <w:szCs w:val="16"/>
                <w:b w:val="1"/>
                <w:bCs w:val="1"/>
                <w:color w:val="auto"/>
              </w:rPr>
              <w:t>10.38</w:t>
            </w:r>
          </w:p>
        </w:tc>
        <w:tc>
          <w:tcPr>
            <w:tcW w:w="100" w:type="dxa"/>
            <w:vAlign w:val="bottom"/>
          </w:tcPr>
          <w:p>
            <w:pPr>
              <w:spacing w:after="0"/>
              <w:rPr>
                <w:sz w:val="13"/>
                <w:szCs w:val="13"/>
                <w:color w:val="auto"/>
              </w:rPr>
            </w:pPr>
          </w:p>
        </w:tc>
        <w:tc>
          <w:tcPr>
            <w:tcW w:w="8980" w:type="dxa"/>
            <w:vAlign w:val="bottom"/>
            <w:tcBorders>
              <w:bottom w:val="single" w:sz="8" w:color="0563C1"/>
            </w:tcBorders>
            <w:gridSpan w:val="15"/>
          </w:tcPr>
          <w:p>
            <w:pPr>
              <w:spacing w:after="0" w:line="156" w:lineRule="exact"/>
              <w:rPr>
                <w:rFonts w:ascii="MS PGothic" w:cs="MS PGothic" w:eastAsia="MS PGothic" w:hAnsi="MS PGothic"/>
                <w:sz w:val="18"/>
                <w:szCs w:val="18"/>
                <w:color w:val="0563C1"/>
                <w:w w:val="99"/>
              </w:rPr>
            </w:pPr>
            <w:hyperlink r:id="rId725">
              <w:r>
                <w:rPr>
                  <w:rFonts w:ascii="MS PGothic" w:cs="MS PGothic" w:eastAsia="MS PGothic" w:hAnsi="MS PGothic"/>
                  <w:sz w:val="18"/>
                  <w:szCs w:val="18"/>
                  <w:color w:val="0563C1"/>
                  <w:w w:val="99"/>
                </w:rPr>
                <w:t>Martn Marieta Nonqualifed Deferred Cash Compensaton Plan Adopton Agreement (incorporated by reference to Exhibit</w:t>
              </w:r>
            </w:hyperlink>
          </w:p>
        </w:tc>
        <w:tc>
          <w:tcPr>
            <w:tcW w:w="140" w:type="dxa"/>
            <w:vAlign w:val="bottom"/>
            <w:tcBorders>
              <w:right w:val="single" w:sz="8" w:color="91BBD3"/>
            </w:tcBorders>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rFonts w:ascii="MS PGothic" w:cs="MS PGothic" w:eastAsia="MS PGothic" w:hAnsi="MS PGothic"/>
                <w:sz w:val="18"/>
                <w:szCs w:val="18"/>
                <w:color w:val="0563C1"/>
              </w:rPr>
            </w:pPr>
            <w:hyperlink r:id="rId725">
              <w:r>
                <w:rPr>
                  <w:rFonts w:ascii="MS PGothic" w:cs="MS PGothic" w:eastAsia="MS PGothic" w:hAnsi="MS PGothic"/>
                  <w:sz w:val="18"/>
                  <w:szCs w:val="18"/>
                  <w:color w:val="0563C1"/>
                </w:rPr>
                <w:t>10.2 to the Martn Marieta Materials, Inc. Current Report on Form 8-K, fled on June 29, 2020 (Commission File No. 1-</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2200" w:type="dxa"/>
            <w:vAlign w:val="bottom"/>
            <w:gridSpan w:val="3"/>
          </w:tcPr>
          <w:p>
            <w:pPr>
              <w:ind w:left="100"/>
              <w:spacing w:after="0"/>
              <w:rPr>
                <w:rFonts w:ascii="MS PGothic" w:cs="MS PGothic" w:eastAsia="MS PGothic" w:hAnsi="MS PGothic"/>
                <w:sz w:val="18"/>
                <w:szCs w:val="18"/>
                <w:color w:val="0563C1"/>
              </w:rPr>
            </w:pPr>
            <w:hyperlink r:id="rId725">
              <w:r>
                <w:rPr>
                  <w:rFonts w:ascii="MS PGothic" w:cs="MS PGothic" w:eastAsia="MS PGothic" w:hAnsi="MS PGothic"/>
                  <w:sz w:val="18"/>
                  <w:szCs w:val="18"/>
                  <w:color w:val="0563C1"/>
                </w:rPr>
                <w:t>12744))**</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680" w:type="dxa"/>
            <w:vAlign w:val="bottom"/>
            <w:tcBorders>
              <w:left w:val="single" w:sz="8" w:color="91BBD3"/>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720" w:type="dxa"/>
            <w:vAlign w:val="bottom"/>
            <w:tcBorders>
              <w:top w:val="single" w:sz="8" w:color="0563C1"/>
              <w:bottom w:val="single" w:sz="8" w:color="91BBD3"/>
            </w:tcBorders>
          </w:tcPr>
          <w:p>
            <w:pPr>
              <w:spacing w:after="0"/>
              <w:rPr>
                <w:sz w:val="2"/>
                <w:szCs w:val="2"/>
                <w:color w:val="auto"/>
              </w:rPr>
            </w:pPr>
          </w:p>
        </w:tc>
        <w:tc>
          <w:tcPr>
            <w:tcW w:w="1380" w:type="dxa"/>
            <w:vAlign w:val="bottom"/>
            <w:tcBorders>
              <w:bottom w:val="single" w:sz="8" w:color="91BBD3"/>
            </w:tcBorders>
          </w:tcPr>
          <w:p>
            <w:pPr>
              <w:spacing w:after="0"/>
              <w:rPr>
                <w:sz w:val="2"/>
                <w:szCs w:val="2"/>
                <w:color w:val="auto"/>
              </w:rPr>
            </w:pPr>
          </w:p>
        </w:tc>
        <w:tc>
          <w:tcPr>
            <w:tcW w:w="40" w:type="dxa"/>
            <w:vAlign w:val="bottom"/>
            <w:tcBorders>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700" w:type="dxa"/>
            <w:vAlign w:val="bottom"/>
            <w:tcBorders>
              <w:bottom w:val="single" w:sz="8" w:color="91BBD3"/>
            </w:tcBorders>
          </w:tcPr>
          <w:p>
            <w:pPr>
              <w:spacing w:after="0"/>
              <w:rPr>
                <w:sz w:val="2"/>
                <w:szCs w:val="2"/>
                <w:color w:val="auto"/>
              </w:rPr>
            </w:pPr>
          </w:p>
        </w:tc>
        <w:tc>
          <w:tcPr>
            <w:tcW w:w="300" w:type="dxa"/>
            <w:vAlign w:val="bottom"/>
            <w:tcBorders>
              <w:bottom w:val="single" w:sz="8" w:color="91BBD3"/>
            </w:tcBorders>
          </w:tcPr>
          <w:p>
            <w:pPr>
              <w:spacing w:after="0"/>
              <w:rPr>
                <w:sz w:val="2"/>
                <w:szCs w:val="2"/>
                <w:color w:val="auto"/>
              </w:rPr>
            </w:pPr>
          </w:p>
        </w:tc>
        <w:tc>
          <w:tcPr>
            <w:tcW w:w="340" w:type="dxa"/>
            <w:vAlign w:val="bottom"/>
            <w:tcBorders>
              <w:bottom w:val="single" w:sz="8" w:color="91BBD3"/>
            </w:tcBorders>
          </w:tcPr>
          <w:p>
            <w:pPr>
              <w:spacing w:after="0"/>
              <w:rPr>
                <w:sz w:val="2"/>
                <w:szCs w:val="2"/>
                <w:color w:val="auto"/>
              </w:rPr>
            </w:pPr>
          </w:p>
        </w:tc>
        <w:tc>
          <w:tcPr>
            <w:tcW w:w="680" w:type="dxa"/>
            <w:vAlign w:val="bottom"/>
            <w:tcBorders>
              <w:bottom w:val="single" w:sz="8" w:color="91BBD3"/>
            </w:tcBorders>
          </w:tcPr>
          <w:p>
            <w:pPr>
              <w:spacing w:after="0"/>
              <w:rPr>
                <w:sz w:val="2"/>
                <w:szCs w:val="2"/>
                <w:color w:val="auto"/>
              </w:rPr>
            </w:pPr>
          </w:p>
        </w:tc>
        <w:tc>
          <w:tcPr>
            <w:tcW w:w="260" w:type="dxa"/>
            <w:vAlign w:val="bottom"/>
            <w:tcBorders>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580" w:type="dxa"/>
            <w:vAlign w:val="bottom"/>
            <w:tcBorders>
              <w:bottom w:val="single" w:sz="8" w:color="91BBD3"/>
            </w:tcBorders>
          </w:tcPr>
          <w:p>
            <w:pPr>
              <w:spacing w:after="0"/>
              <w:rPr>
                <w:sz w:val="2"/>
                <w:szCs w:val="2"/>
                <w:color w:val="auto"/>
              </w:rPr>
            </w:pPr>
          </w:p>
        </w:tc>
        <w:tc>
          <w:tcPr>
            <w:tcW w:w="1400" w:type="dxa"/>
            <w:vAlign w:val="bottom"/>
            <w:tcBorders>
              <w:bottom w:val="single" w:sz="8" w:color="91BBD3"/>
            </w:tcBorders>
          </w:tcPr>
          <w:p>
            <w:pPr>
              <w:spacing w:after="0"/>
              <w:rPr>
                <w:sz w:val="2"/>
                <w:szCs w:val="2"/>
                <w:color w:val="auto"/>
              </w:rPr>
            </w:pPr>
          </w:p>
        </w:tc>
        <w:tc>
          <w:tcPr>
            <w:tcW w:w="12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80" w:type="dxa"/>
            <w:vAlign w:val="bottom"/>
            <w:tcBorders>
              <w:left w:val="single" w:sz="8" w:color="91BBD3"/>
              <w:bottom w:val="single" w:sz="8" w:color="DAE8F0"/>
              <w:right w:val="single" w:sz="8" w:color="91BBD3"/>
            </w:tcBorders>
            <w:shd w:val="clear" w:color="auto" w:fill="DAE8F0"/>
          </w:tcPr>
          <w:p>
            <w:pPr>
              <w:ind w:left="120"/>
              <w:spacing w:after="0" w:line="156" w:lineRule="exact"/>
              <w:rPr>
                <w:sz w:val="20"/>
                <w:szCs w:val="20"/>
                <w:color w:val="auto"/>
              </w:rPr>
            </w:pPr>
            <w:r>
              <w:rPr>
                <w:rFonts w:ascii="Calibri" w:cs="Calibri" w:eastAsia="Calibri" w:hAnsi="Calibri"/>
                <w:sz w:val="16"/>
                <w:szCs w:val="16"/>
                <w:b w:val="1"/>
                <w:bCs w:val="1"/>
                <w:color w:val="auto"/>
              </w:rPr>
              <w:t>10.39</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5"/>
            <w:shd w:val="clear" w:color="auto" w:fill="DAE8F0"/>
          </w:tcPr>
          <w:p>
            <w:pPr>
              <w:spacing w:after="0" w:line="156" w:lineRule="exact"/>
              <w:rPr>
                <w:rFonts w:ascii="MS PGothic" w:cs="MS PGothic" w:eastAsia="MS PGothic" w:hAnsi="MS PGothic"/>
                <w:sz w:val="18"/>
                <w:szCs w:val="18"/>
                <w:color w:val="0563C1"/>
                <w:w w:val="97"/>
              </w:rPr>
            </w:pPr>
            <w:hyperlink r:id="rId726">
              <w:r>
                <w:rPr>
                  <w:rFonts w:ascii="MS PGothic" w:cs="MS PGothic" w:eastAsia="MS PGothic" w:hAnsi="MS PGothic"/>
                  <w:sz w:val="18"/>
                  <w:szCs w:val="18"/>
                  <w:color w:val="0563C1"/>
                  <w:w w:val="97"/>
                </w:rPr>
                <w:t>Ofer Leter, dated as of January 11, 2019, by and between Martn Marieta Materials, Inc. and Robert J. Cardin (incorporated</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5"/>
            <w:shd w:val="clear" w:color="auto" w:fill="DAE8F0"/>
          </w:tcPr>
          <w:p>
            <w:pPr>
              <w:spacing w:after="0"/>
              <w:rPr>
                <w:rFonts w:ascii="MS PGothic" w:cs="MS PGothic" w:eastAsia="MS PGothic" w:hAnsi="MS PGothic"/>
                <w:sz w:val="18"/>
                <w:szCs w:val="18"/>
                <w:color w:val="0563C1"/>
                <w:w w:val="99"/>
              </w:rPr>
            </w:pPr>
            <w:hyperlink r:id="rId726">
              <w:r>
                <w:rPr>
                  <w:rFonts w:ascii="MS PGothic" w:cs="MS PGothic" w:eastAsia="MS PGothic" w:hAnsi="MS PGothic"/>
                  <w:sz w:val="18"/>
                  <w:szCs w:val="18"/>
                  <w:color w:val="0563C1"/>
                  <w:w w:val="99"/>
                </w:rPr>
                <w:t>by reference to Exhibit 10.01 to the Martn Marieta Materials, Inc. Quarterly Report on Form 10‑Q for the quarter ended</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6"/>
            <w:shd w:val="clear" w:color="auto" w:fill="DAE8F0"/>
          </w:tcPr>
          <w:p>
            <w:pPr>
              <w:spacing w:after="0"/>
              <w:rPr>
                <w:rFonts w:ascii="MS PGothic" w:cs="MS PGothic" w:eastAsia="MS PGothic" w:hAnsi="MS PGothic"/>
                <w:sz w:val="18"/>
                <w:szCs w:val="18"/>
                <w:color w:val="0563C1"/>
              </w:rPr>
            </w:pPr>
            <w:hyperlink r:id="rId726">
              <w:r>
                <w:rPr>
                  <w:rFonts w:ascii="MS PGothic" w:cs="MS PGothic" w:eastAsia="MS PGothic" w:hAnsi="MS PGothic"/>
                  <w:sz w:val="18"/>
                  <w:szCs w:val="18"/>
                  <w:color w:val="0563C1"/>
                </w:rPr>
                <w:t>June 30, 2019)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680" w:type="dxa"/>
            <w:vAlign w:val="bottom"/>
            <w:tcBorders>
              <w:top w:val="single" w:sz="8" w:color="91BBD3"/>
              <w:left w:val="single" w:sz="8" w:color="91BBD3"/>
              <w:right w:val="single" w:sz="8" w:color="91BBD3"/>
            </w:tcBorders>
          </w:tcPr>
          <w:p>
            <w:pPr>
              <w:ind w:left="120"/>
              <w:spacing w:after="0" w:line="156" w:lineRule="exact"/>
              <w:rPr>
                <w:sz w:val="20"/>
                <w:szCs w:val="20"/>
                <w:color w:val="auto"/>
              </w:rPr>
            </w:pPr>
            <w:r>
              <w:rPr>
                <w:rFonts w:ascii="Calibri" w:cs="Calibri" w:eastAsia="Calibri" w:hAnsi="Calibri"/>
                <w:sz w:val="16"/>
                <w:szCs w:val="16"/>
                <w:b w:val="1"/>
                <w:bCs w:val="1"/>
                <w:color w:val="auto"/>
              </w:rPr>
              <w:t>*19.01</w:t>
            </w:r>
          </w:p>
        </w:tc>
        <w:tc>
          <w:tcPr>
            <w:tcW w:w="100" w:type="dxa"/>
            <w:vAlign w:val="bottom"/>
            <w:tcBorders>
              <w:top w:val="single" w:sz="8" w:color="91BBD3"/>
            </w:tcBorders>
          </w:tcPr>
          <w:p>
            <w:pPr>
              <w:spacing w:after="0"/>
              <w:rPr>
                <w:sz w:val="13"/>
                <w:szCs w:val="13"/>
                <w:color w:val="auto"/>
              </w:rPr>
            </w:pPr>
          </w:p>
        </w:tc>
        <w:tc>
          <w:tcPr>
            <w:tcW w:w="3420" w:type="dxa"/>
            <w:vAlign w:val="bottom"/>
            <w:tcBorders>
              <w:top w:val="single" w:sz="8" w:color="0563C1"/>
            </w:tcBorders>
            <w:gridSpan w:val="7"/>
          </w:tcPr>
          <w:p>
            <w:pPr>
              <w:spacing w:after="0" w:line="156" w:lineRule="exact"/>
              <w:rPr>
                <w:sz w:val="20"/>
                <w:szCs w:val="20"/>
                <w:color w:val="auto"/>
              </w:rPr>
            </w:pPr>
            <w:r>
              <w:rPr>
                <w:rFonts w:ascii="MS PGothic" w:cs="MS PGothic" w:eastAsia="MS PGothic" w:hAnsi="MS PGothic"/>
                <w:sz w:val="18"/>
                <w:szCs w:val="18"/>
                <w:color w:val="0563C1"/>
              </w:rPr>
              <w:t>Martn Marieta Insider Trading Policy</w:t>
            </w:r>
          </w:p>
        </w:tc>
        <w:tc>
          <w:tcPr>
            <w:tcW w:w="5700" w:type="dxa"/>
            <w:vAlign w:val="bottom"/>
            <w:tcBorders>
              <w:top w:val="single" w:sz="8" w:color="91BBD3"/>
              <w:right w:val="single" w:sz="8" w:color="91BBD3"/>
            </w:tcBorders>
            <w:gridSpan w:val="9"/>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1380" w:type="dxa"/>
            <w:vAlign w:val="bottom"/>
            <w:tcBorders>
              <w:top w:val="single" w:sz="8" w:color="0563C1"/>
              <w:bottom w:val="single" w:sz="8" w:color="91BBD3"/>
            </w:tcBorders>
          </w:tcPr>
          <w:p>
            <w:pPr>
              <w:spacing w:after="0"/>
              <w:rPr>
                <w:sz w:val="4"/>
                <w:szCs w:val="4"/>
                <w:color w:val="auto"/>
              </w:rPr>
            </w:pPr>
          </w:p>
        </w:tc>
        <w:tc>
          <w:tcPr>
            <w:tcW w:w="4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700" w:type="dxa"/>
            <w:vAlign w:val="bottom"/>
            <w:tcBorders>
              <w:bottom w:val="single" w:sz="8" w:color="91BBD3"/>
            </w:tcBorders>
          </w:tcPr>
          <w:p>
            <w:pPr>
              <w:spacing w:after="0"/>
              <w:rPr>
                <w:sz w:val="4"/>
                <w:szCs w:val="4"/>
                <w:color w:val="auto"/>
              </w:rPr>
            </w:pPr>
          </w:p>
        </w:tc>
        <w:tc>
          <w:tcPr>
            <w:tcW w:w="300" w:type="dxa"/>
            <w:vAlign w:val="bottom"/>
            <w:tcBorders>
              <w:bottom w:val="single" w:sz="8" w:color="91BBD3"/>
            </w:tcBorders>
          </w:tcPr>
          <w:p>
            <w:pPr>
              <w:spacing w:after="0"/>
              <w:rPr>
                <w:sz w:val="4"/>
                <w:szCs w:val="4"/>
                <w:color w:val="auto"/>
              </w:rPr>
            </w:pPr>
          </w:p>
        </w:tc>
        <w:tc>
          <w:tcPr>
            <w:tcW w:w="340" w:type="dxa"/>
            <w:vAlign w:val="bottom"/>
            <w:tcBorders>
              <w:bottom w:val="single" w:sz="8" w:color="91BBD3"/>
            </w:tcBorders>
          </w:tcPr>
          <w:p>
            <w:pPr>
              <w:spacing w:after="0"/>
              <w:rPr>
                <w:sz w:val="4"/>
                <w:szCs w:val="4"/>
                <w:color w:val="auto"/>
              </w:rPr>
            </w:pPr>
          </w:p>
        </w:tc>
        <w:tc>
          <w:tcPr>
            <w:tcW w:w="680" w:type="dxa"/>
            <w:vAlign w:val="bottom"/>
            <w:tcBorders>
              <w:bottom w:val="single" w:sz="8" w:color="91BBD3"/>
            </w:tcBorders>
          </w:tcPr>
          <w:p>
            <w:pPr>
              <w:spacing w:after="0"/>
              <w:rPr>
                <w:sz w:val="4"/>
                <w:szCs w:val="4"/>
                <w:color w:val="auto"/>
              </w:rPr>
            </w:pPr>
          </w:p>
        </w:tc>
        <w:tc>
          <w:tcPr>
            <w:tcW w:w="260" w:type="dxa"/>
            <w:vAlign w:val="bottom"/>
            <w:tcBorders>
              <w:bottom w:val="single" w:sz="8" w:color="91BBD3"/>
            </w:tcBorders>
          </w:tcPr>
          <w:p>
            <w:pPr>
              <w:spacing w:after="0"/>
              <w:rPr>
                <w:sz w:val="4"/>
                <w:szCs w:val="4"/>
                <w:color w:val="auto"/>
              </w:rPr>
            </w:pPr>
          </w:p>
        </w:tc>
        <w:tc>
          <w:tcPr>
            <w:tcW w:w="800" w:type="dxa"/>
            <w:vAlign w:val="bottom"/>
            <w:tcBorders>
              <w:bottom w:val="single" w:sz="8" w:color="91BBD3"/>
            </w:tcBorders>
          </w:tcPr>
          <w:p>
            <w:pPr>
              <w:spacing w:after="0"/>
              <w:rPr>
                <w:sz w:val="4"/>
                <w:szCs w:val="4"/>
                <w:color w:val="auto"/>
              </w:rPr>
            </w:pPr>
          </w:p>
        </w:tc>
        <w:tc>
          <w:tcPr>
            <w:tcW w:w="580" w:type="dxa"/>
            <w:vAlign w:val="bottom"/>
            <w:tcBorders>
              <w:bottom w:val="single" w:sz="8" w:color="91BBD3"/>
            </w:tcBorders>
          </w:tcPr>
          <w:p>
            <w:pPr>
              <w:spacing w:after="0"/>
              <w:rPr>
                <w:sz w:val="4"/>
                <w:szCs w:val="4"/>
                <w:color w:val="auto"/>
              </w:rPr>
            </w:pPr>
          </w:p>
        </w:tc>
        <w:tc>
          <w:tcPr>
            <w:tcW w:w="1400" w:type="dxa"/>
            <w:vAlign w:val="bottom"/>
            <w:tcBorders>
              <w:bottom w:val="single" w:sz="8" w:color="91BBD3"/>
            </w:tcBorders>
          </w:tcPr>
          <w:p>
            <w:pPr>
              <w:spacing w:after="0"/>
              <w:rPr>
                <w:sz w:val="4"/>
                <w:szCs w:val="4"/>
                <w:color w:val="auto"/>
              </w:rPr>
            </w:pPr>
          </w:p>
        </w:tc>
        <w:tc>
          <w:tcPr>
            <w:tcW w:w="120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680" w:type="dxa"/>
            <w:vAlign w:val="bottom"/>
            <w:tcBorders>
              <w:left w:val="single" w:sz="8" w:color="91BBD3"/>
              <w:bottom w:val="single" w:sz="8" w:color="91BBD3"/>
              <w:right w:val="single" w:sz="8" w:color="91BBD3"/>
            </w:tcBorders>
            <w:shd w:val="clear" w:color="auto" w:fill="DAE8F0"/>
          </w:tcPr>
          <w:p>
            <w:pPr>
              <w:ind w:left="120"/>
              <w:spacing w:after="0" w:line="156" w:lineRule="exact"/>
              <w:rPr>
                <w:sz w:val="20"/>
                <w:szCs w:val="20"/>
                <w:color w:val="auto"/>
              </w:rPr>
            </w:pPr>
            <w:r>
              <w:rPr>
                <w:rFonts w:ascii="Calibri" w:cs="Calibri" w:eastAsia="Calibri" w:hAnsi="Calibri"/>
                <w:sz w:val="16"/>
                <w:szCs w:val="16"/>
                <w:b w:val="1"/>
                <w:bCs w:val="1"/>
                <w:color w:val="auto"/>
              </w:rPr>
              <w:t>*21.01</w:t>
            </w:r>
          </w:p>
        </w:tc>
        <w:tc>
          <w:tcPr>
            <w:tcW w:w="100" w:type="dxa"/>
            <w:vAlign w:val="bottom"/>
            <w:tcBorders>
              <w:bottom w:val="single" w:sz="8" w:color="91BBD3"/>
            </w:tcBorders>
            <w:shd w:val="clear" w:color="auto" w:fill="DAE8F0"/>
          </w:tcPr>
          <w:p>
            <w:pPr>
              <w:spacing w:after="0"/>
              <w:rPr>
                <w:sz w:val="19"/>
                <w:szCs w:val="19"/>
                <w:color w:val="auto"/>
              </w:rPr>
            </w:pPr>
          </w:p>
        </w:tc>
        <w:tc>
          <w:tcPr>
            <w:tcW w:w="3720" w:type="dxa"/>
            <w:vAlign w:val="bottom"/>
            <w:tcBorders>
              <w:bottom w:val="single" w:sz="8" w:color="0563C1"/>
            </w:tcBorders>
            <w:gridSpan w:val="8"/>
            <w:shd w:val="clear" w:color="auto" w:fill="DAE8F0"/>
          </w:tcPr>
          <w:p>
            <w:pPr>
              <w:spacing w:after="0" w:line="156" w:lineRule="exact"/>
              <w:rPr>
                <w:sz w:val="20"/>
                <w:szCs w:val="20"/>
                <w:color w:val="auto"/>
              </w:rPr>
            </w:pPr>
            <w:r>
              <w:rPr>
                <w:rFonts w:ascii="MS PGothic" w:cs="MS PGothic" w:eastAsia="MS PGothic" w:hAnsi="MS PGothic"/>
                <w:sz w:val="18"/>
                <w:szCs w:val="18"/>
                <w:color w:val="0563C1"/>
                <w:w w:val="97"/>
              </w:rPr>
              <w:t>List of subsidiaries of Martn Marieta Materials, Inc.</w:t>
            </w:r>
          </w:p>
        </w:tc>
        <w:tc>
          <w:tcPr>
            <w:tcW w:w="5400" w:type="dxa"/>
            <w:vAlign w:val="bottom"/>
            <w:tcBorders>
              <w:bottom w:val="single" w:sz="8" w:color="91BBD3"/>
              <w:right w:val="single" w:sz="8" w:color="91BBD3"/>
            </w:tcBorders>
            <w:gridSpan w:val="8"/>
            <w:shd w:val="clear" w:color="auto" w:fill="DAE8F0"/>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Calibri" w:cs="Calibri" w:eastAsia="Calibri" w:hAnsi="Calibri"/>
                <w:sz w:val="16"/>
                <w:szCs w:val="16"/>
                <w:b w:val="1"/>
                <w:bCs w:val="1"/>
                <w:color w:val="auto"/>
              </w:rPr>
              <w:t>*23.01</w:t>
            </w:r>
          </w:p>
        </w:tc>
        <w:tc>
          <w:tcPr>
            <w:tcW w:w="100" w:type="dxa"/>
            <w:vAlign w:val="bottom"/>
          </w:tcPr>
          <w:p>
            <w:pPr>
              <w:spacing w:after="0"/>
              <w:rPr>
                <w:sz w:val="13"/>
                <w:szCs w:val="13"/>
                <w:color w:val="auto"/>
              </w:rPr>
            </w:pPr>
          </w:p>
        </w:tc>
        <w:tc>
          <w:tcPr>
            <w:tcW w:w="8980" w:type="dxa"/>
            <w:vAlign w:val="bottom"/>
            <w:tcBorders>
              <w:bottom w:val="single" w:sz="8" w:color="0563C1"/>
            </w:tcBorders>
            <w:gridSpan w:val="15"/>
          </w:tcPr>
          <w:p>
            <w:pPr>
              <w:spacing w:after="0" w:line="156" w:lineRule="exact"/>
              <w:rPr>
                <w:sz w:val="20"/>
                <w:szCs w:val="20"/>
                <w:color w:val="auto"/>
              </w:rPr>
            </w:pPr>
            <w:r>
              <w:rPr>
                <w:rFonts w:ascii="MS PGothic" w:cs="MS PGothic" w:eastAsia="MS PGothic" w:hAnsi="MS PGothic"/>
                <w:sz w:val="18"/>
                <w:szCs w:val="18"/>
                <w:color w:val="0563C1"/>
                <w:w w:val="97"/>
              </w:rPr>
              <w:t>Consent of PricewaterhouseCoopers LLP, Independent Registered Public Accountng Firm for Martn Marieta Materials, Inc.</w:t>
            </w:r>
          </w:p>
        </w:tc>
        <w:tc>
          <w:tcPr>
            <w:tcW w:w="140" w:type="dxa"/>
            <w:vAlign w:val="bottom"/>
            <w:tcBorders>
              <w:right w:val="single" w:sz="8" w:color="91BBD3"/>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sz w:val="20"/>
                <w:szCs w:val="20"/>
                <w:color w:val="auto"/>
              </w:rPr>
            </w:pPr>
            <w:r>
              <w:rPr>
                <w:rFonts w:ascii="MS PGothic" w:cs="MS PGothic" w:eastAsia="MS PGothic" w:hAnsi="MS PGothic"/>
                <w:sz w:val="18"/>
                <w:szCs w:val="18"/>
                <w:color w:val="0563C1"/>
              </w:rPr>
              <w:t>and consolidated subsidiaries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680" w:type="dxa"/>
            <w:vAlign w:val="bottom"/>
            <w:tcBorders>
              <w:left w:val="single" w:sz="8" w:color="91BBD3"/>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720" w:type="dxa"/>
            <w:vAlign w:val="bottom"/>
            <w:tcBorders>
              <w:top w:val="single" w:sz="8" w:color="0563C1"/>
              <w:bottom w:val="single" w:sz="8" w:color="91BBD3"/>
            </w:tcBorders>
          </w:tcPr>
          <w:p>
            <w:pPr>
              <w:spacing w:after="0"/>
              <w:rPr>
                <w:sz w:val="2"/>
                <w:szCs w:val="2"/>
                <w:color w:val="auto"/>
              </w:rPr>
            </w:pPr>
          </w:p>
        </w:tc>
        <w:tc>
          <w:tcPr>
            <w:tcW w:w="1380" w:type="dxa"/>
            <w:vAlign w:val="bottom"/>
            <w:tcBorders>
              <w:top w:val="single" w:sz="8" w:color="0563C1"/>
              <w:bottom w:val="single" w:sz="8" w:color="91BBD3"/>
            </w:tcBorders>
          </w:tcPr>
          <w:p>
            <w:pPr>
              <w:spacing w:after="0"/>
              <w:rPr>
                <w:sz w:val="2"/>
                <w:szCs w:val="2"/>
                <w:color w:val="auto"/>
              </w:rPr>
            </w:pPr>
          </w:p>
        </w:tc>
        <w:tc>
          <w:tcPr>
            <w:tcW w:w="40" w:type="dxa"/>
            <w:vAlign w:val="bottom"/>
            <w:tcBorders>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280" w:type="dxa"/>
            <w:vAlign w:val="bottom"/>
            <w:tcBorders>
              <w:bottom w:val="single" w:sz="8" w:color="91BBD3"/>
            </w:tcBorders>
          </w:tcPr>
          <w:p>
            <w:pPr>
              <w:spacing w:after="0"/>
              <w:rPr>
                <w:sz w:val="2"/>
                <w:szCs w:val="2"/>
                <w:color w:val="auto"/>
              </w:rPr>
            </w:pPr>
          </w:p>
        </w:tc>
        <w:tc>
          <w:tcPr>
            <w:tcW w:w="20" w:type="dxa"/>
            <w:vAlign w:val="bottom"/>
            <w:tcBorders>
              <w:bottom w:val="single" w:sz="8" w:color="91BBD3"/>
            </w:tcBorders>
          </w:tcPr>
          <w:p>
            <w:pPr>
              <w:spacing w:after="0"/>
              <w:rPr>
                <w:sz w:val="2"/>
                <w:szCs w:val="2"/>
                <w:color w:val="auto"/>
              </w:rPr>
            </w:pPr>
          </w:p>
        </w:tc>
        <w:tc>
          <w:tcPr>
            <w:tcW w:w="700" w:type="dxa"/>
            <w:vAlign w:val="bottom"/>
            <w:tcBorders>
              <w:bottom w:val="single" w:sz="8" w:color="91BBD3"/>
            </w:tcBorders>
          </w:tcPr>
          <w:p>
            <w:pPr>
              <w:spacing w:after="0"/>
              <w:rPr>
                <w:sz w:val="2"/>
                <w:szCs w:val="2"/>
                <w:color w:val="auto"/>
              </w:rPr>
            </w:pPr>
          </w:p>
        </w:tc>
        <w:tc>
          <w:tcPr>
            <w:tcW w:w="300" w:type="dxa"/>
            <w:vAlign w:val="bottom"/>
            <w:tcBorders>
              <w:bottom w:val="single" w:sz="8" w:color="91BBD3"/>
            </w:tcBorders>
          </w:tcPr>
          <w:p>
            <w:pPr>
              <w:spacing w:after="0"/>
              <w:rPr>
                <w:sz w:val="2"/>
                <w:szCs w:val="2"/>
                <w:color w:val="auto"/>
              </w:rPr>
            </w:pPr>
          </w:p>
        </w:tc>
        <w:tc>
          <w:tcPr>
            <w:tcW w:w="340" w:type="dxa"/>
            <w:vAlign w:val="bottom"/>
            <w:tcBorders>
              <w:bottom w:val="single" w:sz="8" w:color="91BBD3"/>
            </w:tcBorders>
          </w:tcPr>
          <w:p>
            <w:pPr>
              <w:spacing w:after="0"/>
              <w:rPr>
                <w:sz w:val="2"/>
                <w:szCs w:val="2"/>
                <w:color w:val="auto"/>
              </w:rPr>
            </w:pPr>
          </w:p>
        </w:tc>
        <w:tc>
          <w:tcPr>
            <w:tcW w:w="680" w:type="dxa"/>
            <w:vAlign w:val="bottom"/>
            <w:tcBorders>
              <w:bottom w:val="single" w:sz="8" w:color="91BBD3"/>
            </w:tcBorders>
          </w:tcPr>
          <w:p>
            <w:pPr>
              <w:spacing w:after="0"/>
              <w:rPr>
                <w:sz w:val="2"/>
                <w:szCs w:val="2"/>
                <w:color w:val="auto"/>
              </w:rPr>
            </w:pPr>
          </w:p>
        </w:tc>
        <w:tc>
          <w:tcPr>
            <w:tcW w:w="260" w:type="dxa"/>
            <w:vAlign w:val="bottom"/>
            <w:tcBorders>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580" w:type="dxa"/>
            <w:vAlign w:val="bottom"/>
            <w:tcBorders>
              <w:bottom w:val="single" w:sz="8" w:color="91BBD3"/>
            </w:tcBorders>
          </w:tcPr>
          <w:p>
            <w:pPr>
              <w:spacing w:after="0"/>
              <w:rPr>
                <w:sz w:val="2"/>
                <w:szCs w:val="2"/>
                <w:color w:val="auto"/>
              </w:rPr>
            </w:pPr>
          </w:p>
        </w:tc>
        <w:tc>
          <w:tcPr>
            <w:tcW w:w="1400" w:type="dxa"/>
            <w:vAlign w:val="bottom"/>
            <w:tcBorders>
              <w:bottom w:val="single" w:sz="8" w:color="91BBD3"/>
            </w:tcBorders>
          </w:tcPr>
          <w:p>
            <w:pPr>
              <w:spacing w:after="0"/>
              <w:rPr>
                <w:sz w:val="2"/>
                <w:szCs w:val="2"/>
                <w:color w:val="auto"/>
              </w:rPr>
            </w:pPr>
          </w:p>
        </w:tc>
        <w:tc>
          <w:tcPr>
            <w:tcW w:w="12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80" w:type="dxa"/>
            <w:vAlign w:val="bottom"/>
            <w:tcBorders>
              <w:left w:val="single" w:sz="8" w:color="91BBD3"/>
              <w:bottom w:val="single" w:sz="8" w:color="91BBD3"/>
              <w:right w:val="single" w:sz="8" w:color="91BBD3"/>
            </w:tcBorders>
            <w:shd w:val="clear" w:color="auto" w:fill="DAE8F0"/>
          </w:tcPr>
          <w:p>
            <w:pPr>
              <w:ind w:left="120"/>
              <w:spacing w:after="0" w:line="156" w:lineRule="exact"/>
              <w:rPr>
                <w:sz w:val="20"/>
                <w:szCs w:val="20"/>
                <w:color w:val="auto"/>
              </w:rPr>
            </w:pPr>
            <w:r>
              <w:rPr>
                <w:rFonts w:ascii="Calibri" w:cs="Calibri" w:eastAsia="Calibri" w:hAnsi="Calibri"/>
                <w:sz w:val="16"/>
                <w:szCs w:val="16"/>
                <w:b w:val="1"/>
                <w:bCs w:val="1"/>
                <w:color w:val="auto"/>
              </w:rPr>
              <w:t>*24.01</w:t>
            </w:r>
          </w:p>
        </w:tc>
        <w:tc>
          <w:tcPr>
            <w:tcW w:w="100" w:type="dxa"/>
            <w:vAlign w:val="bottom"/>
            <w:tcBorders>
              <w:bottom w:val="single" w:sz="8" w:color="91BBD3"/>
            </w:tcBorders>
            <w:shd w:val="clear" w:color="auto" w:fill="DAE8F0"/>
          </w:tcPr>
          <w:p>
            <w:pPr>
              <w:spacing w:after="0"/>
              <w:rPr>
                <w:sz w:val="19"/>
                <w:szCs w:val="19"/>
                <w:color w:val="auto"/>
              </w:rPr>
            </w:pPr>
          </w:p>
        </w:tc>
        <w:tc>
          <w:tcPr>
            <w:tcW w:w="5800" w:type="dxa"/>
            <w:vAlign w:val="bottom"/>
            <w:tcBorders>
              <w:bottom w:val="single" w:sz="8" w:color="0563C1"/>
            </w:tcBorders>
            <w:gridSpan w:val="12"/>
            <w:shd w:val="clear" w:color="auto" w:fill="DAE8F0"/>
          </w:tcPr>
          <w:p>
            <w:pPr>
              <w:spacing w:after="0" w:line="156" w:lineRule="exact"/>
              <w:rPr>
                <w:sz w:val="20"/>
                <w:szCs w:val="20"/>
                <w:color w:val="auto"/>
              </w:rPr>
            </w:pPr>
            <w:r>
              <w:rPr>
                <w:rFonts w:ascii="MS PGothic" w:cs="MS PGothic" w:eastAsia="MS PGothic" w:hAnsi="MS PGothic"/>
                <w:sz w:val="18"/>
                <w:szCs w:val="18"/>
                <w:color w:val="0563C1"/>
                <w:w w:val="95"/>
              </w:rPr>
              <w:t>Powers of Atorney (included in this Form 10-K immediately following Signatures)</w:t>
            </w:r>
          </w:p>
        </w:tc>
        <w:tc>
          <w:tcPr>
            <w:tcW w:w="3320" w:type="dxa"/>
            <w:vAlign w:val="bottom"/>
            <w:tcBorders>
              <w:bottom w:val="single" w:sz="8" w:color="91BBD3"/>
              <w:right w:val="single" w:sz="8" w:color="91BBD3"/>
            </w:tcBorders>
            <w:gridSpan w:val="4"/>
            <w:shd w:val="clear" w:color="auto" w:fill="DAE8F0"/>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Calibri" w:cs="Calibri" w:eastAsia="Calibri" w:hAnsi="Calibri"/>
                <w:sz w:val="16"/>
                <w:szCs w:val="16"/>
                <w:b w:val="1"/>
                <w:bCs w:val="1"/>
                <w:color w:val="auto"/>
              </w:rPr>
              <w:t>*31.01</w:t>
            </w:r>
          </w:p>
        </w:tc>
        <w:tc>
          <w:tcPr>
            <w:tcW w:w="100" w:type="dxa"/>
            <w:vAlign w:val="bottom"/>
          </w:tcPr>
          <w:p>
            <w:pPr>
              <w:spacing w:after="0"/>
              <w:rPr>
                <w:sz w:val="13"/>
                <w:szCs w:val="13"/>
                <w:color w:val="auto"/>
              </w:rPr>
            </w:pPr>
          </w:p>
        </w:tc>
        <w:tc>
          <w:tcPr>
            <w:tcW w:w="8980" w:type="dxa"/>
            <w:vAlign w:val="bottom"/>
            <w:tcBorders>
              <w:bottom w:val="single" w:sz="8" w:color="0563C1"/>
            </w:tcBorders>
            <w:gridSpan w:val="15"/>
          </w:tcPr>
          <w:p>
            <w:pPr>
              <w:spacing w:after="0" w:line="156" w:lineRule="exact"/>
              <w:rPr>
                <w:sz w:val="20"/>
                <w:szCs w:val="20"/>
                <w:color w:val="auto"/>
              </w:rPr>
            </w:pPr>
            <w:r>
              <w:rPr>
                <w:rFonts w:ascii="MS PGothic" w:cs="MS PGothic" w:eastAsia="MS PGothic" w:hAnsi="MS PGothic"/>
                <w:sz w:val="18"/>
                <w:szCs w:val="18"/>
                <w:color w:val="0563C1"/>
                <w:w w:val="96"/>
              </w:rPr>
              <w:t>Certfcaton dated February 21, 2025 of Chief Executve Ofcer pursuant to Securites and Exchange Act of 1934, rule 13a‑14,</w:t>
            </w:r>
          </w:p>
        </w:tc>
        <w:tc>
          <w:tcPr>
            <w:tcW w:w="140" w:type="dxa"/>
            <w:vAlign w:val="bottom"/>
            <w:tcBorders>
              <w:right w:val="single" w:sz="8" w:color="91BBD3"/>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6"/>
          </w:tcPr>
          <w:p>
            <w:pPr>
              <w:spacing w:after="0"/>
              <w:rPr>
                <w:sz w:val="20"/>
                <w:szCs w:val="20"/>
                <w:color w:val="auto"/>
              </w:rPr>
            </w:pPr>
            <w:r>
              <w:rPr>
                <w:rFonts w:ascii="MS PGothic" w:cs="MS PGothic" w:eastAsia="MS PGothic" w:hAnsi="MS PGothic"/>
                <w:sz w:val="18"/>
                <w:szCs w:val="18"/>
                <w:color w:val="0563C1"/>
              </w:rPr>
              <w:t>as adopted pursuant to Secton 302 of the Sarbanes-Oxley Act of 2002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680" w:type="dxa"/>
            <w:vAlign w:val="bottom"/>
            <w:tcBorders>
              <w:left w:val="single" w:sz="8" w:color="91BBD3"/>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720" w:type="dxa"/>
            <w:vAlign w:val="bottom"/>
            <w:tcBorders>
              <w:top w:val="single" w:sz="8" w:color="0563C1"/>
              <w:bottom w:val="single" w:sz="8" w:color="91BBD3"/>
            </w:tcBorders>
          </w:tcPr>
          <w:p>
            <w:pPr>
              <w:spacing w:after="0"/>
              <w:rPr>
                <w:sz w:val="2"/>
                <w:szCs w:val="2"/>
                <w:color w:val="auto"/>
              </w:rPr>
            </w:pPr>
          </w:p>
        </w:tc>
        <w:tc>
          <w:tcPr>
            <w:tcW w:w="1380" w:type="dxa"/>
            <w:vAlign w:val="bottom"/>
            <w:tcBorders>
              <w:top w:val="single" w:sz="8" w:color="0563C1"/>
              <w:bottom w:val="single" w:sz="8" w:color="91BBD3"/>
            </w:tcBorders>
          </w:tcPr>
          <w:p>
            <w:pPr>
              <w:spacing w:after="0"/>
              <w:rPr>
                <w:sz w:val="2"/>
                <w:szCs w:val="2"/>
                <w:color w:val="auto"/>
              </w:rPr>
            </w:pPr>
          </w:p>
        </w:tc>
        <w:tc>
          <w:tcPr>
            <w:tcW w:w="4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20" w:type="dxa"/>
            <w:vAlign w:val="bottom"/>
            <w:tcBorders>
              <w:top w:val="single" w:sz="8" w:color="0563C1"/>
              <w:bottom w:val="single" w:sz="8" w:color="91BBD3"/>
            </w:tcBorders>
          </w:tcPr>
          <w:p>
            <w:pPr>
              <w:spacing w:after="0"/>
              <w:rPr>
                <w:sz w:val="2"/>
                <w:szCs w:val="2"/>
                <w:color w:val="auto"/>
              </w:rPr>
            </w:pPr>
          </w:p>
        </w:tc>
        <w:tc>
          <w:tcPr>
            <w:tcW w:w="700" w:type="dxa"/>
            <w:vAlign w:val="bottom"/>
            <w:tcBorders>
              <w:top w:val="single" w:sz="8" w:color="0563C1"/>
              <w:bottom w:val="single" w:sz="8" w:color="91BBD3"/>
            </w:tcBorders>
          </w:tcPr>
          <w:p>
            <w:pPr>
              <w:spacing w:after="0"/>
              <w:rPr>
                <w:sz w:val="2"/>
                <w:szCs w:val="2"/>
                <w:color w:val="auto"/>
              </w:rPr>
            </w:pPr>
          </w:p>
        </w:tc>
        <w:tc>
          <w:tcPr>
            <w:tcW w:w="300" w:type="dxa"/>
            <w:vAlign w:val="bottom"/>
            <w:tcBorders>
              <w:top w:val="single" w:sz="8" w:color="0563C1"/>
              <w:bottom w:val="single" w:sz="8" w:color="91BBD3"/>
            </w:tcBorders>
          </w:tcPr>
          <w:p>
            <w:pPr>
              <w:spacing w:after="0"/>
              <w:rPr>
                <w:sz w:val="2"/>
                <w:szCs w:val="2"/>
                <w:color w:val="auto"/>
              </w:rPr>
            </w:pPr>
          </w:p>
        </w:tc>
        <w:tc>
          <w:tcPr>
            <w:tcW w:w="340" w:type="dxa"/>
            <w:vAlign w:val="bottom"/>
            <w:tcBorders>
              <w:top w:val="single" w:sz="8" w:color="0563C1"/>
              <w:bottom w:val="single" w:sz="8" w:color="91BBD3"/>
            </w:tcBorders>
          </w:tcPr>
          <w:p>
            <w:pPr>
              <w:spacing w:after="0"/>
              <w:rPr>
                <w:sz w:val="2"/>
                <w:szCs w:val="2"/>
                <w:color w:val="auto"/>
              </w:rPr>
            </w:pPr>
          </w:p>
        </w:tc>
        <w:tc>
          <w:tcPr>
            <w:tcW w:w="680" w:type="dxa"/>
            <w:vAlign w:val="bottom"/>
            <w:tcBorders>
              <w:top w:val="single" w:sz="8" w:color="0563C1"/>
              <w:bottom w:val="single" w:sz="8" w:color="91BBD3"/>
            </w:tcBorders>
          </w:tcPr>
          <w:p>
            <w:pPr>
              <w:spacing w:after="0"/>
              <w:rPr>
                <w:sz w:val="2"/>
                <w:szCs w:val="2"/>
                <w:color w:val="auto"/>
              </w:rPr>
            </w:pPr>
          </w:p>
        </w:tc>
        <w:tc>
          <w:tcPr>
            <w:tcW w:w="260" w:type="dxa"/>
            <w:vAlign w:val="bottom"/>
            <w:tcBorders>
              <w:top w:val="single" w:sz="8" w:color="0563C1"/>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580" w:type="dxa"/>
            <w:vAlign w:val="bottom"/>
            <w:tcBorders>
              <w:bottom w:val="single" w:sz="8" w:color="91BBD3"/>
            </w:tcBorders>
          </w:tcPr>
          <w:p>
            <w:pPr>
              <w:spacing w:after="0"/>
              <w:rPr>
                <w:sz w:val="2"/>
                <w:szCs w:val="2"/>
                <w:color w:val="auto"/>
              </w:rPr>
            </w:pPr>
          </w:p>
        </w:tc>
        <w:tc>
          <w:tcPr>
            <w:tcW w:w="1400" w:type="dxa"/>
            <w:vAlign w:val="bottom"/>
            <w:tcBorders>
              <w:bottom w:val="single" w:sz="8" w:color="91BBD3"/>
            </w:tcBorders>
          </w:tcPr>
          <w:p>
            <w:pPr>
              <w:spacing w:after="0"/>
              <w:rPr>
                <w:sz w:val="2"/>
                <w:szCs w:val="2"/>
                <w:color w:val="auto"/>
              </w:rPr>
            </w:pPr>
          </w:p>
        </w:tc>
        <w:tc>
          <w:tcPr>
            <w:tcW w:w="12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680" w:type="dxa"/>
            <w:vAlign w:val="bottom"/>
            <w:tcBorders>
              <w:left w:val="single" w:sz="8" w:color="91BBD3"/>
              <w:bottom w:val="single" w:sz="8" w:color="DAE8F0"/>
              <w:right w:val="single" w:sz="8" w:color="91BBD3"/>
            </w:tcBorders>
            <w:shd w:val="clear" w:color="auto" w:fill="DAE8F0"/>
          </w:tcPr>
          <w:p>
            <w:pPr>
              <w:ind w:left="120"/>
              <w:spacing w:after="0" w:line="156" w:lineRule="exact"/>
              <w:rPr>
                <w:sz w:val="20"/>
                <w:szCs w:val="20"/>
                <w:color w:val="auto"/>
              </w:rPr>
            </w:pPr>
            <w:r>
              <w:rPr>
                <w:rFonts w:ascii="Calibri" w:cs="Calibri" w:eastAsia="Calibri" w:hAnsi="Calibri"/>
                <w:sz w:val="16"/>
                <w:szCs w:val="16"/>
                <w:b w:val="1"/>
                <w:bCs w:val="1"/>
                <w:color w:val="auto"/>
              </w:rPr>
              <w:t>*31.02</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5"/>
            <w:shd w:val="clear" w:color="auto" w:fill="DAE8F0"/>
          </w:tcPr>
          <w:p>
            <w:pPr>
              <w:spacing w:after="0" w:line="156" w:lineRule="exact"/>
              <w:rPr>
                <w:sz w:val="20"/>
                <w:szCs w:val="20"/>
                <w:color w:val="auto"/>
              </w:rPr>
            </w:pPr>
            <w:r>
              <w:rPr>
                <w:rFonts w:ascii="MS PGothic" w:cs="MS PGothic" w:eastAsia="MS PGothic" w:hAnsi="MS PGothic"/>
                <w:sz w:val="18"/>
                <w:szCs w:val="18"/>
                <w:color w:val="0563C1"/>
                <w:w w:val="97"/>
              </w:rPr>
              <w:t>Certfcaton dated February 21, 2025 of Chief Financial Ofcer pursuant to Securites and Exchange Act of 1934, rule 13a‑14,</w:t>
            </w:r>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680" w:type="dxa"/>
            <w:vAlign w:val="bottom"/>
            <w:tcBorders>
              <w:left w:val="single" w:sz="8" w:color="91BBD3"/>
              <w:bottom w:val="single" w:sz="8" w:color="91BBD3"/>
              <w:right w:val="single" w:sz="8" w:color="91BBD3"/>
            </w:tcBorders>
            <w:shd w:val="clear" w:color="auto" w:fill="DAE8F0"/>
          </w:tcPr>
          <w:p>
            <w:pPr>
              <w:spacing w:after="0"/>
              <w:rPr>
                <w:sz w:val="21"/>
                <w:szCs w:val="21"/>
                <w:color w:val="auto"/>
              </w:rPr>
            </w:pPr>
          </w:p>
        </w:tc>
        <w:tc>
          <w:tcPr>
            <w:tcW w:w="100" w:type="dxa"/>
            <w:vAlign w:val="bottom"/>
            <w:tcBorders>
              <w:bottom w:val="single" w:sz="8" w:color="91BBD3"/>
            </w:tcBorders>
            <w:shd w:val="clear" w:color="auto" w:fill="DAE8F0"/>
          </w:tcPr>
          <w:p>
            <w:pPr>
              <w:spacing w:after="0"/>
              <w:rPr>
                <w:sz w:val="21"/>
                <w:szCs w:val="21"/>
                <w:color w:val="auto"/>
              </w:rPr>
            </w:pPr>
          </w:p>
        </w:tc>
        <w:tc>
          <w:tcPr>
            <w:tcW w:w="5000" w:type="dxa"/>
            <w:vAlign w:val="bottom"/>
            <w:tcBorders>
              <w:bottom w:val="single" w:sz="8" w:color="0563C1"/>
            </w:tcBorders>
            <w:gridSpan w:val="11"/>
            <w:shd w:val="clear" w:color="auto" w:fill="DAE8F0"/>
          </w:tcPr>
          <w:p>
            <w:pPr>
              <w:spacing w:after="0"/>
              <w:rPr>
                <w:sz w:val="20"/>
                <w:szCs w:val="20"/>
                <w:color w:val="auto"/>
              </w:rPr>
            </w:pPr>
            <w:r>
              <w:rPr>
                <w:rFonts w:ascii="MS PGothic" w:cs="MS PGothic" w:eastAsia="MS PGothic" w:hAnsi="MS PGothic"/>
                <w:sz w:val="18"/>
                <w:szCs w:val="18"/>
                <w:color w:val="0563C1"/>
                <w:w w:val="92"/>
              </w:rPr>
              <w:t>as adopted pursuant to Secton 302 of the Sarbanes-Oxley Act of 2002</w:t>
            </w:r>
          </w:p>
        </w:tc>
        <w:tc>
          <w:tcPr>
            <w:tcW w:w="4120" w:type="dxa"/>
            <w:vAlign w:val="bottom"/>
            <w:tcBorders>
              <w:bottom w:val="single" w:sz="8" w:color="91BBD3"/>
              <w:right w:val="single" w:sz="8" w:color="91BBD3"/>
            </w:tcBorders>
            <w:gridSpan w:val="5"/>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Calibri" w:cs="Calibri" w:eastAsia="Calibri" w:hAnsi="Calibri"/>
                <w:sz w:val="16"/>
                <w:szCs w:val="16"/>
                <w:b w:val="1"/>
                <w:bCs w:val="1"/>
                <w:color w:val="auto"/>
              </w:rPr>
              <w:t>*32.01</w:t>
            </w:r>
          </w:p>
        </w:tc>
        <w:tc>
          <w:tcPr>
            <w:tcW w:w="100" w:type="dxa"/>
            <w:vAlign w:val="bottom"/>
          </w:tcPr>
          <w:p>
            <w:pPr>
              <w:spacing w:after="0"/>
              <w:rPr>
                <w:sz w:val="13"/>
                <w:szCs w:val="13"/>
                <w:color w:val="auto"/>
              </w:rPr>
            </w:pPr>
          </w:p>
        </w:tc>
        <w:tc>
          <w:tcPr>
            <w:tcW w:w="9120" w:type="dxa"/>
            <w:vAlign w:val="bottom"/>
            <w:tcBorders>
              <w:right w:val="single" w:sz="8" w:color="91BBD3"/>
            </w:tcBorders>
            <w:gridSpan w:val="16"/>
          </w:tcPr>
          <w:p>
            <w:pPr>
              <w:spacing w:after="0" w:line="156" w:lineRule="exact"/>
              <w:rPr>
                <w:sz w:val="20"/>
                <w:szCs w:val="20"/>
                <w:color w:val="auto"/>
              </w:rPr>
            </w:pPr>
            <w:r>
              <w:rPr>
                <w:rFonts w:ascii="MS PGothic" w:cs="MS PGothic" w:eastAsia="MS PGothic" w:hAnsi="MS PGothic"/>
                <w:sz w:val="18"/>
                <w:szCs w:val="18"/>
                <w:color w:val="0563C1"/>
              </w:rPr>
              <w:t>Certfcaton dated February 21, 2025 of Chief Executve Ofcer required by 18 U.S.C. 1350, as adopted pursuant to Secton</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5"/>
          </w:tcPr>
          <w:p>
            <w:pPr>
              <w:spacing w:after="0"/>
              <w:rPr>
                <w:sz w:val="20"/>
                <w:szCs w:val="20"/>
                <w:color w:val="auto"/>
              </w:rPr>
            </w:pPr>
            <w:r>
              <w:rPr>
                <w:rFonts w:ascii="MS PGothic" w:cs="MS PGothic" w:eastAsia="MS PGothic" w:hAnsi="MS PGothic"/>
                <w:sz w:val="18"/>
                <w:szCs w:val="18"/>
                <w:color w:val="0563C1"/>
              </w:rPr>
              <w:t>906 of the Sarbanes-Oxley Act of 2002</w:t>
            </w:r>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680" w:type="dxa"/>
            <w:vAlign w:val="bottom"/>
            <w:tcBorders>
              <w:left w:val="single" w:sz="8" w:color="91BBD3"/>
              <w:bottom w:val="single" w:sz="8" w:color="91BBD3"/>
              <w:right w:val="single" w:sz="8" w:color="91BBD3"/>
            </w:tcBorders>
          </w:tcPr>
          <w:p>
            <w:pPr>
              <w:spacing w:after="0"/>
              <w:rPr>
                <w:sz w:val="2"/>
                <w:szCs w:val="2"/>
                <w:color w:val="auto"/>
              </w:rPr>
            </w:pPr>
          </w:p>
        </w:tc>
        <w:tc>
          <w:tcPr>
            <w:tcW w:w="100" w:type="dxa"/>
            <w:vAlign w:val="bottom"/>
            <w:tcBorders>
              <w:bottom w:val="single" w:sz="8" w:color="91BBD3"/>
            </w:tcBorders>
          </w:tcPr>
          <w:p>
            <w:pPr>
              <w:spacing w:after="0"/>
              <w:rPr>
                <w:sz w:val="2"/>
                <w:szCs w:val="2"/>
                <w:color w:val="auto"/>
              </w:rPr>
            </w:pPr>
          </w:p>
        </w:tc>
        <w:tc>
          <w:tcPr>
            <w:tcW w:w="720" w:type="dxa"/>
            <w:vAlign w:val="bottom"/>
            <w:tcBorders>
              <w:top w:val="single" w:sz="8" w:color="0563C1"/>
              <w:bottom w:val="single" w:sz="8" w:color="91BBD3"/>
            </w:tcBorders>
          </w:tcPr>
          <w:p>
            <w:pPr>
              <w:spacing w:after="0"/>
              <w:rPr>
                <w:sz w:val="2"/>
                <w:szCs w:val="2"/>
                <w:color w:val="auto"/>
              </w:rPr>
            </w:pPr>
          </w:p>
        </w:tc>
        <w:tc>
          <w:tcPr>
            <w:tcW w:w="1380" w:type="dxa"/>
            <w:vAlign w:val="bottom"/>
            <w:tcBorders>
              <w:top w:val="single" w:sz="8" w:color="0563C1"/>
              <w:bottom w:val="single" w:sz="8" w:color="91BBD3"/>
            </w:tcBorders>
          </w:tcPr>
          <w:p>
            <w:pPr>
              <w:spacing w:after="0"/>
              <w:rPr>
                <w:sz w:val="2"/>
                <w:szCs w:val="2"/>
                <w:color w:val="auto"/>
              </w:rPr>
            </w:pPr>
          </w:p>
        </w:tc>
        <w:tc>
          <w:tcPr>
            <w:tcW w:w="4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280" w:type="dxa"/>
            <w:vAlign w:val="bottom"/>
            <w:tcBorders>
              <w:top w:val="single" w:sz="8" w:color="0563C1"/>
              <w:bottom w:val="single" w:sz="8" w:color="91BBD3"/>
            </w:tcBorders>
          </w:tcPr>
          <w:p>
            <w:pPr>
              <w:spacing w:after="0"/>
              <w:rPr>
                <w:sz w:val="2"/>
                <w:szCs w:val="2"/>
                <w:color w:val="auto"/>
              </w:rPr>
            </w:pPr>
          </w:p>
        </w:tc>
        <w:tc>
          <w:tcPr>
            <w:tcW w:w="20" w:type="dxa"/>
            <w:vAlign w:val="bottom"/>
            <w:tcBorders>
              <w:top w:val="single" w:sz="8" w:color="0563C1"/>
              <w:bottom w:val="single" w:sz="8" w:color="91BBD3"/>
            </w:tcBorders>
          </w:tcPr>
          <w:p>
            <w:pPr>
              <w:spacing w:after="0"/>
              <w:rPr>
                <w:sz w:val="2"/>
                <w:szCs w:val="2"/>
                <w:color w:val="auto"/>
              </w:rPr>
            </w:pPr>
          </w:p>
        </w:tc>
        <w:tc>
          <w:tcPr>
            <w:tcW w:w="700" w:type="dxa"/>
            <w:vAlign w:val="bottom"/>
            <w:tcBorders>
              <w:bottom w:val="single" w:sz="8" w:color="91BBD3"/>
            </w:tcBorders>
          </w:tcPr>
          <w:p>
            <w:pPr>
              <w:spacing w:after="0"/>
              <w:rPr>
                <w:sz w:val="2"/>
                <w:szCs w:val="2"/>
                <w:color w:val="auto"/>
              </w:rPr>
            </w:pPr>
          </w:p>
        </w:tc>
        <w:tc>
          <w:tcPr>
            <w:tcW w:w="300" w:type="dxa"/>
            <w:vAlign w:val="bottom"/>
            <w:tcBorders>
              <w:bottom w:val="single" w:sz="8" w:color="91BBD3"/>
            </w:tcBorders>
          </w:tcPr>
          <w:p>
            <w:pPr>
              <w:spacing w:after="0"/>
              <w:rPr>
                <w:sz w:val="2"/>
                <w:szCs w:val="2"/>
                <w:color w:val="auto"/>
              </w:rPr>
            </w:pPr>
          </w:p>
        </w:tc>
        <w:tc>
          <w:tcPr>
            <w:tcW w:w="340" w:type="dxa"/>
            <w:vAlign w:val="bottom"/>
            <w:tcBorders>
              <w:bottom w:val="single" w:sz="8" w:color="91BBD3"/>
            </w:tcBorders>
          </w:tcPr>
          <w:p>
            <w:pPr>
              <w:spacing w:after="0"/>
              <w:rPr>
                <w:sz w:val="2"/>
                <w:szCs w:val="2"/>
                <w:color w:val="auto"/>
              </w:rPr>
            </w:pPr>
          </w:p>
        </w:tc>
        <w:tc>
          <w:tcPr>
            <w:tcW w:w="680" w:type="dxa"/>
            <w:vAlign w:val="bottom"/>
            <w:tcBorders>
              <w:bottom w:val="single" w:sz="8" w:color="91BBD3"/>
            </w:tcBorders>
          </w:tcPr>
          <w:p>
            <w:pPr>
              <w:spacing w:after="0"/>
              <w:rPr>
                <w:sz w:val="2"/>
                <w:szCs w:val="2"/>
                <w:color w:val="auto"/>
              </w:rPr>
            </w:pPr>
          </w:p>
        </w:tc>
        <w:tc>
          <w:tcPr>
            <w:tcW w:w="260" w:type="dxa"/>
            <w:vAlign w:val="bottom"/>
            <w:tcBorders>
              <w:bottom w:val="single" w:sz="8" w:color="91BBD3"/>
            </w:tcBorders>
          </w:tcPr>
          <w:p>
            <w:pPr>
              <w:spacing w:after="0"/>
              <w:rPr>
                <w:sz w:val="2"/>
                <w:szCs w:val="2"/>
                <w:color w:val="auto"/>
              </w:rPr>
            </w:pPr>
          </w:p>
        </w:tc>
        <w:tc>
          <w:tcPr>
            <w:tcW w:w="800" w:type="dxa"/>
            <w:vAlign w:val="bottom"/>
            <w:tcBorders>
              <w:bottom w:val="single" w:sz="8" w:color="91BBD3"/>
            </w:tcBorders>
          </w:tcPr>
          <w:p>
            <w:pPr>
              <w:spacing w:after="0"/>
              <w:rPr>
                <w:sz w:val="2"/>
                <w:szCs w:val="2"/>
                <w:color w:val="auto"/>
              </w:rPr>
            </w:pPr>
          </w:p>
        </w:tc>
        <w:tc>
          <w:tcPr>
            <w:tcW w:w="580" w:type="dxa"/>
            <w:vAlign w:val="bottom"/>
            <w:tcBorders>
              <w:bottom w:val="single" w:sz="8" w:color="91BBD3"/>
            </w:tcBorders>
          </w:tcPr>
          <w:p>
            <w:pPr>
              <w:spacing w:after="0"/>
              <w:rPr>
                <w:sz w:val="2"/>
                <w:szCs w:val="2"/>
                <w:color w:val="auto"/>
              </w:rPr>
            </w:pPr>
          </w:p>
        </w:tc>
        <w:tc>
          <w:tcPr>
            <w:tcW w:w="1400" w:type="dxa"/>
            <w:vAlign w:val="bottom"/>
            <w:tcBorders>
              <w:bottom w:val="single" w:sz="8" w:color="91BBD3"/>
            </w:tcBorders>
          </w:tcPr>
          <w:p>
            <w:pPr>
              <w:spacing w:after="0"/>
              <w:rPr>
                <w:sz w:val="2"/>
                <w:szCs w:val="2"/>
                <w:color w:val="auto"/>
              </w:rPr>
            </w:pPr>
          </w:p>
        </w:tc>
        <w:tc>
          <w:tcPr>
            <w:tcW w:w="1200" w:type="dxa"/>
            <w:vAlign w:val="bottom"/>
            <w:tcBorders>
              <w:bottom w:val="single" w:sz="8" w:color="91BBD3"/>
            </w:tcBorders>
          </w:tcPr>
          <w:p>
            <w:pPr>
              <w:spacing w:after="0"/>
              <w:rPr>
                <w:sz w:val="2"/>
                <w:szCs w:val="2"/>
                <w:color w:val="auto"/>
              </w:rPr>
            </w:pPr>
          </w:p>
        </w:tc>
        <w:tc>
          <w:tcPr>
            <w:tcW w:w="140" w:type="dxa"/>
            <w:vAlign w:val="bottom"/>
            <w:tcBorders>
              <w:bottom w:val="single" w:sz="8" w:color="91BBD3"/>
              <w:right w:val="single" w:sz="8" w:color="91BBD3"/>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680" w:type="dxa"/>
            <w:vAlign w:val="bottom"/>
            <w:tcBorders>
              <w:left w:val="single" w:sz="8" w:color="91BBD3"/>
              <w:bottom w:val="single" w:sz="8" w:color="DAE8F0"/>
              <w:right w:val="single" w:sz="8" w:color="91BBD3"/>
            </w:tcBorders>
            <w:shd w:val="clear" w:color="auto" w:fill="DAE8F0"/>
          </w:tcPr>
          <w:p>
            <w:pPr>
              <w:ind w:left="120"/>
              <w:spacing w:after="0" w:line="156" w:lineRule="exact"/>
              <w:rPr>
                <w:sz w:val="20"/>
                <w:szCs w:val="20"/>
                <w:color w:val="auto"/>
              </w:rPr>
            </w:pPr>
            <w:r>
              <w:rPr>
                <w:rFonts w:ascii="Calibri" w:cs="Calibri" w:eastAsia="Calibri" w:hAnsi="Calibri"/>
                <w:sz w:val="16"/>
                <w:szCs w:val="16"/>
                <w:b w:val="1"/>
                <w:bCs w:val="1"/>
                <w:color w:val="auto"/>
              </w:rPr>
              <w:t>*32.02</w:t>
            </w:r>
          </w:p>
        </w:tc>
        <w:tc>
          <w:tcPr>
            <w:tcW w:w="100" w:type="dxa"/>
            <w:vAlign w:val="bottom"/>
            <w:tcBorders>
              <w:bottom w:val="single" w:sz="8" w:color="DAE8F0"/>
            </w:tcBorders>
            <w:shd w:val="clear" w:color="auto" w:fill="DAE8F0"/>
          </w:tcPr>
          <w:p>
            <w:pPr>
              <w:spacing w:after="0"/>
              <w:rPr>
                <w:sz w:val="13"/>
                <w:szCs w:val="13"/>
                <w:color w:val="auto"/>
              </w:rPr>
            </w:pPr>
          </w:p>
        </w:tc>
        <w:tc>
          <w:tcPr>
            <w:tcW w:w="8980" w:type="dxa"/>
            <w:vAlign w:val="bottom"/>
            <w:tcBorders>
              <w:bottom w:val="single" w:sz="8" w:color="0563C1"/>
            </w:tcBorders>
            <w:gridSpan w:val="15"/>
            <w:shd w:val="clear" w:color="auto" w:fill="DAE8F0"/>
          </w:tcPr>
          <w:p>
            <w:pPr>
              <w:spacing w:after="0" w:line="156" w:lineRule="exact"/>
              <w:rPr>
                <w:sz w:val="20"/>
                <w:szCs w:val="20"/>
                <w:color w:val="auto"/>
              </w:rPr>
            </w:pPr>
            <w:r>
              <w:rPr>
                <w:rFonts w:ascii="MS PGothic" w:cs="MS PGothic" w:eastAsia="MS PGothic" w:hAnsi="MS PGothic"/>
                <w:sz w:val="18"/>
                <w:szCs w:val="18"/>
                <w:color w:val="0563C1"/>
                <w:w w:val="95"/>
              </w:rPr>
              <w:t>Certfcaton dated February 21, 2025 of Chief Financial Ofcer required by 18 U.S.C. 1350, as adopted pursuant to Secton 906</w:t>
            </w:r>
          </w:p>
        </w:tc>
        <w:tc>
          <w:tcPr>
            <w:tcW w:w="140" w:type="dxa"/>
            <w:vAlign w:val="bottom"/>
            <w:tcBorders>
              <w:left w:val="single" w:sz="8" w:color="DAE8F0"/>
              <w:bottom w:val="single" w:sz="8" w:color="DAE8F0"/>
              <w:right w:val="single" w:sz="8" w:color="91BBD3"/>
            </w:tcBorders>
            <w:shd w:val="clear" w:color="auto" w:fill="DAE8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680" w:type="dxa"/>
            <w:vAlign w:val="bottom"/>
            <w:tcBorders>
              <w:left w:val="single" w:sz="8" w:color="91BBD3"/>
              <w:bottom w:val="single" w:sz="8" w:color="91BBD3"/>
              <w:right w:val="single" w:sz="8" w:color="91BBD3"/>
            </w:tcBorders>
            <w:shd w:val="clear" w:color="auto" w:fill="DAE8F0"/>
          </w:tcPr>
          <w:p>
            <w:pPr>
              <w:spacing w:after="0"/>
              <w:rPr>
                <w:sz w:val="21"/>
                <w:szCs w:val="21"/>
                <w:color w:val="auto"/>
              </w:rPr>
            </w:pPr>
          </w:p>
        </w:tc>
        <w:tc>
          <w:tcPr>
            <w:tcW w:w="100" w:type="dxa"/>
            <w:vAlign w:val="bottom"/>
            <w:tcBorders>
              <w:bottom w:val="single" w:sz="8" w:color="91BBD3"/>
            </w:tcBorders>
            <w:shd w:val="clear" w:color="auto" w:fill="DAE8F0"/>
          </w:tcPr>
          <w:p>
            <w:pPr>
              <w:spacing w:after="0"/>
              <w:rPr>
                <w:sz w:val="21"/>
                <w:szCs w:val="21"/>
                <w:color w:val="auto"/>
              </w:rPr>
            </w:pPr>
          </w:p>
        </w:tc>
        <w:tc>
          <w:tcPr>
            <w:tcW w:w="2420" w:type="dxa"/>
            <w:vAlign w:val="bottom"/>
            <w:tcBorders>
              <w:bottom w:val="single" w:sz="8" w:color="0563C1"/>
            </w:tcBorders>
            <w:gridSpan w:val="4"/>
            <w:shd w:val="clear" w:color="auto" w:fill="DAE8F0"/>
          </w:tcPr>
          <w:p>
            <w:pPr>
              <w:spacing w:after="0"/>
              <w:rPr>
                <w:sz w:val="20"/>
                <w:szCs w:val="20"/>
                <w:color w:val="auto"/>
              </w:rPr>
            </w:pPr>
            <w:r>
              <w:rPr>
                <w:rFonts w:ascii="MS PGothic" w:cs="MS PGothic" w:eastAsia="MS PGothic" w:hAnsi="MS PGothic"/>
                <w:sz w:val="18"/>
                <w:szCs w:val="18"/>
                <w:color w:val="0563C1"/>
                <w:w w:val="90"/>
              </w:rPr>
              <w:t>of the Sarbanes-Oxley Act of 2002</w:t>
            </w:r>
          </w:p>
        </w:tc>
        <w:tc>
          <w:tcPr>
            <w:tcW w:w="6700" w:type="dxa"/>
            <w:vAlign w:val="bottom"/>
            <w:tcBorders>
              <w:bottom w:val="single" w:sz="8" w:color="91BBD3"/>
              <w:right w:val="single" w:sz="8" w:color="91BBD3"/>
            </w:tcBorders>
            <w:gridSpan w:val="12"/>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680" w:type="dxa"/>
            <w:vAlign w:val="bottom"/>
            <w:tcBorders>
              <w:left w:val="single" w:sz="8" w:color="91BBD3"/>
              <w:right w:val="single" w:sz="8" w:color="91BBD3"/>
            </w:tcBorders>
          </w:tcPr>
          <w:p>
            <w:pPr>
              <w:ind w:left="120"/>
              <w:spacing w:after="0" w:line="156" w:lineRule="exact"/>
              <w:rPr>
                <w:sz w:val="20"/>
                <w:szCs w:val="20"/>
                <w:color w:val="auto"/>
              </w:rPr>
            </w:pPr>
            <w:r>
              <w:rPr>
                <w:rFonts w:ascii="Calibri" w:cs="Calibri" w:eastAsia="Calibri" w:hAnsi="Calibri"/>
                <w:sz w:val="16"/>
                <w:szCs w:val="16"/>
                <w:b w:val="1"/>
                <w:bCs w:val="1"/>
                <w:color w:val="auto"/>
              </w:rPr>
              <w:t>*95</w:t>
            </w:r>
          </w:p>
        </w:tc>
        <w:tc>
          <w:tcPr>
            <w:tcW w:w="100" w:type="dxa"/>
            <w:vAlign w:val="bottom"/>
          </w:tcPr>
          <w:p>
            <w:pPr>
              <w:spacing w:after="0"/>
              <w:rPr>
                <w:sz w:val="13"/>
                <w:szCs w:val="13"/>
                <w:color w:val="auto"/>
              </w:rPr>
            </w:pPr>
          </w:p>
        </w:tc>
        <w:tc>
          <w:tcPr>
            <w:tcW w:w="9120" w:type="dxa"/>
            <w:vAlign w:val="bottom"/>
            <w:tcBorders>
              <w:right w:val="single" w:sz="8" w:color="91BBD3"/>
            </w:tcBorders>
            <w:gridSpan w:val="16"/>
          </w:tcPr>
          <w:p>
            <w:pPr>
              <w:spacing w:after="0" w:line="156" w:lineRule="exact"/>
              <w:rPr>
                <w:sz w:val="20"/>
                <w:szCs w:val="20"/>
                <w:color w:val="auto"/>
              </w:rPr>
            </w:pPr>
            <w:r>
              <w:rPr>
                <w:rFonts w:ascii="MS PGothic" w:cs="MS PGothic" w:eastAsia="MS PGothic" w:hAnsi="MS PGothic"/>
                <w:sz w:val="18"/>
                <w:szCs w:val="18"/>
                <w:color w:val="007DC6"/>
              </w:rPr>
              <w:t>Mine Safety Disclosure Exhibit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720" w:type="dxa"/>
            <w:vAlign w:val="bottom"/>
            <w:tcBorders>
              <w:top w:val="single" w:sz="8" w:color="007DC6"/>
              <w:bottom w:val="single" w:sz="8" w:color="91BBD3"/>
            </w:tcBorders>
          </w:tcPr>
          <w:p>
            <w:pPr>
              <w:spacing w:after="0"/>
              <w:rPr>
                <w:sz w:val="4"/>
                <w:szCs w:val="4"/>
                <w:color w:val="auto"/>
              </w:rPr>
            </w:pPr>
          </w:p>
        </w:tc>
        <w:tc>
          <w:tcPr>
            <w:tcW w:w="1380" w:type="dxa"/>
            <w:vAlign w:val="bottom"/>
            <w:tcBorders>
              <w:top w:val="single" w:sz="8" w:color="007DC6"/>
              <w:bottom w:val="single" w:sz="8" w:color="91BBD3"/>
            </w:tcBorders>
          </w:tcPr>
          <w:p>
            <w:pPr>
              <w:spacing w:after="0"/>
              <w:rPr>
                <w:sz w:val="4"/>
                <w:szCs w:val="4"/>
                <w:color w:val="auto"/>
              </w:rPr>
            </w:pPr>
          </w:p>
        </w:tc>
        <w:tc>
          <w:tcPr>
            <w:tcW w:w="40" w:type="dxa"/>
            <w:vAlign w:val="bottom"/>
            <w:tcBorders>
              <w:top w:val="single" w:sz="8" w:color="007DC6"/>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700" w:type="dxa"/>
            <w:vAlign w:val="bottom"/>
            <w:tcBorders>
              <w:bottom w:val="single" w:sz="8" w:color="91BBD3"/>
            </w:tcBorders>
          </w:tcPr>
          <w:p>
            <w:pPr>
              <w:spacing w:after="0"/>
              <w:rPr>
                <w:sz w:val="4"/>
                <w:szCs w:val="4"/>
                <w:color w:val="auto"/>
              </w:rPr>
            </w:pPr>
          </w:p>
        </w:tc>
        <w:tc>
          <w:tcPr>
            <w:tcW w:w="300" w:type="dxa"/>
            <w:vAlign w:val="bottom"/>
            <w:tcBorders>
              <w:bottom w:val="single" w:sz="8" w:color="91BBD3"/>
            </w:tcBorders>
          </w:tcPr>
          <w:p>
            <w:pPr>
              <w:spacing w:after="0"/>
              <w:rPr>
                <w:sz w:val="4"/>
                <w:szCs w:val="4"/>
                <w:color w:val="auto"/>
              </w:rPr>
            </w:pPr>
          </w:p>
        </w:tc>
        <w:tc>
          <w:tcPr>
            <w:tcW w:w="340" w:type="dxa"/>
            <w:vAlign w:val="bottom"/>
            <w:tcBorders>
              <w:bottom w:val="single" w:sz="8" w:color="91BBD3"/>
            </w:tcBorders>
          </w:tcPr>
          <w:p>
            <w:pPr>
              <w:spacing w:after="0"/>
              <w:rPr>
                <w:sz w:val="4"/>
                <w:szCs w:val="4"/>
                <w:color w:val="auto"/>
              </w:rPr>
            </w:pPr>
          </w:p>
        </w:tc>
        <w:tc>
          <w:tcPr>
            <w:tcW w:w="680" w:type="dxa"/>
            <w:vAlign w:val="bottom"/>
            <w:tcBorders>
              <w:bottom w:val="single" w:sz="8" w:color="91BBD3"/>
            </w:tcBorders>
          </w:tcPr>
          <w:p>
            <w:pPr>
              <w:spacing w:after="0"/>
              <w:rPr>
                <w:sz w:val="4"/>
                <w:szCs w:val="4"/>
                <w:color w:val="auto"/>
              </w:rPr>
            </w:pPr>
          </w:p>
        </w:tc>
        <w:tc>
          <w:tcPr>
            <w:tcW w:w="260" w:type="dxa"/>
            <w:vAlign w:val="bottom"/>
            <w:tcBorders>
              <w:bottom w:val="single" w:sz="8" w:color="91BBD3"/>
            </w:tcBorders>
          </w:tcPr>
          <w:p>
            <w:pPr>
              <w:spacing w:after="0"/>
              <w:rPr>
                <w:sz w:val="4"/>
                <w:szCs w:val="4"/>
                <w:color w:val="auto"/>
              </w:rPr>
            </w:pPr>
          </w:p>
        </w:tc>
        <w:tc>
          <w:tcPr>
            <w:tcW w:w="800" w:type="dxa"/>
            <w:vAlign w:val="bottom"/>
            <w:tcBorders>
              <w:bottom w:val="single" w:sz="8" w:color="91BBD3"/>
            </w:tcBorders>
          </w:tcPr>
          <w:p>
            <w:pPr>
              <w:spacing w:after="0"/>
              <w:rPr>
                <w:sz w:val="4"/>
                <w:szCs w:val="4"/>
                <w:color w:val="auto"/>
              </w:rPr>
            </w:pPr>
          </w:p>
        </w:tc>
        <w:tc>
          <w:tcPr>
            <w:tcW w:w="580" w:type="dxa"/>
            <w:vAlign w:val="bottom"/>
            <w:tcBorders>
              <w:bottom w:val="single" w:sz="8" w:color="91BBD3"/>
            </w:tcBorders>
          </w:tcPr>
          <w:p>
            <w:pPr>
              <w:spacing w:after="0"/>
              <w:rPr>
                <w:sz w:val="4"/>
                <w:szCs w:val="4"/>
                <w:color w:val="auto"/>
              </w:rPr>
            </w:pPr>
          </w:p>
        </w:tc>
        <w:tc>
          <w:tcPr>
            <w:tcW w:w="1400" w:type="dxa"/>
            <w:vAlign w:val="bottom"/>
            <w:tcBorders>
              <w:bottom w:val="single" w:sz="8" w:color="91BBD3"/>
            </w:tcBorders>
          </w:tcPr>
          <w:p>
            <w:pPr>
              <w:spacing w:after="0"/>
              <w:rPr>
                <w:sz w:val="4"/>
                <w:szCs w:val="4"/>
                <w:color w:val="auto"/>
              </w:rPr>
            </w:pPr>
          </w:p>
        </w:tc>
        <w:tc>
          <w:tcPr>
            <w:tcW w:w="120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680" w:type="dxa"/>
            <w:vAlign w:val="bottom"/>
            <w:tcBorders>
              <w:left w:val="single" w:sz="8" w:color="91BBD3"/>
              <w:right w:val="single" w:sz="8" w:color="91BBD3"/>
            </w:tcBorders>
            <w:shd w:val="clear" w:color="auto" w:fill="DAE8F0"/>
          </w:tcPr>
          <w:p>
            <w:pPr>
              <w:ind w:left="120"/>
              <w:spacing w:after="0" w:line="156" w:lineRule="exact"/>
              <w:rPr>
                <w:sz w:val="20"/>
                <w:szCs w:val="20"/>
                <w:color w:val="auto"/>
              </w:rPr>
            </w:pPr>
            <w:r>
              <w:rPr>
                <w:rFonts w:ascii="Calibri" w:cs="Calibri" w:eastAsia="Calibri" w:hAnsi="Calibri"/>
                <w:sz w:val="16"/>
                <w:szCs w:val="16"/>
                <w:b w:val="1"/>
                <w:bCs w:val="1"/>
                <w:color w:val="auto"/>
              </w:rPr>
              <w:t>97</w:t>
            </w:r>
          </w:p>
        </w:tc>
        <w:tc>
          <w:tcPr>
            <w:tcW w:w="100" w:type="dxa"/>
            <w:vAlign w:val="bottom"/>
            <w:shd w:val="clear" w:color="auto" w:fill="DAE8F0"/>
          </w:tcPr>
          <w:p>
            <w:pPr>
              <w:spacing w:after="0"/>
              <w:rPr>
                <w:sz w:val="13"/>
                <w:szCs w:val="13"/>
                <w:color w:val="auto"/>
              </w:rPr>
            </w:pPr>
          </w:p>
        </w:tc>
        <w:tc>
          <w:tcPr>
            <w:tcW w:w="9120" w:type="dxa"/>
            <w:vAlign w:val="bottom"/>
            <w:tcBorders>
              <w:right w:val="single" w:sz="8" w:color="91BBD3"/>
            </w:tcBorders>
            <w:gridSpan w:val="16"/>
            <w:shd w:val="clear" w:color="auto" w:fill="DAE8F0"/>
          </w:tcPr>
          <w:p>
            <w:pPr>
              <w:spacing w:after="0" w:line="156" w:lineRule="exact"/>
              <w:rPr>
                <w:rFonts w:ascii="MS PGothic" w:cs="MS PGothic" w:eastAsia="MS PGothic" w:hAnsi="MS PGothic"/>
                <w:sz w:val="18"/>
                <w:szCs w:val="18"/>
                <w:color w:val="0563C1"/>
                <w:w w:val="99"/>
              </w:rPr>
            </w:pPr>
            <w:hyperlink r:id="rId727">
              <w:r>
                <w:rPr>
                  <w:rFonts w:ascii="MS PGothic" w:cs="MS PGothic" w:eastAsia="MS PGothic" w:hAnsi="MS PGothic"/>
                  <w:sz w:val="18"/>
                  <w:szCs w:val="18"/>
                  <w:color w:val="0563C1"/>
                  <w:w w:val="99"/>
                </w:rPr>
                <w:t>Executve Clawback Policy (incorporated by reference to Exhibit 97 to the Martn Marieta Materials, Inc. Annual Report on</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680" w:type="dxa"/>
            <w:vAlign w:val="bottom"/>
            <w:tcBorders>
              <w:top w:val="single" w:sz="8" w:color="DAE8F0"/>
              <w:left w:val="single" w:sz="8" w:color="91BBD3"/>
              <w:right w:val="single" w:sz="8" w:color="91BBD3"/>
            </w:tcBorders>
            <w:shd w:val="clear" w:color="auto" w:fill="DAE8F0"/>
          </w:tcPr>
          <w:p>
            <w:pPr>
              <w:spacing w:after="0"/>
              <w:rPr>
                <w:sz w:val="21"/>
                <w:szCs w:val="21"/>
                <w:color w:val="auto"/>
              </w:rPr>
            </w:pPr>
          </w:p>
        </w:tc>
        <w:tc>
          <w:tcPr>
            <w:tcW w:w="100" w:type="dxa"/>
            <w:vAlign w:val="bottom"/>
            <w:tcBorders>
              <w:top w:val="single" w:sz="8" w:color="DAE8F0"/>
            </w:tcBorders>
            <w:shd w:val="clear" w:color="auto" w:fill="DAE8F0"/>
          </w:tcPr>
          <w:p>
            <w:pPr>
              <w:spacing w:after="0"/>
              <w:rPr>
                <w:sz w:val="21"/>
                <w:szCs w:val="21"/>
                <w:color w:val="auto"/>
              </w:rPr>
            </w:pPr>
          </w:p>
        </w:tc>
        <w:tc>
          <w:tcPr>
            <w:tcW w:w="8980" w:type="dxa"/>
            <w:vAlign w:val="bottom"/>
            <w:tcBorders>
              <w:top w:val="single" w:sz="8" w:color="0563C1"/>
            </w:tcBorders>
            <w:gridSpan w:val="15"/>
            <w:shd w:val="clear" w:color="auto" w:fill="DAE8F0"/>
          </w:tcPr>
          <w:p>
            <w:pPr>
              <w:spacing w:after="0"/>
              <w:rPr>
                <w:rFonts w:ascii="MS PGothic" w:cs="MS PGothic" w:eastAsia="MS PGothic" w:hAnsi="MS PGothic"/>
                <w:sz w:val="18"/>
                <w:szCs w:val="18"/>
                <w:color w:val="0563C1"/>
              </w:rPr>
            </w:pPr>
            <w:hyperlink r:id="rId727">
              <w:r>
                <w:rPr>
                  <w:rFonts w:ascii="MS PGothic" w:cs="MS PGothic" w:eastAsia="MS PGothic" w:hAnsi="MS PGothic"/>
                  <w:sz w:val="18"/>
                  <w:szCs w:val="18"/>
                  <w:color w:val="0563C1"/>
                </w:rPr>
                <w:t>Form 10‑K for the fscal year ended December 31, 2023) (Commission File No. 1-12744)**</w:t>
              </w:r>
            </w:hyperlink>
          </w:p>
        </w:tc>
        <w:tc>
          <w:tcPr>
            <w:tcW w:w="140" w:type="dxa"/>
            <w:vAlign w:val="bottom"/>
            <w:tcBorders>
              <w:top w:val="single" w:sz="8" w:color="DAE8F0"/>
              <w:left w:val="single" w:sz="8" w:color="DAE8F0"/>
              <w:right w:val="single" w:sz="8" w:color="91BBD3"/>
            </w:tcBorders>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80" w:type="dxa"/>
            <w:vAlign w:val="bottom"/>
            <w:tcBorders>
              <w:top w:val="single" w:sz="8" w:color="91BBD3"/>
              <w:left w:val="single" w:sz="8" w:color="91BBD3"/>
              <w:bottom w:val="single" w:sz="8" w:color="91BBD3"/>
              <w:right w:val="single" w:sz="8" w:color="91BBD3"/>
            </w:tcBorders>
          </w:tcPr>
          <w:p>
            <w:pPr>
              <w:ind w:left="120"/>
              <w:spacing w:after="0" w:line="215" w:lineRule="exact"/>
              <w:rPr>
                <w:sz w:val="20"/>
                <w:szCs w:val="20"/>
                <w:color w:val="auto"/>
              </w:rPr>
            </w:pPr>
            <w:r>
              <w:rPr>
                <w:rFonts w:ascii="Calibri" w:cs="Calibri" w:eastAsia="Calibri" w:hAnsi="Calibri"/>
                <w:sz w:val="18"/>
                <w:szCs w:val="18"/>
                <w:b w:val="1"/>
                <w:bCs w:val="1"/>
                <w:color w:val="auto"/>
              </w:rPr>
              <w:t>*101</w:t>
            </w:r>
          </w:p>
        </w:tc>
        <w:tc>
          <w:tcPr>
            <w:tcW w:w="100" w:type="dxa"/>
            <w:vAlign w:val="bottom"/>
            <w:tcBorders>
              <w:top w:val="single" w:sz="8" w:color="91BBD3"/>
              <w:bottom w:val="single" w:sz="8" w:color="91BBD3"/>
            </w:tcBorders>
          </w:tcPr>
          <w:p>
            <w:pPr>
              <w:spacing w:after="0"/>
              <w:rPr>
                <w:sz w:val="18"/>
                <w:szCs w:val="18"/>
                <w:color w:val="auto"/>
              </w:rPr>
            </w:pPr>
          </w:p>
        </w:tc>
        <w:tc>
          <w:tcPr>
            <w:tcW w:w="6380" w:type="dxa"/>
            <w:vAlign w:val="bottom"/>
            <w:tcBorders>
              <w:top w:val="single" w:sz="8" w:color="0563C1"/>
              <w:bottom w:val="single" w:sz="8" w:color="91BBD3"/>
            </w:tcBorders>
            <w:gridSpan w:val="13"/>
          </w:tcPr>
          <w:p>
            <w:pPr>
              <w:spacing w:after="0"/>
              <w:rPr>
                <w:sz w:val="20"/>
                <w:szCs w:val="20"/>
                <w:color w:val="auto"/>
              </w:rPr>
            </w:pPr>
            <w:r>
              <w:rPr>
                <w:rFonts w:ascii="MS PGothic" w:cs="MS PGothic" w:eastAsia="MS PGothic" w:hAnsi="MS PGothic"/>
                <w:sz w:val="18"/>
                <w:szCs w:val="18"/>
                <w:color w:val="auto"/>
              </w:rPr>
              <w:t>The following fnancial informaton formated in Inline XBRL:</w:t>
            </w:r>
          </w:p>
        </w:tc>
        <w:tc>
          <w:tcPr>
            <w:tcW w:w="2740" w:type="dxa"/>
            <w:vAlign w:val="bottom"/>
            <w:tcBorders>
              <w:top w:val="single" w:sz="8" w:color="91BBD3"/>
              <w:bottom w:val="single" w:sz="8" w:color="91BBD3"/>
              <w:right w:val="single" w:sz="8" w:color="91BBD3"/>
            </w:tcBorders>
            <w:gridSpan w:val="3"/>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80" w:type="dxa"/>
            <w:vAlign w:val="bottom"/>
            <w:tcBorders>
              <w:left w:val="single" w:sz="8" w:color="91BBD3"/>
              <w:right w:val="single" w:sz="8" w:color="91BBD3"/>
            </w:tcBorders>
            <w:shd w:val="clear" w:color="auto" w:fill="DAE8F0"/>
          </w:tcPr>
          <w:p>
            <w:pPr>
              <w:ind w:left="120"/>
              <w:spacing w:after="0" w:line="194" w:lineRule="exact"/>
              <w:rPr>
                <w:sz w:val="20"/>
                <w:szCs w:val="20"/>
                <w:color w:val="auto"/>
              </w:rPr>
            </w:pPr>
            <w:r>
              <w:rPr>
                <w:rFonts w:ascii="Calibri" w:cs="Calibri" w:eastAsia="Calibri" w:hAnsi="Calibri"/>
                <w:sz w:val="18"/>
                <w:szCs w:val="18"/>
                <w:b w:val="1"/>
                <w:bCs w:val="1"/>
                <w:color w:val="auto"/>
              </w:rPr>
              <w:t>*101.INS</w:t>
            </w:r>
          </w:p>
        </w:tc>
        <w:tc>
          <w:tcPr>
            <w:tcW w:w="100" w:type="dxa"/>
            <w:vAlign w:val="bottom"/>
            <w:shd w:val="clear" w:color="auto" w:fill="DAE8F0"/>
          </w:tcPr>
          <w:p>
            <w:pPr>
              <w:spacing w:after="0"/>
              <w:rPr>
                <w:sz w:val="16"/>
                <w:szCs w:val="16"/>
                <w:color w:val="auto"/>
              </w:rPr>
            </w:pPr>
          </w:p>
        </w:tc>
        <w:tc>
          <w:tcPr>
            <w:tcW w:w="9120" w:type="dxa"/>
            <w:vAlign w:val="bottom"/>
            <w:tcBorders>
              <w:right w:val="single" w:sz="8" w:color="91BBD3"/>
            </w:tcBorders>
            <w:gridSpan w:val="16"/>
            <w:shd w:val="clear" w:color="auto" w:fill="DAE8F0"/>
          </w:tcPr>
          <w:p>
            <w:pPr>
              <w:spacing w:after="0"/>
              <w:rPr>
                <w:sz w:val="20"/>
                <w:szCs w:val="20"/>
                <w:color w:val="auto"/>
              </w:rPr>
            </w:pPr>
            <w:r>
              <w:rPr>
                <w:rFonts w:ascii="MS PGothic" w:cs="MS PGothic" w:eastAsia="MS PGothic" w:hAnsi="MS PGothic"/>
                <w:sz w:val="18"/>
                <w:szCs w:val="18"/>
                <w:color w:val="auto"/>
                <w:w w:val="96"/>
              </w:rPr>
              <w:t>Inline XBRL Instance Document – The instance document does not appear in the Interactve Data File because its XBRL tags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91BBD3"/>
              <w:bottom w:val="single" w:sz="8" w:color="DAE8F0"/>
              <w:right w:val="single" w:sz="8" w:color="91BBD3"/>
            </w:tcBorders>
            <w:shd w:val="clear" w:color="auto" w:fill="DAE8F0"/>
          </w:tcPr>
          <w:p>
            <w:pPr>
              <w:spacing w:after="0"/>
              <w:rPr>
                <w:sz w:val="20"/>
                <w:szCs w:val="20"/>
                <w:color w:val="auto"/>
              </w:rPr>
            </w:pPr>
          </w:p>
        </w:tc>
        <w:tc>
          <w:tcPr>
            <w:tcW w:w="100" w:type="dxa"/>
            <w:vAlign w:val="bottom"/>
            <w:tcBorders>
              <w:bottom w:val="single" w:sz="8" w:color="DAE8F0"/>
            </w:tcBorders>
            <w:shd w:val="clear" w:color="auto" w:fill="DAE8F0"/>
          </w:tcPr>
          <w:p>
            <w:pPr>
              <w:spacing w:after="0"/>
              <w:rPr>
                <w:sz w:val="20"/>
                <w:szCs w:val="20"/>
                <w:color w:val="auto"/>
              </w:rPr>
            </w:pPr>
          </w:p>
        </w:tc>
        <w:tc>
          <w:tcPr>
            <w:tcW w:w="9120" w:type="dxa"/>
            <w:vAlign w:val="bottom"/>
            <w:tcBorders>
              <w:bottom w:val="single" w:sz="8" w:color="DAE8F0"/>
              <w:right w:val="single" w:sz="8" w:color="91BBD3"/>
            </w:tcBorders>
            <w:gridSpan w:val="16"/>
            <w:shd w:val="clear" w:color="auto" w:fill="DAE8F0"/>
          </w:tcPr>
          <w:p>
            <w:pPr>
              <w:spacing w:after="0"/>
              <w:rPr>
                <w:sz w:val="20"/>
                <w:szCs w:val="20"/>
                <w:color w:val="auto"/>
              </w:rPr>
            </w:pPr>
            <w:r>
              <w:rPr>
                <w:rFonts w:ascii="MS PGothic" w:cs="MS PGothic" w:eastAsia="MS PGothic" w:hAnsi="MS PGothic"/>
                <w:sz w:val="18"/>
                <w:szCs w:val="18"/>
                <w:color w:val="auto"/>
              </w:rPr>
              <w:t>are embedded within the Inline XBRL document.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80" w:type="dxa"/>
            <w:vAlign w:val="bottom"/>
            <w:tcBorders>
              <w:top w:val="single" w:sz="8" w:color="91BBD3"/>
              <w:left w:val="single" w:sz="8" w:color="91BBD3"/>
              <w:bottom w:val="single" w:sz="8" w:color="91BBD3"/>
              <w:right w:val="single" w:sz="8" w:color="91BBD3"/>
            </w:tcBorders>
          </w:tcPr>
          <w:p>
            <w:pPr>
              <w:ind w:left="120"/>
              <w:spacing w:after="0" w:line="215" w:lineRule="exact"/>
              <w:rPr>
                <w:sz w:val="20"/>
                <w:szCs w:val="20"/>
                <w:color w:val="auto"/>
              </w:rPr>
            </w:pPr>
            <w:r>
              <w:rPr>
                <w:rFonts w:ascii="Calibri" w:cs="Calibri" w:eastAsia="Calibri" w:hAnsi="Calibri"/>
                <w:sz w:val="18"/>
                <w:szCs w:val="18"/>
                <w:b w:val="1"/>
                <w:bCs w:val="1"/>
                <w:color w:val="auto"/>
              </w:rPr>
              <w:t>*101.SCH</w:t>
            </w:r>
          </w:p>
        </w:tc>
        <w:tc>
          <w:tcPr>
            <w:tcW w:w="100" w:type="dxa"/>
            <w:vAlign w:val="bottom"/>
            <w:tcBorders>
              <w:top w:val="single" w:sz="8" w:color="91BBD3"/>
              <w:bottom w:val="single" w:sz="8" w:color="91BBD3"/>
            </w:tcBorders>
          </w:tcPr>
          <w:p>
            <w:pPr>
              <w:spacing w:after="0"/>
              <w:rPr>
                <w:sz w:val="18"/>
                <w:szCs w:val="18"/>
                <w:color w:val="auto"/>
              </w:rPr>
            </w:pPr>
          </w:p>
        </w:tc>
        <w:tc>
          <w:tcPr>
            <w:tcW w:w="9120" w:type="dxa"/>
            <w:vAlign w:val="bottom"/>
            <w:tcBorders>
              <w:top w:val="single" w:sz="8" w:color="91BBD3"/>
              <w:bottom w:val="single" w:sz="8" w:color="91BBD3"/>
              <w:right w:val="single" w:sz="8" w:color="91BBD3"/>
            </w:tcBorders>
            <w:gridSpan w:val="16"/>
          </w:tcPr>
          <w:p>
            <w:pPr>
              <w:spacing w:after="0"/>
              <w:rPr>
                <w:sz w:val="20"/>
                <w:szCs w:val="20"/>
                <w:color w:val="auto"/>
              </w:rPr>
            </w:pPr>
            <w:r>
              <w:rPr>
                <w:rFonts w:ascii="MS PGothic" w:cs="MS PGothic" w:eastAsia="MS PGothic" w:hAnsi="MS PGothic"/>
                <w:sz w:val="18"/>
                <w:szCs w:val="18"/>
                <w:color w:val="auto"/>
              </w:rPr>
              <w:t>Inline XBRL Taxonomy Extension Schema With Embedded Linkbase Documents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tcBorders>
              <w:left w:val="single" w:sz="8" w:color="91BBD3"/>
              <w:bottom w:val="single" w:sz="8" w:color="91BBD3"/>
              <w:right w:val="single" w:sz="8" w:color="91BBD3"/>
            </w:tcBorders>
            <w:shd w:val="clear" w:color="auto" w:fill="DAE8F0"/>
          </w:tcPr>
          <w:p>
            <w:pPr>
              <w:ind w:left="120"/>
              <w:spacing w:after="0" w:line="215" w:lineRule="exact"/>
              <w:rPr>
                <w:sz w:val="20"/>
                <w:szCs w:val="20"/>
                <w:color w:val="auto"/>
              </w:rPr>
            </w:pPr>
            <w:r>
              <w:rPr>
                <w:rFonts w:ascii="Calibri" w:cs="Calibri" w:eastAsia="Calibri" w:hAnsi="Calibri"/>
                <w:sz w:val="18"/>
                <w:szCs w:val="18"/>
                <w:b w:val="1"/>
                <w:bCs w:val="1"/>
                <w:color w:val="auto"/>
              </w:rPr>
              <w:t>*104</w:t>
            </w:r>
          </w:p>
        </w:tc>
        <w:tc>
          <w:tcPr>
            <w:tcW w:w="100" w:type="dxa"/>
            <w:vAlign w:val="bottom"/>
            <w:tcBorders>
              <w:bottom w:val="single" w:sz="8" w:color="91BBD3"/>
            </w:tcBorders>
            <w:shd w:val="clear" w:color="auto" w:fill="DAE8F0"/>
          </w:tcPr>
          <w:p>
            <w:pPr>
              <w:spacing w:after="0"/>
              <w:rPr>
                <w:sz w:val="19"/>
                <w:szCs w:val="19"/>
                <w:color w:val="auto"/>
              </w:rPr>
            </w:pPr>
          </w:p>
        </w:tc>
        <w:tc>
          <w:tcPr>
            <w:tcW w:w="9120" w:type="dxa"/>
            <w:vAlign w:val="bottom"/>
            <w:tcBorders>
              <w:bottom w:val="single" w:sz="8" w:color="91BBD3"/>
              <w:right w:val="single" w:sz="8" w:color="91BBD3"/>
            </w:tcBorders>
            <w:gridSpan w:val="16"/>
            <w:shd w:val="clear" w:color="auto" w:fill="DAE8F0"/>
          </w:tcPr>
          <w:p>
            <w:pPr>
              <w:spacing w:after="0"/>
              <w:rPr>
                <w:sz w:val="20"/>
                <w:szCs w:val="20"/>
                <w:color w:val="auto"/>
              </w:rPr>
            </w:pPr>
            <w:r>
              <w:rPr>
                <w:rFonts w:ascii="MS PGothic" w:cs="MS PGothic" w:eastAsia="MS PGothic" w:hAnsi="MS PGothic"/>
                <w:sz w:val="18"/>
                <w:szCs w:val="18"/>
                <w:color w:val="auto"/>
              </w:rPr>
              <w:t>The cover page fnancial informaton formated in Inline XBRL (included as Exhibit 101).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-164465</wp:posOffset>
            </wp:positionV>
            <wp:extent cx="325755" cy="1968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28">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567690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0" w:right="339" w:bottom="1440" w:gutter="0" w:footer="0" w:header="0"/>
        </w:sectPr>
      </w:pPr>
    </w:p>
    <w:bookmarkStart w:id="114" w:name="page115"/>
    <w:bookmarkEnd w:id="114"/>
    <w:p>
      <w:pPr>
        <w:ind w:left="6700"/>
        <w:spacing w:after="0"/>
        <w:rPr>
          <w:sz w:val="20"/>
          <w:szCs w:val="20"/>
          <w:color w:val="auto"/>
        </w:rPr>
      </w:pPr>
      <w:r>
        <w:rPr>
          <w:rFonts w:ascii="Calibri" w:cs="Calibri" w:eastAsia="Calibri" w:hAnsi="Calibri"/>
          <w:sz w:val="17"/>
          <w:szCs w:val="17"/>
          <w:color w:val="auto"/>
        </w:rPr>
        <w:t xml:space="preserve">Part IV </w:t>
      </w:r>
      <w:r>
        <w:rPr>
          <w:rFonts w:ascii="Arial" w:cs="Arial" w:eastAsia="Arial" w:hAnsi="Arial"/>
          <w:sz w:val="22"/>
          <w:szCs w:val="22"/>
          <w:color w:val="0070C0"/>
        </w:rPr>
        <w:t>♦</w:t>
      </w:r>
      <w:r>
        <w:rPr>
          <w:rFonts w:ascii="Calibri" w:cs="Calibri" w:eastAsia="Calibri" w:hAnsi="Calibri"/>
          <w:sz w:val="17"/>
          <w:szCs w:val="17"/>
          <w:color w:val="auto"/>
        </w:rPr>
        <w:t xml:space="preserve"> Item 15 – Exhibits and Financial Statement Schedules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Other material incorporated by reference: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Martn Marieta Materials, Inc.’s 2025 Proxy Statement to be fled pursuant to Regulaton 14A, portons of which are incorporated by reference in this Form 10-K. Those portons of the 2025 Proxy Statement which are not incorporated by reference shall not be deemed to be “fled” as part of this report.</w:t>
      </w:r>
    </w:p>
    <w:p>
      <w:pPr>
        <w:spacing w:after="0" w:line="105" w:lineRule="exact"/>
        <w:rPr>
          <w:sz w:val="20"/>
          <w:szCs w:val="20"/>
          <w:color w:val="auto"/>
        </w:rPr>
      </w:pPr>
    </w:p>
    <w:p>
      <w:pPr>
        <w:ind w:left="300" w:hanging="292"/>
        <w:spacing w:after="0"/>
        <w:tabs>
          <w:tab w:leader="none" w:pos="30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Filed herewith</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 Management contract or compensatory plan or arrangement required to be fled as an exhibit pursuant to Item 14(c) of Form 10-K</w:t>
      </w:r>
    </w:p>
    <w:p>
      <w:pPr>
        <w:spacing w:after="0" w:line="212" w:lineRule="exact"/>
        <w:rPr>
          <w:sz w:val="20"/>
          <w:szCs w:val="20"/>
          <w:color w:val="auto"/>
        </w:rPr>
      </w:pPr>
    </w:p>
    <w:p>
      <w:pPr>
        <w:spacing w:after="0"/>
        <w:tabs>
          <w:tab w:leader="none" w:pos="400" w:val="left"/>
        </w:tabs>
        <w:rPr>
          <w:sz w:val="20"/>
          <w:szCs w:val="20"/>
          <w:color w:val="auto"/>
        </w:rPr>
      </w:pPr>
      <w:r>
        <w:rPr>
          <w:rFonts w:ascii="Calibri" w:cs="Calibri" w:eastAsia="Calibri" w:hAnsi="Calibri"/>
          <w:sz w:val="22"/>
          <w:szCs w:val="22"/>
          <w:b w:val="1"/>
          <w:bCs w:val="1"/>
          <w:color w:val="965F6E"/>
        </w:rPr>
        <w:t>(c)</w:t>
      </w:r>
      <w:r>
        <w:rPr>
          <w:sz w:val="20"/>
          <w:szCs w:val="20"/>
          <w:color w:val="auto"/>
        </w:rPr>
        <w:tab/>
      </w:r>
      <w:r>
        <w:rPr>
          <w:rFonts w:ascii="Calibri" w:cs="Calibri" w:eastAsia="Calibri" w:hAnsi="Calibri"/>
          <w:sz w:val="21"/>
          <w:szCs w:val="21"/>
          <w:b w:val="1"/>
          <w:bCs w:val="1"/>
          <w:color w:val="965F6E"/>
        </w:rPr>
        <w:t>Financial Statement Schedule</w:t>
      </w:r>
    </w:p>
    <w:p>
      <w:pPr>
        <w:spacing w:after="0" w:line="110"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SCHEDULE II – VALUATION AND QUALIFYING ACCOUNTS</w:t>
      </w:r>
    </w:p>
    <w:p>
      <w:pPr>
        <w:spacing w:after="0" w:line="50"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MARTIN MARIETTA MATERIALS, INC. AND CONSOLIDATED SUBSIDIARIES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right w:val="single" w:sz="8" w:color="007CBA"/>
            </w:tcBorders>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Col A</w:t>
            </w:r>
          </w:p>
        </w:tc>
        <w:tc>
          <w:tcPr>
            <w:tcW w:w="280" w:type="dxa"/>
            <w:vAlign w:val="bottom"/>
            <w:shd w:val="clear" w:color="auto" w:fill="007CBA"/>
          </w:tcPr>
          <w:p>
            <w:pPr>
              <w:spacing w:after="0"/>
              <w:rPr>
                <w:sz w:val="16"/>
                <w:szCs w:val="16"/>
                <w:color w:val="auto"/>
              </w:rPr>
            </w:pPr>
          </w:p>
        </w:tc>
        <w:tc>
          <w:tcPr>
            <w:tcW w:w="920" w:type="dxa"/>
            <w:vAlign w:val="bottom"/>
            <w:tcBorders>
              <w:right w:val="single" w:sz="8" w:color="007CBA"/>
            </w:tcBorders>
            <w:shd w:val="clear" w:color="auto" w:fill="007CBA"/>
          </w:tcPr>
          <w:p>
            <w:pPr>
              <w:jc w:val="center"/>
              <w:ind w:right="185"/>
              <w:spacing w:after="0"/>
              <w:rPr>
                <w:sz w:val="20"/>
                <w:szCs w:val="20"/>
                <w:color w:val="auto"/>
              </w:rPr>
            </w:pPr>
            <w:r>
              <w:rPr>
                <w:rFonts w:ascii="Calibri" w:cs="Calibri" w:eastAsia="Calibri" w:hAnsi="Calibri"/>
                <w:sz w:val="14"/>
                <w:szCs w:val="14"/>
                <w:b w:val="1"/>
                <w:bCs w:val="1"/>
                <w:color w:val="FFFFFF"/>
              </w:rPr>
              <w:t>Col B</w:t>
            </w:r>
          </w:p>
        </w:tc>
        <w:tc>
          <w:tcPr>
            <w:tcW w:w="920" w:type="dxa"/>
            <w:vAlign w:val="bottom"/>
            <w:shd w:val="clear" w:color="auto" w:fill="007CBA"/>
          </w:tcPr>
          <w:p>
            <w:pPr>
              <w:spacing w:after="0"/>
              <w:rPr>
                <w:sz w:val="16"/>
                <w:szCs w:val="16"/>
                <w:color w:val="auto"/>
              </w:rPr>
            </w:pPr>
          </w:p>
        </w:tc>
        <w:tc>
          <w:tcPr>
            <w:tcW w:w="160" w:type="dxa"/>
            <w:vAlign w:val="bottom"/>
            <w:shd w:val="clear" w:color="auto" w:fill="007CBA"/>
          </w:tcPr>
          <w:p>
            <w:pPr>
              <w:spacing w:after="0"/>
              <w:rPr>
                <w:sz w:val="16"/>
                <w:szCs w:val="16"/>
                <w:color w:val="auto"/>
              </w:rPr>
            </w:pPr>
          </w:p>
        </w:tc>
        <w:tc>
          <w:tcPr>
            <w:tcW w:w="460" w:type="dxa"/>
            <w:vAlign w:val="bottom"/>
            <w:gridSpan w:val="2"/>
            <w:shd w:val="clear" w:color="auto" w:fill="007CBA"/>
          </w:tcPr>
          <w:p>
            <w:pPr>
              <w:jc w:val="right"/>
              <w:ind w:right="81"/>
              <w:spacing w:after="0"/>
              <w:rPr>
                <w:sz w:val="20"/>
                <w:szCs w:val="20"/>
                <w:color w:val="auto"/>
              </w:rPr>
            </w:pPr>
            <w:r>
              <w:rPr>
                <w:rFonts w:ascii="Calibri" w:cs="Calibri" w:eastAsia="Calibri" w:hAnsi="Calibri"/>
                <w:sz w:val="14"/>
                <w:szCs w:val="14"/>
                <w:b w:val="1"/>
                <w:bCs w:val="1"/>
                <w:color w:val="FFFFFF"/>
                <w:w w:val="96"/>
              </w:rPr>
              <w:t>Col C</w:t>
            </w:r>
          </w:p>
        </w:tc>
        <w:tc>
          <w:tcPr>
            <w:tcW w:w="1100" w:type="dxa"/>
            <w:vAlign w:val="bottom"/>
            <w:tcBorders>
              <w:right w:val="single" w:sz="8" w:color="007CBA"/>
            </w:tcBorders>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920" w:type="dxa"/>
            <w:vAlign w:val="bottom"/>
            <w:shd w:val="clear" w:color="auto" w:fill="007CBA"/>
          </w:tcPr>
          <w:p>
            <w:pPr>
              <w:jc w:val="center"/>
              <w:ind w:right="84"/>
              <w:spacing w:after="0"/>
              <w:rPr>
                <w:sz w:val="20"/>
                <w:szCs w:val="20"/>
                <w:color w:val="auto"/>
              </w:rPr>
            </w:pPr>
            <w:r>
              <w:rPr>
                <w:rFonts w:ascii="Calibri" w:cs="Calibri" w:eastAsia="Calibri" w:hAnsi="Calibri"/>
                <w:sz w:val="14"/>
                <w:szCs w:val="14"/>
                <w:b w:val="1"/>
                <w:bCs w:val="1"/>
                <w:color w:val="FFFFFF"/>
              </w:rPr>
              <w:t>Col D</w:t>
            </w:r>
          </w:p>
        </w:tc>
        <w:tc>
          <w:tcPr>
            <w:tcW w:w="32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920" w:type="dxa"/>
            <w:vAlign w:val="bottom"/>
            <w:shd w:val="clear" w:color="auto" w:fill="007CBA"/>
          </w:tcPr>
          <w:p>
            <w:pPr>
              <w:jc w:val="center"/>
              <w:ind w:right="184"/>
              <w:spacing w:after="0"/>
              <w:rPr>
                <w:sz w:val="20"/>
                <w:szCs w:val="20"/>
                <w:color w:val="auto"/>
              </w:rPr>
            </w:pPr>
            <w:r>
              <w:rPr>
                <w:rFonts w:ascii="Calibri" w:cs="Calibri" w:eastAsia="Calibri" w:hAnsi="Calibri"/>
                <w:sz w:val="14"/>
                <w:szCs w:val="14"/>
                <w:b w:val="1"/>
                <w:bCs w:val="1"/>
                <w:color w:val="FFFFFF"/>
              </w:rPr>
              <w:t>Col E</w:t>
            </w:r>
          </w:p>
        </w:tc>
      </w:tr>
      <w:tr>
        <w:trPr>
          <w:trHeight w:val="170"/>
        </w:trPr>
        <w:tc>
          <w:tcPr>
            <w:tcW w:w="472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920" w:type="dxa"/>
            <w:vAlign w:val="bottom"/>
            <w:tcBorders>
              <w:right w:val="single" w:sz="8" w:color="007CBA"/>
            </w:tcBorders>
            <w:shd w:val="clear" w:color="auto" w:fill="007CBA"/>
          </w:tcPr>
          <w:p>
            <w:pPr>
              <w:spacing w:after="0"/>
              <w:rPr>
                <w:sz w:val="14"/>
                <w:szCs w:val="14"/>
                <w:color w:val="auto"/>
              </w:rPr>
            </w:pPr>
          </w:p>
        </w:tc>
        <w:tc>
          <w:tcPr>
            <w:tcW w:w="920" w:type="dxa"/>
            <w:vAlign w:val="bottom"/>
            <w:shd w:val="clear" w:color="auto" w:fill="007CBA"/>
          </w:tcPr>
          <w:p>
            <w:pPr>
              <w:spacing w:after="0"/>
              <w:rPr>
                <w:sz w:val="14"/>
                <w:szCs w:val="14"/>
                <w:color w:val="auto"/>
              </w:rPr>
            </w:pPr>
          </w:p>
        </w:tc>
        <w:tc>
          <w:tcPr>
            <w:tcW w:w="620" w:type="dxa"/>
            <w:vAlign w:val="bottom"/>
            <w:gridSpan w:val="3"/>
            <w:shd w:val="clear" w:color="auto" w:fill="007CBA"/>
          </w:tcPr>
          <w:p>
            <w:pPr>
              <w:jc w:val="right"/>
              <w:spacing w:after="0"/>
              <w:rPr>
                <w:sz w:val="20"/>
                <w:szCs w:val="20"/>
                <w:color w:val="auto"/>
              </w:rPr>
            </w:pPr>
            <w:r>
              <w:rPr>
                <w:rFonts w:ascii="Calibri" w:cs="Calibri" w:eastAsia="Calibri" w:hAnsi="Calibri"/>
                <w:sz w:val="14"/>
                <w:szCs w:val="14"/>
                <w:b w:val="1"/>
                <w:bCs w:val="1"/>
                <w:color w:val="FFFFFF"/>
              </w:rPr>
              <w:t>Additons</w:t>
            </w:r>
          </w:p>
        </w:tc>
        <w:tc>
          <w:tcPr>
            <w:tcW w:w="1100" w:type="dxa"/>
            <w:vAlign w:val="bottom"/>
            <w:tcBorders>
              <w:right w:val="single" w:sz="8" w:color="007CBA"/>
            </w:tcBorders>
            <w:shd w:val="clear" w:color="auto" w:fill="007CBA"/>
          </w:tcPr>
          <w:p>
            <w:pPr>
              <w:spacing w:after="0"/>
              <w:rPr>
                <w:sz w:val="14"/>
                <w:szCs w:val="14"/>
                <w:color w:val="auto"/>
              </w:rPr>
            </w:pPr>
          </w:p>
        </w:tc>
        <w:tc>
          <w:tcPr>
            <w:tcW w:w="120" w:type="dxa"/>
            <w:vAlign w:val="bottom"/>
            <w:shd w:val="clear" w:color="auto" w:fill="007CBA"/>
          </w:tcPr>
          <w:p>
            <w:pPr>
              <w:spacing w:after="0"/>
              <w:rPr>
                <w:sz w:val="14"/>
                <w:szCs w:val="14"/>
                <w:color w:val="auto"/>
              </w:rPr>
            </w:pPr>
          </w:p>
        </w:tc>
        <w:tc>
          <w:tcPr>
            <w:tcW w:w="120" w:type="dxa"/>
            <w:vAlign w:val="bottom"/>
            <w:shd w:val="clear" w:color="auto" w:fill="007CBA"/>
          </w:tcPr>
          <w:p>
            <w:pPr>
              <w:spacing w:after="0"/>
              <w:rPr>
                <w:sz w:val="14"/>
                <w:szCs w:val="14"/>
                <w:color w:val="auto"/>
              </w:rPr>
            </w:pPr>
          </w:p>
        </w:tc>
        <w:tc>
          <w:tcPr>
            <w:tcW w:w="920" w:type="dxa"/>
            <w:vAlign w:val="bottom"/>
            <w:shd w:val="clear" w:color="auto" w:fill="007CBA"/>
          </w:tcPr>
          <w:p>
            <w:pPr>
              <w:spacing w:after="0"/>
              <w:rPr>
                <w:sz w:val="14"/>
                <w:szCs w:val="14"/>
                <w:color w:val="auto"/>
              </w:rPr>
            </w:pPr>
          </w:p>
        </w:tc>
        <w:tc>
          <w:tcPr>
            <w:tcW w:w="32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920" w:type="dxa"/>
            <w:vAlign w:val="bottom"/>
            <w:shd w:val="clear" w:color="auto" w:fill="007CBA"/>
          </w:tcPr>
          <w:p>
            <w:pPr>
              <w:spacing w:after="0"/>
              <w:rPr>
                <w:sz w:val="14"/>
                <w:szCs w:val="14"/>
                <w:color w:val="auto"/>
              </w:rPr>
            </w:pPr>
          </w:p>
        </w:tc>
      </w:tr>
      <w:tr>
        <w:trPr>
          <w:trHeight w:val="175"/>
        </w:trPr>
        <w:tc>
          <w:tcPr>
            <w:tcW w:w="472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20" w:type="dxa"/>
            <w:vAlign w:val="bottom"/>
            <w:tcBorders>
              <w:right w:val="single" w:sz="8" w:color="007CBA"/>
            </w:tcBorders>
            <w:shd w:val="clear" w:color="auto" w:fill="007CBA"/>
          </w:tcPr>
          <w:p>
            <w:pPr>
              <w:spacing w:after="0"/>
              <w:rPr>
                <w:sz w:val="15"/>
                <w:szCs w:val="15"/>
                <w:color w:val="auto"/>
              </w:rPr>
            </w:pPr>
          </w:p>
        </w:tc>
        <w:tc>
          <w:tcPr>
            <w:tcW w:w="920" w:type="dxa"/>
            <w:vAlign w:val="bottom"/>
            <w:shd w:val="clear" w:color="auto" w:fill="007CBA"/>
          </w:tcPr>
          <w:p>
            <w:pPr>
              <w:jc w:val="center"/>
              <w:ind w:left="245"/>
              <w:spacing w:after="0"/>
              <w:rPr>
                <w:sz w:val="20"/>
                <w:szCs w:val="20"/>
                <w:color w:val="auto"/>
              </w:rPr>
            </w:pPr>
            <w:r>
              <w:rPr>
                <w:rFonts w:ascii="Calibri" w:cs="Calibri" w:eastAsia="Calibri" w:hAnsi="Calibri"/>
                <w:sz w:val="14"/>
                <w:szCs w:val="14"/>
                <w:b w:val="1"/>
                <w:bCs w:val="1"/>
                <w:color w:val="FFFFFF"/>
              </w:rPr>
              <w:t>(1)</w:t>
            </w:r>
          </w:p>
        </w:tc>
        <w:tc>
          <w:tcPr>
            <w:tcW w:w="160" w:type="dxa"/>
            <w:vAlign w:val="bottom"/>
            <w:shd w:val="clear" w:color="auto" w:fill="007CBA"/>
          </w:tcPr>
          <w:p>
            <w:pPr>
              <w:spacing w:after="0"/>
              <w:rPr>
                <w:sz w:val="15"/>
                <w:szCs w:val="15"/>
                <w:color w:val="auto"/>
              </w:rPr>
            </w:pPr>
          </w:p>
        </w:tc>
        <w:tc>
          <w:tcPr>
            <w:tcW w:w="140" w:type="dxa"/>
            <w:vAlign w:val="bottom"/>
            <w:tcBorders>
              <w:right w:val="single" w:sz="8" w:color="007CBA"/>
            </w:tcBorders>
            <w:shd w:val="clear" w:color="auto" w:fill="007CBA"/>
          </w:tcPr>
          <w:p>
            <w:pPr>
              <w:spacing w:after="0"/>
              <w:rPr>
                <w:sz w:val="15"/>
                <w:szCs w:val="15"/>
                <w:color w:val="auto"/>
              </w:rPr>
            </w:pPr>
          </w:p>
        </w:tc>
        <w:tc>
          <w:tcPr>
            <w:tcW w:w="320" w:type="dxa"/>
            <w:vAlign w:val="bottom"/>
            <w:shd w:val="clear" w:color="auto" w:fill="007CBA"/>
          </w:tcPr>
          <w:p>
            <w:pPr>
              <w:spacing w:after="0"/>
              <w:rPr>
                <w:sz w:val="15"/>
                <w:szCs w:val="15"/>
                <w:color w:val="auto"/>
              </w:rPr>
            </w:pPr>
          </w:p>
        </w:tc>
        <w:tc>
          <w:tcPr>
            <w:tcW w:w="1100" w:type="dxa"/>
            <w:vAlign w:val="bottom"/>
            <w:tcBorders>
              <w:right w:val="single" w:sz="8" w:color="007CBA"/>
            </w:tcBorders>
            <w:shd w:val="clear" w:color="auto" w:fill="007CBA"/>
          </w:tcPr>
          <w:p>
            <w:pPr>
              <w:jc w:val="center"/>
              <w:ind w:right="425"/>
              <w:spacing w:after="0"/>
              <w:rPr>
                <w:sz w:val="20"/>
                <w:szCs w:val="20"/>
                <w:color w:val="auto"/>
              </w:rPr>
            </w:pPr>
            <w:r>
              <w:rPr>
                <w:rFonts w:ascii="Calibri" w:cs="Calibri" w:eastAsia="Calibri" w:hAnsi="Calibri"/>
                <w:sz w:val="14"/>
                <w:szCs w:val="14"/>
                <w:b w:val="1"/>
                <w:bCs w:val="1"/>
                <w:color w:val="FFFFFF"/>
              </w:rPr>
              <w:t>(2)</w:t>
            </w:r>
          </w:p>
        </w:tc>
        <w:tc>
          <w:tcPr>
            <w:tcW w:w="120" w:type="dxa"/>
            <w:vAlign w:val="bottom"/>
            <w:shd w:val="clear" w:color="auto" w:fill="007CBA"/>
          </w:tcPr>
          <w:p>
            <w:pPr>
              <w:spacing w:after="0"/>
              <w:rPr>
                <w:sz w:val="15"/>
                <w:szCs w:val="15"/>
                <w:color w:val="auto"/>
              </w:rPr>
            </w:pPr>
          </w:p>
        </w:tc>
        <w:tc>
          <w:tcPr>
            <w:tcW w:w="120" w:type="dxa"/>
            <w:vAlign w:val="bottom"/>
            <w:shd w:val="clear" w:color="auto" w:fill="007CBA"/>
          </w:tcPr>
          <w:p>
            <w:pPr>
              <w:spacing w:after="0"/>
              <w:rPr>
                <w:sz w:val="15"/>
                <w:szCs w:val="15"/>
                <w:color w:val="auto"/>
              </w:rPr>
            </w:pPr>
          </w:p>
        </w:tc>
        <w:tc>
          <w:tcPr>
            <w:tcW w:w="920" w:type="dxa"/>
            <w:vAlign w:val="bottom"/>
            <w:shd w:val="clear" w:color="auto" w:fill="007CBA"/>
          </w:tcPr>
          <w:p>
            <w:pPr>
              <w:spacing w:after="0"/>
              <w:rPr>
                <w:sz w:val="15"/>
                <w:szCs w:val="15"/>
                <w:color w:val="auto"/>
              </w:rPr>
            </w:pPr>
          </w:p>
        </w:tc>
        <w:tc>
          <w:tcPr>
            <w:tcW w:w="32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20" w:type="dxa"/>
            <w:vAlign w:val="bottom"/>
            <w:shd w:val="clear" w:color="auto" w:fill="007CBA"/>
          </w:tcPr>
          <w:p>
            <w:pPr>
              <w:spacing w:after="0"/>
              <w:rPr>
                <w:sz w:val="15"/>
                <w:szCs w:val="15"/>
                <w:color w:val="auto"/>
              </w:rPr>
            </w:pPr>
          </w:p>
        </w:tc>
      </w:tr>
      <w:tr>
        <w:trPr>
          <w:trHeight w:val="175"/>
        </w:trPr>
        <w:tc>
          <w:tcPr>
            <w:tcW w:w="472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20" w:type="dxa"/>
            <w:vAlign w:val="bottom"/>
            <w:tcBorders>
              <w:right w:val="single" w:sz="8" w:color="007CBA"/>
            </w:tcBorders>
            <w:shd w:val="clear" w:color="auto" w:fill="007CBA"/>
          </w:tcPr>
          <w:p>
            <w:pPr>
              <w:jc w:val="center"/>
              <w:ind w:right="185"/>
              <w:spacing w:after="0"/>
              <w:rPr>
                <w:sz w:val="20"/>
                <w:szCs w:val="20"/>
                <w:color w:val="auto"/>
              </w:rPr>
            </w:pPr>
            <w:r>
              <w:rPr>
                <w:rFonts w:ascii="Calibri" w:cs="Calibri" w:eastAsia="Calibri" w:hAnsi="Calibri"/>
                <w:sz w:val="14"/>
                <w:szCs w:val="14"/>
                <w:b w:val="1"/>
                <w:bCs w:val="1"/>
                <w:color w:val="FFFFFF"/>
              </w:rPr>
              <w:t>Balance</w:t>
            </w:r>
          </w:p>
        </w:tc>
        <w:tc>
          <w:tcPr>
            <w:tcW w:w="920" w:type="dxa"/>
            <w:vAlign w:val="bottom"/>
            <w:shd w:val="clear" w:color="auto" w:fill="007CBA"/>
          </w:tcPr>
          <w:p>
            <w:pPr>
              <w:jc w:val="center"/>
              <w:ind w:left="245"/>
              <w:spacing w:after="0"/>
              <w:rPr>
                <w:sz w:val="20"/>
                <w:szCs w:val="20"/>
                <w:color w:val="auto"/>
              </w:rPr>
            </w:pPr>
            <w:r>
              <w:rPr>
                <w:rFonts w:ascii="Calibri" w:cs="Calibri" w:eastAsia="Calibri" w:hAnsi="Calibri"/>
                <w:sz w:val="14"/>
                <w:szCs w:val="14"/>
                <w:b w:val="1"/>
                <w:bCs w:val="1"/>
                <w:color w:val="FFFFFF"/>
                <w:w w:val="99"/>
              </w:rPr>
              <w:t>Charged</w:t>
            </w:r>
          </w:p>
        </w:tc>
        <w:tc>
          <w:tcPr>
            <w:tcW w:w="160" w:type="dxa"/>
            <w:vAlign w:val="bottom"/>
            <w:shd w:val="clear" w:color="auto" w:fill="007CBA"/>
          </w:tcPr>
          <w:p>
            <w:pPr>
              <w:spacing w:after="0"/>
              <w:rPr>
                <w:sz w:val="15"/>
                <w:szCs w:val="15"/>
                <w:color w:val="auto"/>
              </w:rPr>
            </w:pPr>
          </w:p>
        </w:tc>
        <w:tc>
          <w:tcPr>
            <w:tcW w:w="140" w:type="dxa"/>
            <w:vAlign w:val="bottom"/>
            <w:tcBorders>
              <w:right w:val="single" w:sz="8" w:color="007CBA"/>
            </w:tcBorders>
            <w:shd w:val="clear" w:color="auto" w:fill="007CBA"/>
          </w:tcPr>
          <w:p>
            <w:pPr>
              <w:spacing w:after="0"/>
              <w:rPr>
                <w:sz w:val="15"/>
                <w:szCs w:val="15"/>
                <w:color w:val="auto"/>
              </w:rPr>
            </w:pPr>
          </w:p>
        </w:tc>
        <w:tc>
          <w:tcPr>
            <w:tcW w:w="320" w:type="dxa"/>
            <w:vAlign w:val="bottom"/>
            <w:shd w:val="clear" w:color="auto" w:fill="007CBA"/>
          </w:tcPr>
          <w:p>
            <w:pPr>
              <w:spacing w:after="0"/>
              <w:rPr>
                <w:sz w:val="15"/>
                <w:szCs w:val="15"/>
                <w:color w:val="auto"/>
              </w:rPr>
            </w:pPr>
          </w:p>
        </w:tc>
        <w:tc>
          <w:tcPr>
            <w:tcW w:w="1220" w:type="dxa"/>
            <w:vAlign w:val="bottom"/>
            <w:gridSpan w:val="2"/>
            <w:shd w:val="clear" w:color="auto" w:fill="007CBA"/>
          </w:tcPr>
          <w:p>
            <w:pPr>
              <w:jc w:val="center"/>
              <w:ind w:right="620"/>
              <w:spacing w:after="0"/>
              <w:rPr>
                <w:sz w:val="20"/>
                <w:szCs w:val="20"/>
                <w:color w:val="auto"/>
              </w:rPr>
            </w:pPr>
            <w:r>
              <w:rPr>
                <w:rFonts w:ascii="Calibri" w:cs="Calibri" w:eastAsia="Calibri" w:hAnsi="Calibri"/>
                <w:sz w:val="14"/>
                <w:szCs w:val="14"/>
                <w:b w:val="1"/>
                <w:bCs w:val="1"/>
                <w:color w:val="FFFFFF"/>
                <w:w w:val="99"/>
              </w:rPr>
              <w:t>Charged</w:t>
            </w:r>
          </w:p>
        </w:tc>
        <w:tc>
          <w:tcPr>
            <w:tcW w:w="120" w:type="dxa"/>
            <w:vAlign w:val="bottom"/>
            <w:shd w:val="clear" w:color="auto" w:fill="007CBA"/>
          </w:tcPr>
          <w:p>
            <w:pPr>
              <w:spacing w:after="0"/>
              <w:rPr>
                <w:sz w:val="15"/>
                <w:szCs w:val="15"/>
                <w:color w:val="auto"/>
              </w:rPr>
            </w:pPr>
          </w:p>
        </w:tc>
        <w:tc>
          <w:tcPr>
            <w:tcW w:w="920" w:type="dxa"/>
            <w:vAlign w:val="bottom"/>
            <w:shd w:val="clear" w:color="auto" w:fill="007CBA"/>
          </w:tcPr>
          <w:p>
            <w:pPr>
              <w:spacing w:after="0"/>
              <w:rPr>
                <w:sz w:val="15"/>
                <w:szCs w:val="15"/>
                <w:color w:val="auto"/>
              </w:rPr>
            </w:pPr>
          </w:p>
        </w:tc>
        <w:tc>
          <w:tcPr>
            <w:tcW w:w="32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20" w:type="dxa"/>
            <w:vAlign w:val="bottom"/>
            <w:shd w:val="clear" w:color="auto" w:fill="007CBA"/>
          </w:tcPr>
          <w:p>
            <w:pPr>
              <w:spacing w:after="0"/>
              <w:rPr>
                <w:sz w:val="15"/>
                <w:szCs w:val="15"/>
                <w:color w:val="auto"/>
              </w:rPr>
            </w:pPr>
          </w:p>
        </w:tc>
      </w:tr>
      <w:tr>
        <w:trPr>
          <w:trHeight w:val="176"/>
        </w:trPr>
        <w:tc>
          <w:tcPr>
            <w:tcW w:w="472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20" w:type="dxa"/>
            <w:vAlign w:val="bottom"/>
            <w:tcBorders>
              <w:right w:val="single" w:sz="8" w:color="007CBA"/>
            </w:tcBorders>
            <w:shd w:val="clear" w:color="auto" w:fill="007CBA"/>
          </w:tcPr>
          <w:p>
            <w:pPr>
              <w:jc w:val="center"/>
              <w:ind w:right="205"/>
              <w:spacing w:after="0"/>
              <w:rPr>
                <w:sz w:val="20"/>
                <w:szCs w:val="20"/>
                <w:color w:val="auto"/>
              </w:rPr>
            </w:pPr>
            <w:r>
              <w:rPr>
                <w:rFonts w:ascii="Calibri" w:cs="Calibri" w:eastAsia="Calibri" w:hAnsi="Calibri"/>
                <w:sz w:val="14"/>
                <w:szCs w:val="14"/>
                <w:b w:val="1"/>
                <w:bCs w:val="1"/>
                <w:color w:val="FFFFFF"/>
              </w:rPr>
              <w:t>at</w:t>
            </w:r>
          </w:p>
        </w:tc>
        <w:tc>
          <w:tcPr>
            <w:tcW w:w="920" w:type="dxa"/>
            <w:vAlign w:val="bottom"/>
            <w:shd w:val="clear" w:color="auto" w:fill="007CBA"/>
          </w:tcPr>
          <w:p>
            <w:pPr>
              <w:jc w:val="center"/>
              <w:ind w:left="265"/>
              <w:spacing w:after="0"/>
              <w:rPr>
                <w:sz w:val="20"/>
                <w:szCs w:val="20"/>
                <w:color w:val="auto"/>
              </w:rPr>
            </w:pPr>
            <w:r>
              <w:rPr>
                <w:rFonts w:ascii="Calibri" w:cs="Calibri" w:eastAsia="Calibri" w:hAnsi="Calibri"/>
                <w:sz w:val="14"/>
                <w:szCs w:val="14"/>
                <w:b w:val="1"/>
                <w:bCs w:val="1"/>
                <w:color w:val="FFFFFF"/>
              </w:rPr>
              <w:t>to costs</w:t>
            </w:r>
          </w:p>
        </w:tc>
        <w:tc>
          <w:tcPr>
            <w:tcW w:w="160" w:type="dxa"/>
            <w:vAlign w:val="bottom"/>
            <w:shd w:val="clear" w:color="auto" w:fill="007CBA"/>
          </w:tcPr>
          <w:p>
            <w:pPr>
              <w:spacing w:after="0"/>
              <w:rPr>
                <w:sz w:val="15"/>
                <w:szCs w:val="15"/>
                <w:color w:val="auto"/>
              </w:rPr>
            </w:pPr>
          </w:p>
        </w:tc>
        <w:tc>
          <w:tcPr>
            <w:tcW w:w="140" w:type="dxa"/>
            <w:vAlign w:val="bottom"/>
            <w:tcBorders>
              <w:right w:val="single" w:sz="8" w:color="007CBA"/>
            </w:tcBorders>
            <w:shd w:val="clear" w:color="auto" w:fill="007CBA"/>
          </w:tcPr>
          <w:p>
            <w:pPr>
              <w:spacing w:after="0"/>
              <w:rPr>
                <w:sz w:val="15"/>
                <w:szCs w:val="15"/>
                <w:color w:val="auto"/>
              </w:rPr>
            </w:pPr>
          </w:p>
        </w:tc>
        <w:tc>
          <w:tcPr>
            <w:tcW w:w="320" w:type="dxa"/>
            <w:vAlign w:val="bottom"/>
            <w:shd w:val="clear" w:color="auto" w:fill="007CBA"/>
          </w:tcPr>
          <w:p>
            <w:pPr>
              <w:spacing w:after="0"/>
              <w:rPr>
                <w:sz w:val="15"/>
                <w:szCs w:val="15"/>
                <w:color w:val="auto"/>
              </w:rPr>
            </w:pPr>
          </w:p>
        </w:tc>
        <w:tc>
          <w:tcPr>
            <w:tcW w:w="1220" w:type="dxa"/>
            <w:vAlign w:val="bottom"/>
            <w:gridSpan w:val="2"/>
            <w:shd w:val="clear" w:color="auto" w:fill="007CBA"/>
          </w:tcPr>
          <w:p>
            <w:pPr>
              <w:jc w:val="center"/>
              <w:ind w:right="620"/>
              <w:spacing w:after="0"/>
              <w:rPr>
                <w:sz w:val="20"/>
                <w:szCs w:val="20"/>
                <w:color w:val="auto"/>
              </w:rPr>
            </w:pPr>
            <w:r>
              <w:rPr>
                <w:rFonts w:ascii="Calibri" w:cs="Calibri" w:eastAsia="Calibri" w:hAnsi="Calibri"/>
                <w:sz w:val="14"/>
                <w:szCs w:val="14"/>
                <w:b w:val="1"/>
                <w:bCs w:val="1"/>
                <w:color w:val="FFFFFF"/>
              </w:rPr>
              <w:t>to other</w:t>
            </w:r>
          </w:p>
        </w:tc>
        <w:tc>
          <w:tcPr>
            <w:tcW w:w="120" w:type="dxa"/>
            <w:vAlign w:val="bottom"/>
            <w:shd w:val="clear" w:color="auto" w:fill="007CBA"/>
          </w:tcPr>
          <w:p>
            <w:pPr>
              <w:spacing w:after="0"/>
              <w:rPr>
                <w:sz w:val="15"/>
                <w:szCs w:val="15"/>
                <w:color w:val="auto"/>
              </w:rPr>
            </w:pPr>
          </w:p>
        </w:tc>
        <w:tc>
          <w:tcPr>
            <w:tcW w:w="920" w:type="dxa"/>
            <w:vAlign w:val="bottom"/>
            <w:shd w:val="clear" w:color="auto" w:fill="007CBA"/>
          </w:tcPr>
          <w:p>
            <w:pPr>
              <w:spacing w:after="0"/>
              <w:rPr>
                <w:sz w:val="15"/>
                <w:szCs w:val="15"/>
                <w:color w:val="auto"/>
              </w:rPr>
            </w:pPr>
          </w:p>
        </w:tc>
        <w:tc>
          <w:tcPr>
            <w:tcW w:w="32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20" w:type="dxa"/>
            <w:vAlign w:val="bottom"/>
            <w:shd w:val="clear" w:color="auto" w:fill="007CBA"/>
          </w:tcPr>
          <w:p>
            <w:pPr>
              <w:jc w:val="center"/>
              <w:ind w:right="184"/>
              <w:spacing w:after="0"/>
              <w:rPr>
                <w:sz w:val="20"/>
                <w:szCs w:val="20"/>
                <w:color w:val="auto"/>
              </w:rPr>
            </w:pPr>
            <w:r>
              <w:rPr>
                <w:rFonts w:ascii="Calibri" w:cs="Calibri" w:eastAsia="Calibri" w:hAnsi="Calibri"/>
                <w:sz w:val="14"/>
                <w:szCs w:val="14"/>
                <w:b w:val="1"/>
                <w:bCs w:val="1"/>
                <w:color w:val="FFFFFF"/>
              </w:rPr>
              <w:t>Balance</w:t>
            </w:r>
          </w:p>
        </w:tc>
      </w:tr>
      <w:tr>
        <w:trPr>
          <w:trHeight w:val="175"/>
        </w:trPr>
        <w:tc>
          <w:tcPr>
            <w:tcW w:w="472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20" w:type="dxa"/>
            <w:vAlign w:val="bottom"/>
            <w:tcBorders>
              <w:right w:val="single" w:sz="8" w:color="007CBA"/>
            </w:tcBorders>
            <w:shd w:val="clear" w:color="auto" w:fill="007CBA"/>
          </w:tcPr>
          <w:p>
            <w:pPr>
              <w:jc w:val="center"/>
              <w:ind w:right="185"/>
              <w:spacing w:after="0"/>
              <w:rPr>
                <w:sz w:val="20"/>
                <w:szCs w:val="20"/>
                <w:color w:val="auto"/>
              </w:rPr>
            </w:pPr>
            <w:r>
              <w:rPr>
                <w:rFonts w:ascii="Calibri" w:cs="Calibri" w:eastAsia="Calibri" w:hAnsi="Calibri"/>
                <w:sz w:val="14"/>
                <w:szCs w:val="14"/>
                <w:b w:val="1"/>
                <w:bCs w:val="1"/>
                <w:color w:val="FFFFFF"/>
              </w:rPr>
              <w:t>beginning</w:t>
            </w:r>
          </w:p>
        </w:tc>
        <w:tc>
          <w:tcPr>
            <w:tcW w:w="920" w:type="dxa"/>
            <w:vAlign w:val="bottom"/>
            <w:shd w:val="clear" w:color="auto" w:fill="007CBA"/>
          </w:tcPr>
          <w:p>
            <w:pPr>
              <w:jc w:val="center"/>
              <w:ind w:left="265"/>
              <w:spacing w:after="0"/>
              <w:rPr>
                <w:sz w:val="20"/>
                <w:szCs w:val="20"/>
                <w:color w:val="auto"/>
              </w:rPr>
            </w:pPr>
            <w:r>
              <w:rPr>
                <w:rFonts w:ascii="Calibri" w:cs="Calibri" w:eastAsia="Calibri" w:hAnsi="Calibri"/>
                <w:sz w:val="14"/>
                <w:szCs w:val="14"/>
                <w:b w:val="1"/>
                <w:bCs w:val="1"/>
                <w:color w:val="FFFFFF"/>
                <w:w w:val="99"/>
              </w:rPr>
              <w:t>and</w:t>
            </w:r>
          </w:p>
        </w:tc>
        <w:tc>
          <w:tcPr>
            <w:tcW w:w="160" w:type="dxa"/>
            <w:vAlign w:val="bottom"/>
            <w:shd w:val="clear" w:color="auto" w:fill="007CBA"/>
          </w:tcPr>
          <w:p>
            <w:pPr>
              <w:spacing w:after="0"/>
              <w:rPr>
                <w:sz w:val="15"/>
                <w:szCs w:val="15"/>
                <w:color w:val="auto"/>
              </w:rPr>
            </w:pPr>
          </w:p>
        </w:tc>
        <w:tc>
          <w:tcPr>
            <w:tcW w:w="140" w:type="dxa"/>
            <w:vAlign w:val="bottom"/>
            <w:tcBorders>
              <w:right w:val="single" w:sz="8" w:color="007CBA"/>
            </w:tcBorders>
            <w:shd w:val="clear" w:color="auto" w:fill="007CBA"/>
          </w:tcPr>
          <w:p>
            <w:pPr>
              <w:spacing w:after="0"/>
              <w:rPr>
                <w:sz w:val="15"/>
                <w:szCs w:val="15"/>
                <w:color w:val="auto"/>
              </w:rPr>
            </w:pPr>
          </w:p>
        </w:tc>
        <w:tc>
          <w:tcPr>
            <w:tcW w:w="320" w:type="dxa"/>
            <w:vAlign w:val="bottom"/>
            <w:shd w:val="clear" w:color="auto" w:fill="007CBA"/>
          </w:tcPr>
          <w:p>
            <w:pPr>
              <w:spacing w:after="0"/>
              <w:rPr>
                <w:sz w:val="15"/>
                <w:szCs w:val="15"/>
                <w:color w:val="auto"/>
              </w:rPr>
            </w:pPr>
          </w:p>
        </w:tc>
        <w:tc>
          <w:tcPr>
            <w:tcW w:w="1220" w:type="dxa"/>
            <w:vAlign w:val="bottom"/>
            <w:gridSpan w:val="2"/>
            <w:shd w:val="clear" w:color="auto" w:fill="007CBA"/>
          </w:tcPr>
          <w:p>
            <w:pPr>
              <w:jc w:val="center"/>
              <w:ind w:right="620"/>
              <w:spacing w:after="0"/>
              <w:rPr>
                <w:sz w:val="20"/>
                <w:szCs w:val="20"/>
                <w:color w:val="auto"/>
              </w:rPr>
            </w:pPr>
            <w:r>
              <w:rPr>
                <w:rFonts w:ascii="Calibri" w:cs="Calibri" w:eastAsia="Calibri" w:hAnsi="Calibri"/>
                <w:sz w:val="14"/>
                <w:szCs w:val="14"/>
                <w:b w:val="1"/>
                <w:bCs w:val="1"/>
                <w:color w:val="FFFFFF"/>
              </w:rPr>
              <w:t>accounts-</w:t>
            </w:r>
          </w:p>
        </w:tc>
        <w:tc>
          <w:tcPr>
            <w:tcW w:w="120" w:type="dxa"/>
            <w:vAlign w:val="bottom"/>
            <w:shd w:val="clear" w:color="auto" w:fill="007CBA"/>
          </w:tcPr>
          <w:p>
            <w:pPr>
              <w:spacing w:after="0"/>
              <w:rPr>
                <w:sz w:val="15"/>
                <w:szCs w:val="15"/>
                <w:color w:val="auto"/>
              </w:rPr>
            </w:pPr>
          </w:p>
        </w:tc>
        <w:tc>
          <w:tcPr>
            <w:tcW w:w="920" w:type="dxa"/>
            <w:vAlign w:val="bottom"/>
            <w:shd w:val="clear" w:color="auto" w:fill="007CBA"/>
          </w:tcPr>
          <w:p>
            <w:pPr>
              <w:jc w:val="center"/>
              <w:ind w:right="84"/>
              <w:spacing w:after="0"/>
              <w:rPr>
                <w:sz w:val="20"/>
                <w:szCs w:val="20"/>
                <w:color w:val="auto"/>
              </w:rPr>
            </w:pPr>
            <w:r>
              <w:rPr>
                <w:rFonts w:ascii="Calibri" w:cs="Calibri" w:eastAsia="Calibri" w:hAnsi="Calibri"/>
                <w:sz w:val="14"/>
                <w:szCs w:val="14"/>
                <w:b w:val="1"/>
                <w:bCs w:val="1"/>
                <w:color w:val="FFFFFF"/>
              </w:rPr>
              <w:t>Deductons-</w:t>
            </w:r>
          </w:p>
        </w:tc>
        <w:tc>
          <w:tcPr>
            <w:tcW w:w="32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20" w:type="dxa"/>
            <w:vAlign w:val="bottom"/>
            <w:shd w:val="clear" w:color="auto" w:fill="007CBA"/>
          </w:tcPr>
          <w:p>
            <w:pPr>
              <w:jc w:val="center"/>
              <w:ind w:right="184"/>
              <w:spacing w:after="0"/>
              <w:rPr>
                <w:sz w:val="20"/>
                <w:szCs w:val="20"/>
                <w:color w:val="auto"/>
              </w:rPr>
            </w:pPr>
            <w:r>
              <w:rPr>
                <w:rFonts w:ascii="Calibri" w:cs="Calibri" w:eastAsia="Calibri" w:hAnsi="Calibri"/>
                <w:sz w:val="14"/>
                <w:szCs w:val="14"/>
                <w:b w:val="1"/>
                <w:bCs w:val="1"/>
                <w:color w:val="FFFFFF"/>
              </w:rPr>
              <w:t>at end of</w:t>
            </w:r>
          </w:p>
        </w:tc>
      </w:tr>
      <w:tr>
        <w:trPr>
          <w:trHeight w:val="176"/>
        </w:trPr>
        <w:tc>
          <w:tcPr>
            <w:tcW w:w="4720" w:type="dxa"/>
            <w:vAlign w:val="bottom"/>
            <w:tcBorders>
              <w:right w:val="single" w:sz="8" w:color="007CBA"/>
            </w:tcBorders>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Descripton</w:t>
            </w:r>
          </w:p>
        </w:tc>
        <w:tc>
          <w:tcPr>
            <w:tcW w:w="280" w:type="dxa"/>
            <w:vAlign w:val="bottom"/>
            <w:shd w:val="clear" w:color="auto" w:fill="007CBA"/>
          </w:tcPr>
          <w:p>
            <w:pPr>
              <w:spacing w:after="0"/>
              <w:rPr>
                <w:sz w:val="15"/>
                <w:szCs w:val="15"/>
                <w:color w:val="auto"/>
              </w:rPr>
            </w:pPr>
          </w:p>
        </w:tc>
        <w:tc>
          <w:tcPr>
            <w:tcW w:w="920" w:type="dxa"/>
            <w:vAlign w:val="bottom"/>
            <w:tcBorders>
              <w:right w:val="single" w:sz="8" w:color="007CBA"/>
            </w:tcBorders>
            <w:shd w:val="clear" w:color="auto" w:fill="007CBA"/>
          </w:tcPr>
          <w:p>
            <w:pPr>
              <w:jc w:val="center"/>
              <w:ind w:right="185"/>
              <w:spacing w:after="0"/>
              <w:rPr>
                <w:sz w:val="20"/>
                <w:szCs w:val="20"/>
                <w:color w:val="auto"/>
              </w:rPr>
            </w:pPr>
            <w:r>
              <w:rPr>
                <w:rFonts w:ascii="Calibri" w:cs="Calibri" w:eastAsia="Calibri" w:hAnsi="Calibri"/>
                <w:sz w:val="14"/>
                <w:szCs w:val="14"/>
                <w:b w:val="1"/>
                <w:bCs w:val="1"/>
                <w:color w:val="FFFFFF"/>
              </w:rPr>
              <w:t>of period</w:t>
            </w:r>
          </w:p>
        </w:tc>
        <w:tc>
          <w:tcPr>
            <w:tcW w:w="920" w:type="dxa"/>
            <w:vAlign w:val="bottom"/>
            <w:shd w:val="clear" w:color="auto" w:fill="007CBA"/>
          </w:tcPr>
          <w:p>
            <w:pPr>
              <w:jc w:val="center"/>
              <w:ind w:left="245"/>
              <w:spacing w:after="0"/>
              <w:rPr>
                <w:sz w:val="20"/>
                <w:szCs w:val="20"/>
                <w:color w:val="auto"/>
              </w:rPr>
            </w:pPr>
            <w:r>
              <w:rPr>
                <w:rFonts w:ascii="Calibri" w:cs="Calibri" w:eastAsia="Calibri" w:hAnsi="Calibri"/>
                <w:sz w:val="14"/>
                <w:szCs w:val="14"/>
                <w:b w:val="1"/>
                <w:bCs w:val="1"/>
                <w:color w:val="FFFFFF"/>
              </w:rPr>
              <w:t>expenses</w:t>
            </w:r>
          </w:p>
        </w:tc>
        <w:tc>
          <w:tcPr>
            <w:tcW w:w="160" w:type="dxa"/>
            <w:vAlign w:val="bottom"/>
            <w:shd w:val="clear" w:color="auto" w:fill="007CBA"/>
          </w:tcPr>
          <w:p>
            <w:pPr>
              <w:spacing w:after="0"/>
              <w:rPr>
                <w:sz w:val="15"/>
                <w:szCs w:val="15"/>
                <w:color w:val="auto"/>
              </w:rPr>
            </w:pPr>
          </w:p>
        </w:tc>
        <w:tc>
          <w:tcPr>
            <w:tcW w:w="140" w:type="dxa"/>
            <w:vAlign w:val="bottom"/>
            <w:tcBorders>
              <w:right w:val="single" w:sz="8" w:color="007CBA"/>
            </w:tcBorders>
            <w:shd w:val="clear" w:color="auto" w:fill="007CBA"/>
          </w:tcPr>
          <w:p>
            <w:pPr>
              <w:spacing w:after="0"/>
              <w:rPr>
                <w:sz w:val="15"/>
                <w:szCs w:val="15"/>
                <w:color w:val="auto"/>
              </w:rPr>
            </w:pPr>
          </w:p>
        </w:tc>
        <w:tc>
          <w:tcPr>
            <w:tcW w:w="320" w:type="dxa"/>
            <w:vAlign w:val="bottom"/>
            <w:shd w:val="clear" w:color="auto" w:fill="007CBA"/>
          </w:tcPr>
          <w:p>
            <w:pPr>
              <w:spacing w:after="0"/>
              <w:rPr>
                <w:sz w:val="15"/>
                <w:szCs w:val="15"/>
                <w:color w:val="auto"/>
              </w:rPr>
            </w:pPr>
          </w:p>
        </w:tc>
        <w:tc>
          <w:tcPr>
            <w:tcW w:w="1220" w:type="dxa"/>
            <w:vAlign w:val="bottom"/>
            <w:gridSpan w:val="2"/>
            <w:shd w:val="clear" w:color="auto" w:fill="007CBA"/>
          </w:tcPr>
          <w:p>
            <w:pPr>
              <w:jc w:val="center"/>
              <w:ind w:right="640"/>
              <w:spacing w:after="0"/>
              <w:rPr>
                <w:sz w:val="20"/>
                <w:szCs w:val="20"/>
                <w:color w:val="auto"/>
              </w:rPr>
            </w:pPr>
            <w:r>
              <w:rPr>
                <w:rFonts w:ascii="Calibri" w:cs="Calibri" w:eastAsia="Calibri" w:hAnsi="Calibri"/>
                <w:sz w:val="14"/>
                <w:szCs w:val="14"/>
                <w:b w:val="1"/>
                <w:bCs w:val="1"/>
                <w:color w:val="FFFFFF"/>
              </w:rPr>
              <w:t>describe</w:t>
            </w:r>
          </w:p>
        </w:tc>
        <w:tc>
          <w:tcPr>
            <w:tcW w:w="120" w:type="dxa"/>
            <w:vAlign w:val="bottom"/>
            <w:shd w:val="clear" w:color="auto" w:fill="007CBA"/>
          </w:tcPr>
          <w:p>
            <w:pPr>
              <w:spacing w:after="0"/>
              <w:rPr>
                <w:sz w:val="15"/>
                <w:szCs w:val="15"/>
                <w:color w:val="auto"/>
              </w:rPr>
            </w:pPr>
          </w:p>
        </w:tc>
        <w:tc>
          <w:tcPr>
            <w:tcW w:w="920" w:type="dxa"/>
            <w:vAlign w:val="bottom"/>
            <w:shd w:val="clear" w:color="auto" w:fill="007CBA"/>
          </w:tcPr>
          <w:p>
            <w:pPr>
              <w:jc w:val="center"/>
              <w:ind w:right="104"/>
              <w:spacing w:after="0"/>
              <w:rPr>
                <w:sz w:val="20"/>
                <w:szCs w:val="20"/>
                <w:color w:val="auto"/>
              </w:rPr>
            </w:pPr>
            <w:r>
              <w:rPr>
                <w:rFonts w:ascii="Calibri" w:cs="Calibri" w:eastAsia="Calibri" w:hAnsi="Calibri"/>
                <w:sz w:val="14"/>
                <w:szCs w:val="14"/>
                <w:b w:val="1"/>
                <w:bCs w:val="1"/>
                <w:color w:val="FFFFFF"/>
              </w:rPr>
              <w:t>describe</w:t>
            </w:r>
          </w:p>
        </w:tc>
        <w:tc>
          <w:tcPr>
            <w:tcW w:w="32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20" w:type="dxa"/>
            <w:vAlign w:val="bottom"/>
            <w:shd w:val="clear" w:color="auto" w:fill="007CBA"/>
          </w:tcPr>
          <w:p>
            <w:pPr>
              <w:jc w:val="center"/>
              <w:ind w:right="184"/>
              <w:spacing w:after="0"/>
              <w:rPr>
                <w:sz w:val="20"/>
                <w:szCs w:val="20"/>
                <w:color w:val="auto"/>
              </w:rPr>
            </w:pPr>
            <w:r>
              <w:rPr>
                <w:rFonts w:ascii="Calibri" w:cs="Calibri" w:eastAsia="Calibri" w:hAnsi="Calibri"/>
                <w:sz w:val="14"/>
                <w:szCs w:val="14"/>
                <w:b w:val="1"/>
                <w:bCs w:val="1"/>
                <w:color w:val="FFFFFF"/>
                <w:w w:val="99"/>
              </w:rPr>
              <w:t>period</w:t>
            </w:r>
          </w:p>
        </w:tc>
      </w:tr>
      <w:tr>
        <w:trPr>
          <w:trHeight w:val="209"/>
        </w:trPr>
        <w:tc>
          <w:tcPr>
            <w:tcW w:w="472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920" w:type="dxa"/>
            <w:vAlign w:val="bottom"/>
            <w:tcBorders>
              <w:right w:val="single" w:sz="8" w:color="007CBA"/>
            </w:tcBorders>
            <w:shd w:val="clear" w:color="auto" w:fill="007CBA"/>
          </w:tcPr>
          <w:p>
            <w:pPr>
              <w:spacing w:after="0"/>
              <w:rPr>
                <w:sz w:val="18"/>
                <w:szCs w:val="18"/>
                <w:color w:val="auto"/>
              </w:rPr>
            </w:pPr>
          </w:p>
        </w:tc>
        <w:tc>
          <w:tcPr>
            <w:tcW w:w="920" w:type="dxa"/>
            <w:vAlign w:val="bottom"/>
            <w:shd w:val="clear" w:color="auto" w:fill="007CBA"/>
          </w:tcPr>
          <w:p>
            <w:pPr>
              <w:spacing w:after="0"/>
              <w:rPr>
                <w:sz w:val="18"/>
                <w:szCs w:val="18"/>
                <w:color w:val="auto"/>
              </w:rPr>
            </w:pPr>
          </w:p>
        </w:tc>
        <w:tc>
          <w:tcPr>
            <w:tcW w:w="160" w:type="dxa"/>
            <w:vAlign w:val="bottom"/>
            <w:shd w:val="clear" w:color="auto" w:fill="007CBA"/>
          </w:tcPr>
          <w:p>
            <w:pPr>
              <w:spacing w:after="0"/>
              <w:rPr>
                <w:sz w:val="18"/>
                <w:szCs w:val="18"/>
                <w:color w:val="auto"/>
              </w:rPr>
            </w:pPr>
          </w:p>
        </w:tc>
        <w:tc>
          <w:tcPr>
            <w:tcW w:w="140" w:type="dxa"/>
            <w:vAlign w:val="bottom"/>
            <w:tcBorders>
              <w:right w:val="single" w:sz="8" w:color="007CBA"/>
            </w:tcBorders>
            <w:shd w:val="clear" w:color="auto" w:fill="007CBA"/>
          </w:tcPr>
          <w:p>
            <w:pPr>
              <w:spacing w:after="0"/>
              <w:rPr>
                <w:sz w:val="18"/>
                <w:szCs w:val="18"/>
                <w:color w:val="auto"/>
              </w:rPr>
            </w:pPr>
          </w:p>
        </w:tc>
        <w:tc>
          <w:tcPr>
            <w:tcW w:w="1540" w:type="dxa"/>
            <w:vAlign w:val="bottom"/>
            <w:gridSpan w:val="3"/>
            <w:shd w:val="clear" w:color="auto" w:fill="007CBA"/>
          </w:tcPr>
          <w:p>
            <w:pPr>
              <w:ind w:left="200"/>
              <w:spacing w:after="0"/>
              <w:rPr>
                <w:sz w:val="20"/>
                <w:szCs w:val="20"/>
                <w:color w:val="auto"/>
              </w:rPr>
            </w:pPr>
            <w:r>
              <w:rPr>
                <w:rFonts w:ascii="Calibri" w:cs="Calibri" w:eastAsia="Calibri" w:hAnsi="Calibri"/>
                <w:sz w:val="14"/>
                <w:szCs w:val="14"/>
                <w:b w:val="1"/>
                <w:bCs w:val="1"/>
                <w:color w:val="FFFFFF"/>
              </w:rPr>
              <w:t>(Amounts in Millions)</w:t>
            </w:r>
          </w:p>
        </w:tc>
        <w:tc>
          <w:tcPr>
            <w:tcW w:w="120" w:type="dxa"/>
            <w:vAlign w:val="bottom"/>
            <w:shd w:val="clear" w:color="auto" w:fill="007CBA"/>
          </w:tcPr>
          <w:p>
            <w:pPr>
              <w:spacing w:after="0"/>
              <w:rPr>
                <w:sz w:val="18"/>
                <w:szCs w:val="18"/>
                <w:color w:val="auto"/>
              </w:rPr>
            </w:pPr>
          </w:p>
        </w:tc>
        <w:tc>
          <w:tcPr>
            <w:tcW w:w="920" w:type="dxa"/>
            <w:vAlign w:val="bottom"/>
            <w:shd w:val="clear" w:color="auto" w:fill="007CBA"/>
          </w:tcPr>
          <w:p>
            <w:pPr>
              <w:spacing w:after="0"/>
              <w:rPr>
                <w:sz w:val="18"/>
                <w:szCs w:val="18"/>
                <w:color w:val="auto"/>
              </w:rPr>
            </w:pPr>
          </w:p>
        </w:tc>
        <w:tc>
          <w:tcPr>
            <w:tcW w:w="32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920" w:type="dxa"/>
            <w:vAlign w:val="bottom"/>
            <w:shd w:val="clear" w:color="auto" w:fill="007CBA"/>
          </w:tcPr>
          <w:p>
            <w:pPr>
              <w:spacing w:after="0"/>
              <w:rPr>
                <w:sz w:val="18"/>
                <w:szCs w:val="18"/>
                <w:color w:val="auto"/>
              </w:rPr>
            </w:pPr>
          </w:p>
        </w:tc>
      </w:tr>
      <w:tr>
        <w:trPr>
          <w:trHeight w:val="198"/>
        </w:trPr>
        <w:tc>
          <w:tcPr>
            <w:tcW w:w="472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b w:val="1"/>
                <w:bCs w:val="1"/>
                <w:color w:val="auto"/>
              </w:rPr>
              <w:t>Year ended December 31, 2024</w:t>
            </w:r>
          </w:p>
        </w:tc>
        <w:tc>
          <w:tcPr>
            <w:tcW w:w="280" w:type="dxa"/>
            <w:vAlign w:val="bottom"/>
          </w:tcPr>
          <w:p>
            <w:pPr>
              <w:spacing w:after="0"/>
              <w:rPr>
                <w:sz w:val="17"/>
                <w:szCs w:val="17"/>
                <w:color w:val="auto"/>
              </w:rPr>
            </w:pPr>
          </w:p>
        </w:tc>
        <w:tc>
          <w:tcPr>
            <w:tcW w:w="920" w:type="dxa"/>
            <w:vAlign w:val="bottom"/>
            <w:tcBorders>
              <w:right w:val="single" w:sz="8" w:color="007CBA"/>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007CBA"/>
            </w:tcBorders>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Borders>
              <w:right w:val="single" w:sz="8" w:color="007CBA"/>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Borders>
              <w:right w:val="single" w:sz="8" w:color="007CBA"/>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4720" w:type="dxa"/>
            <w:vAlign w:val="bottom"/>
            <w:tcBorders>
              <w:right w:val="single" w:sz="8" w:color="007CBA"/>
            </w:tcBorders>
            <w:shd w:val="clear" w:color="auto" w:fill="E5F1F8"/>
          </w:tcPr>
          <w:p>
            <w:pPr>
              <w:ind w:left="120"/>
              <w:spacing w:after="0"/>
              <w:rPr>
                <w:sz w:val="20"/>
                <w:szCs w:val="20"/>
                <w:color w:val="auto"/>
              </w:rPr>
            </w:pPr>
            <w:r>
              <w:rPr>
                <w:rFonts w:ascii="Calibri" w:cs="Calibri" w:eastAsia="Calibri" w:hAnsi="Calibri"/>
                <w:sz w:val="16"/>
                <w:szCs w:val="16"/>
                <w:color w:val="auto"/>
              </w:rPr>
              <w:t>Allowance for estmated credit losses</w:t>
            </w:r>
          </w:p>
        </w:tc>
        <w:tc>
          <w:tcPr>
            <w:tcW w:w="280" w:type="dxa"/>
            <w:vAlign w:val="bottom"/>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920" w:type="dxa"/>
            <w:vAlign w:val="bottom"/>
            <w:tcBorders>
              <w:right w:val="single" w:sz="8" w:color="007CBA"/>
            </w:tcBorders>
            <w:shd w:val="clear" w:color="auto" w:fill="E5F1F8"/>
          </w:tcPr>
          <w:p>
            <w:pPr>
              <w:jc w:val="right"/>
              <w:ind w:right="65"/>
              <w:spacing w:after="0"/>
              <w:rPr>
                <w:sz w:val="20"/>
                <w:szCs w:val="20"/>
                <w:color w:val="auto"/>
              </w:rPr>
            </w:pPr>
            <w:r>
              <w:rPr>
                <w:rFonts w:ascii="Calibri" w:cs="Calibri" w:eastAsia="Calibri" w:hAnsi="Calibri"/>
                <w:sz w:val="16"/>
                <w:szCs w:val="16"/>
                <w:color w:val="auto"/>
              </w:rPr>
              <w:t>12</w:t>
            </w:r>
          </w:p>
        </w:tc>
        <w:tc>
          <w:tcPr>
            <w:tcW w:w="920" w:type="dxa"/>
            <w:vAlign w:val="bottom"/>
            <w:shd w:val="clear" w:color="auto" w:fill="E5F1F8"/>
          </w:tcPr>
          <w:p>
            <w:pPr>
              <w:jc w:val="right"/>
              <w:ind w:right="605"/>
              <w:spacing w:after="0"/>
              <w:rPr>
                <w:sz w:val="20"/>
                <w:szCs w:val="20"/>
                <w:color w:val="auto"/>
              </w:rPr>
            </w:pPr>
            <w:r>
              <w:rPr>
                <w:rFonts w:ascii="Calibri" w:cs="Calibri" w:eastAsia="Calibri" w:hAnsi="Calibri"/>
                <w:sz w:val="16"/>
                <w:szCs w:val="16"/>
                <w:color w:val="auto"/>
              </w:rPr>
              <w:t>$</w:t>
            </w:r>
          </w:p>
        </w:tc>
        <w:tc>
          <w:tcPr>
            <w:tcW w:w="160" w:type="dxa"/>
            <w:vAlign w:val="bottom"/>
            <w:shd w:val="clear" w:color="auto" w:fill="E5F1F8"/>
          </w:tcPr>
          <w:p>
            <w:pPr>
              <w:jc w:val="right"/>
              <w:spacing w:after="0"/>
              <w:rPr>
                <w:sz w:val="20"/>
                <w:szCs w:val="20"/>
                <w:color w:val="auto"/>
              </w:rPr>
            </w:pPr>
            <w:r>
              <w:rPr>
                <w:rFonts w:ascii="Calibri" w:cs="Calibri" w:eastAsia="Calibri" w:hAnsi="Calibri"/>
                <w:sz w:val="16"/>
                <w:szCs w:val="16"/>
                <w:color w:val="auto"/>
                <w:w w:val="96"/>
              </w:rPr>
              <w:t>—</w:t>
            </w:r>
          </w:p>
        </w:tc>
        <w:tc>
          <w:tcPr>
            <w:tcW w:w="140" w:type="dxa"/>
            <w:vAlign w:val="bottom"/>
            <w:tcBorders>
              <w:right w:val="single" w:sz="8" w:color="007CBA"/>
            </w:tcBorders>
            <w:shd w:val="clear" w:color="auto" w:fill="E5F1F8"/>
          </w:tcPr>
          <w:p>
            <w:pPr>
              <w:spacing w:after="0"/>
              <w:rPr>
                <w:sz w:val="18"/>
                <w:szCs w:val="18"/>
                <w:color w:val="auto"/>
              </w:rPr>
            </w:pPr>
          </w:p>
        </w:tc>
        <w:tc>
          <w:tcPr>
            <w:tcW w:w="320" w:type="dxa"/>
            <w:vAlign w:val="bottom"/>
            <w:shd w:val="clear" w:color="auto" w:fill="E5F1F8"/>
          </w:tcPr>
          <w:p>
            <w:pPr>
              <w:jc w:val="right"/>
              <w:ind w:right="1"/>
              <w:spacing w:after="0"/>
              <w:rPr>
                <w:sz w:val="20"/>
                <w:szCs w:val="20"/>
                <w:color w:val="auto"/>
              </w:rPr>
            </w:pPr>
            <w:r>
              <w:rPr>
                <w:rFonts w:ascii="Calibri" w:cs="Calibri" w:eastAsia="Calibri" w:hAnsi="Calibri"/>
                <w:sz w:val="16"/>
                <w:szCs w:val="16"/>
                <w:color w:val="auto"/>
              </w:rPr>
              <w:t>$</w:t>
            </w:r>
          </w:p>
        </w:tc>
        <w:tc>
          <w:tcPr>
            <w:tcW w:w="1100" w:type="dxa"/>
            <w:vAlign w:val="bottom"/>
            <w:tcBorders>
              <w:right w:val="single" w:sz="8" w:color="007CBA"/>
            </w:tcBorders>
            <w:shd w:val="clear" w:color="auto" w:fill="E5F1F8"/>
          </w:tcPr>
          <w:p>
            <w:pPr>
              <w:ind w:left="6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5F1F8"/>
          </w:tcPr>
          <w:p>
            <w:pPr>
              <w:spacing w:after="0"/>
              <w:rPr>
                <w:sz w:val="18"/>
                <w:szCs w:val="18"/>
                <w:color w:val="auto"/>
              </w:rPr>
            </w:pPr>
          </w:p>
        </w:tc>
        <w:tc>
          <w:tcPr>
            <w:tcW w:w="120" w:type="dxa"/>
            <w:vAlign w:val="bottom"/>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920" w:type="dxa"/>
            <w:vAlign w:val="bottom"/>
            <w:shd w:val="clear" w:color="auto" w:fill="E5F1F8"/>
          </w:tcPr>
          <w:p>
            <w:pPr>
              <w:jc w:val="right"/>
              <w:ind w:right="4"/>
              <w:spacing w:after="0"/>
              <w:rPr>
                <w:sz w:val="20"/>
                <w:szCs w:val="20"/>
                <w:color w:val="auto"/>
              </w:rPr>
            </w:pPr>
            <w:r>
              <w:rPr>
                <w:rFonts w:ascii="Calibri" w:cs="Calibri" w:eastAsia="Calibri" w:hAnsi="Calibri"/>
                <w:sz w:val="16"/>
                <w:szCs w:val="16"/>
                <w:color w:val="auto"/>
              </w:rPr>
              <w:t>4</w:t>
            </w:r>
          </w:p>
        </w:tc>
        <w:tc>
          <w:tcPr>
            <w:tcW w:w="320" w:type="dxa"/>
            <w:vAlign w:val="bottom"/>
            <w:tcBorders>
              <w:right w:val="single" w:sz="8" w:color="007CBA"/>
            </w:tcBorders>
            <w:shd w:val="clear" w:color="auto" w:fill="E5F1F8"/>
          </w:tcPr>
          <w:p>
            <w:pPr>
              <w:ind w:left="80"/>
              <w:spacing w:after="0" w:line="132" w:lineRule="exact"/>
              <w:rPr>
                <w:sz w:val="20"/>
                <w:szCs w:val="20"/>
                <w:color w:val="auto"/>
              </w:rPr>
            </w:pPr>
            <w:r>
              <w:rPr>
                <w:rFonts w:ascii="Calibri" w:cs="Calibri" w:eastAsia="Calibri" w:hAnsi="Calibri"/>
                <w:sz w:val="11"/>
                <w:szCs w:val="11"/>
                <w:color w:val="auto"/>
              </w:rPr>
              <w:t>(a)</w:t>
            </w:r>
          </w:p>
        </w:tc>
        <w:tc>
          <w:tcPr>
            <w:tcW w:w="280" w:type="dxa"/>
            <w:vAlign w:val="bottom"/>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920" w:type="dxa"/>
            <w:vAlign w:val="bottom"/>
            <w:shd w:val="clear" w:color="auto" w:fill="E5F1F8"/>
          </w:tcPr>
          <w:p>
            <w:pPr>
              <w:jc w:val="right"/>
              <w:ind w:right="64"/>
              <w:spacing w:after="0"/>
              <w:rPr>
                <w:sz w:val="20"/>
                <w:szCs w:val="20"/>
                <w:color w:val="auto"/>
              </w:rPr>
            </w:pPr>
            <w:r>
              <w:rPr>
                <w:rFonts w:ascii="Calibri" w:cs="Calibri" w:eastAsia="Calibri" w:hAnsi="Calibri"/>
                <w:sz w:val="16"/>
                <w:szCs w:val="16"/>
                <w:color w:val="auto"/>
              </w:rPr>
              <w:t>8</w:t>
            </w:r>
          </w:p>
        </w:tc>
      </w:tr>
      <w:tr>
        <w:trPr>
          <w:trHeight w:val="203"/>
        </w:trPr>
        <w:tc>
          <w:tcPr>
            <w:tcW w:w="4720" w:type="dxa"/>
            <w:vAlign w:val="bottom"/>
            <w:tcBorders>
              <w:right w:val="single" w:sz="8" w:color="007CBA"/>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Borders>
              <w:right w:val="single" w:sz="8" w:color="007CBA"/>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007CBA"/>
            </w:tcBorders>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Borders>
              <w:right w:val="single" w:sz="8" w:color="007CBA"/>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Borders>
              <w:right w:val="single" w:sz="8" w:color="007CBA"/>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720" w:type="dxa"/>
            <w:vAlign w:val="bottom"/>
            <w:tcBorders>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b w:val="1"/>
                <w:bCs w:val="1"/>
                <w:color w:val="auto"/>
              </w:rPr>
              <w:t>Year ended December 31, 2023</w:t>
            </w:r>
          </w:p>
        </w:tc>
        <w:tc>
          <w:tcPr>
            <w:tcW w:w="280" w:type="dxa"/>
            <w:vAlign w:val="bottom"/>
            <w:shd w:val="clear" w:color="auto" w:fill="E5F1F8"/>
          </w:tcPr>
          <w:p>
            <w:pPr>
              <w:spacing w:after="0"/>
              <w:rPr>
                <w:sz w:val="17"/>
                <w:szCs w:val="17"/>
                <w:color w:val="auto"/>
              </w:rPr>
            </w:pPr>
          </w:p>
        </w:tc>
        <w:tc>
          <w:tcPr>
            <w:tcW w:w="920" w:type="dxa"/>
            <w:vAlign w:val="bottom"/>
            <w:tcBorders>
              <w:right w:val="single" w:sz="8" w:color="007CBA"/>
            </w:tcBorders>
            <w:shd w:val="clear" w:color="auto" w:fill="E5F1F8"/>
          </w:tcPr>
          <w:p>
            <w:pPr>
              <w:spacing w:after="0"/>
              <w:rPr>
                <w:sz w:val="17"/>
                <w:szCs w:val="17"/>
                <w:color w:val="auto"/>
              </w:rPr>
            </w:pPr>
          </w:p>
        </w:tc>
        <w:tc>
          <w:tcPr>
            <w:tcW w:w="920" w:type="dxa"/>
            <w:vAlign w:val="bottom"/>
            <w:shd w:val="clear" w:color="auto" w:fill="E5F1F8"/>
          </w:tcPr>
          <w:p>
            <w:pPr>
              <w:spacing w:after="0"/>
              <w:rPr>
                <w:sz w:val="17"/>
                <w:szCs w:val="17"/>
                <w:color w:val="auto"/>
              </w:rPr>
            </w:pPr>
          </w:p>
        </w:tc>
        <w:tc>
          <w:tcPr>
            <w:tcW w:w="160" w:type="dxa"/>
            <w:vAlign w:val="bottom"/>
            <w:shd w:val="clear" w:color="auto" w:fill="E5F1F8"/>
          </w:tcPr>
          <w:p>
            <w:pPr>
              <w:spacing w:after="0"/>
              <w:rPr>
                <w:sz w:val="17"/>
                <w:szCs w:val="17"/>
                <w:color w:val="auto"/>
              </w:rPr>
            </w:pPr>
          </w:p>
        </w:tc>
        <w:tc>
          <w:tcPr>
            <w:tcW w:w="140" w:type="dxa"/>
            <w:vAlign w:val="bottom"/>
            <w:tcBorders>
              <w:right w:val="single" w:sz="8" w:color="007CBA"/>
            </w:tcBorders>
            <w:shd w:val="clear" w:color="auto" w:fill="E5F1F8"/>
          </w:tcPr>
          <w:p>
            <w:pPr>
              <w:spacing w:after="0"/>
              <w:rPr>
                <w:sz w:val="17"/>
                <w:szCs w:val="17"/>
                <w:color w:val="auto"/>
              </w:rPr>
            </w:pPr>
          </w:p>
        </w:tc>
        <w:tc>
          <w:tcPr>
            <w:tcW w:w="320" w:type="dxa"/>
            <w:vAlign w:val="bottom"/>
            <w:shd w:val="clear" w:color="auto" w:fill="E5F1F8"/>
          </w:tcPr>
          <w:p>
            <w:pPr>
              <w:spacing w:after="0"/>
              <w:rPr>
                <w:sz w:val="17"/>
                <w:szCs w:val="17"/>
                <w:color w:val="auto"/>
              </w:rPr>
            </w:pPr>
          </w:p>
        </w:tc>
        <w:tc>
          <w:tcPr>
            <w:tcW w:w="1100" w:type="dxa"/>
            <w:vAlign w:val="bottom"/>
            <w:tcBorders>
              <w:right w:val="single" w:sz="8" w:color="007CBA"/>
            </w:tcBorders>
            <w:shd w:val="clear" w:color="auto" w:fill="E5F1F8"/>
          </w:tcPr>
          <w:p>
            <w:pPr>
              <w:spacing w:after="0"/>
              <w:rPr>
                <w:sz w:val="17"/>
                <w:szCs w:val="17"/>
                <w:color w:val="auto"/>
              </w:rPr>
            </w:pPr>
          </w:p>
        </w:tc>
        <w:tc>
          <w:tcPr>
            <w:tcW w:w="120" w:type="dxa"/>
            <w:vAlign w:val="bottom"/>
            <w:shd w:val="clear" w:color="auto" w:fill="E5F1F8"/>
          </w:tcPr>
          <w:p>
            <w:pPr>
              <w:spacing w:after="0"/>
              <w:rPr>
                <w:sz w:val="17"/>
                <w:szCs w:val="17"/>
                <w:color w:val="auto"/>
              </w:rPr>
            </w:pPr>
          </w:p>
        </w:tc>
        <w:tc>
          <w:tcPr>
            <w:tcW w:w="120" w:type="dxa"/>
            <w:vAlign w:val="bottom"/>
            <w:shd w:val="clear" w:color="auto" w:fill="E5F1F8"/>
          </w:tcPr>
          <w:p>
            <w:pPr>
              <w:spacing w:after="0"/>
              <w:rPr>
                <w:sz w:val="17"/>
                <w:szCs w:val="17"/>
                <w:color w:val="auto"/>
              </w:rPr>
            </w:pPr>
          </w:p>
        </w:tc>
        <w:tc>
          <w:tcPr>
            <w:tcW w:w="920" w:type="dxa"/>
            <w:vAlign w:val="bottom"/>
            <w:shd w:val="clear" w:color="auto" w:fill="E5F1F8"/>
          </w:tcPr>
          <w:p>
            <w:pPr>
              <w:spacing w:after="0"/>
              <w:rPr>
                <w:sz w:val="17"/>
                <w:szCs w:val="17"/>
                <w:color w:val="auto"/>
              </w:rPr>
            </w:pPr>
          </w:p>
        </w:tc>
        <w:tc>
          <w:tcPr>
            <w:tcW w:w="320" w:type="dxa"/>
            <w:vAlign w:val="bottom"/>
            <w:tcBorders>
              <w:right w:val="single" w:sz="8" w:color="007CBA"/>
            </w:tcBorders>
            <w:shd w:val="clear" w:color="auto" w:fill="E5F1F8"/>
          </w:tcPr>
          <w:p>
            <w:pPr>
              <w:spacing w:after="0"/>
              <w:rPr>
                <w:sz w:val="17"/>
                <w:szCs w:val="17"/>
                <w:color w:val="auto"/>
              </w:rPr>
            </w:pPr>
          </w:p>
        </w:tc>
        <w:tc>
          <w:tcPr>
            <w:tcW w:w="280" w:type="dxa"/>
            <w:vAlign w:val="bottom"/>
            <w:shd w:val="clear" w:color="auto" w:fill="E5F1F8"/>
          </w:tcPr>
          <w:p>
            <w:pPr>
              <w:spacing w:after="0"/>
              <w:rPr>
                <w:sz w:val="17"/>
                <w:szCs w:val="17"/>
                <w:color w:val="auto"/>
              </w:rPr>
            </w:pPr>
          </w:p>
        </w:tc>
        <w:tc>
          <w:tcPr>
            <w:tcW w:w="920" w:type="dxa"/>
            <w:vAlign w:val="bottom"/>
            <w:shd w:val="clear" w:color="auto" w:fill="E5F1F8"/>
          </w:tcPr>
          <w:p>
            <w:pPr>
              <w:spacing w:after="0"/>
              <w:rPr>
                <w:sz w:val="17"/>
                <w:szCs w:val="17"/>
                <w:color w:val="auto"/>
              </w:rPr>
            </w:pPr>
          </w:p>
        </w:tc>
      </w:tr>
      <w:tr>
        <w:trPr>
          <w:trHeight w:val="198"/>
        </w:trPr>
        <w:tc>
          <w:tcPr>
            <w:tcW w:w="472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w:t>
            </w:r>
          </w:p>
        </w:tc>
        <w:tc>
          <w:tcPr>
            <w:tcW w:w="2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Borders>
              <w:right w:val="single" w:sz="8" w:color="007CBA"/>
            </w:tcBorders>
          </w:tcPr>
          <w:p>
            <w:pPr>
              <w:jc w:val="right"/>
              <w:ind w:right="65"/>
              <w:spacing w:after="0" w:line="193" w:lineRule="exact"/>
              <w:rPr>
                <w:sz w:val="20"/>
                <w:szCs w:val="20"/>
                <w:color w:val="auto"/>
              </w:rPr>
            </w:pPr>
            <w:r>
              <w:rPr>
                <w:rFonts w:ascii="Calibri" w:cs="Calibri" w:eastAsia="Calibri" w:hAnsi="Calibri"/>
                <w:sz w:val="16"/>
                <w:szCs w:val="16"/>
                <w:color w:val="auto"/>
              </w:rPr>
              <w:t>11</w:t>
            </w:r>
          </w:p>
        </w:tc>
        <w:tc>
          <w:tcPr>
            <w:tcW w:w="920" w:type="dxa"/>
            <w:vAlign w:val="bottom"/>
          </w:tcPr>
          <w:p>
            <w:pPr>
              <w:jc w:val="right"/>
              <w:ind w:right="605"/>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40" w:type="dxa"/>
            <w:vAlign w:val="bottom"/>
            <w:tcBorders>
              <w:right w:val="single" w:sz="8" w:color="007CBA"/>
            </w:tcBorders>
          </w:tcPr>
          <w:p>
            <w:pPr>
              <w:spacing w:after="0"/>
              <w:rPr>
                <w:sz w:val="17"/>
                <w:szCs w:val="17"/>
                <w:color w:val="auto"/>
              </w:rPr>
            </w:pPr>
          </w:p>
        </w:tc>
        <w:tc>
          <w:tcPr>
            <w:tcW w:w="320" w:type="dxa"/>
            <w:vAlign w:val="bottom"/>
          </w:tcPr>
          <w:p>
            <w:pPr>
              <w:jc w:val="right"/>
              <w:ind w:right="1"/>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right w:val="single" w:sz="8" w:color="007CBA"/>
            </w:tcBorders>
          </w:tcPr>
          <w:p>
            <w:pPr>
              <w:ind w:left="6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jc w:val="right"/>
              <w:ind w:right="4"/>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Borders>
              <w:right w:val="single" w:sz="8" w:color="007CBA"/>
            </w:tcBorders>
          </w:tcPr>
          <w:p>
            <w:pPr>
              <w:spacing w:after="0"/>
              <w:rPr>
                <w:sz w:val="17"/>
                <w:szCs w:val="17"/>
                <w:color w:val="auto"/>
              </w:rPr>
            </w:pPr>
          </w:p>
        </w:tc>
        <w:tc>
          <w:tcPr>
            <w:tcW w:w="2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jc w:val="right"/>
              <w:ind w:right="64"/>
              <w:spacing w:after="0" w:line="193" w:lineRule="exact"/>
              <w:rPr>
                <w:sz w:val="20"/>
                <w:szCs w:val="20"/>
                <w:color w:val="auto"/>
              </w:rPr>
            </w:pPr>
            <w:r>
              <w:rPr>
                <w:rFonts w:ascii="Calibri" w:cs="Calibri" w:eastAsia="Calibri" w:hAnsi="Calibri"/>
                <w:sz w:val="16"/>
                <w:szCs w:val="16"/>
                <w:color w:val="auto"/>
              </w:rPr>
              <w:t>12</w:t>
            </w:r>
          </w:p>
        </w:tc>
      </w:tr>
      <w:tr>
        <w:trPr>
          <w:trHeight w:val="207"/>
        </w:trPr>
        <w:tc>
          <w:tcPr>
            <w:tcW w:w="4720" w:type="dxa"/>
            <w:vAlign w:val="bottom"/>
            <w:tcBorders>
              <w:right w:val="single" w:sz="8" w:color="007CBA"/>
            </w:tcBorders>
            <w:shd w:val="clear" w:color="auto" w:fill="E5F1F8"/>
          </w:tcPr>
          <w:p>
            <w:pPr>
              <w:spacing w:after="0"/>
              <w:rPr>
                <w:sz w:val="18"/>
                <w:szCs w:val="18"/>
                <w:color w:val="auto"/>
              </w:rPr>
            </w:pPr>
          </w:p>
        </w:tc>
        <w:tc>
          <w:tcPr>
            <w:tcW w:w="280" w:type="dxa"/>
            <w:vAlign w:val="bottom"/>
            <w:shd w:val="clear" w:color="auto" w:fill="E5F1F8"/>
          </w:tcPr>
          <w:p>
            <w:pPr>
              <w:spacing w:after="0"/>
              <w:rPr>
                <w:sz w:val="18"/>
                <w:szCs w:val="18"/>
                <w:color w:val="auto"/>
              </w:rPr>
            </w:pPr>
          </w:p>
        </w:tc>
        <w:tc>
          <w:tcPr>
            <w:tcW w:w="920" w:type="dxa"/>
            <w:vAlign w:val="bottom"/>
            <w:tcBorders>
              <w:right w:val="single" w:sz="8" w:color="007CBA"/>
            </w:tcBorders>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160" w:type="dxa"/>
            <w:vAlign w:val="bottom"/>
            <w:shd w:val="clear" w:color="auto" w:fill="E5F1F8"/>
          </w:tcPr>
          <w:p>
            <w:pPr>
              <w:spacing w:after="0"/>
              <w:rPr>
                <w:sz w:val="18"/>
                <w:szCs w:val="18"/>
                <w:color w:val="auto"/>
              </w:rPr>
            </w:pPr>
          </w:p>
        </w:tc>
        <w:tc>
          <w:tcPr>
            <w:tcW w:w="140" w:type="dxa"/>
            <w:vAlign w:val="bottom"/>
            <w:tcBorders>
              <w:right w:val="single" w:sz="8" w:color="007CBA"/>
            </w:tcBorders>
            <w:shd w:val="clear" w:color="auto" w:fill="E5F1F8"/>
          </w:tcPr>
          <w:p>
            <w:pPr>
              <w:spacing w:after="0"/>
              <w:rPr>
                <w:sz w:val="18"/>
                <w:szCs w:val="18"/>
                <w:color w:val="auto"/>
              </w:rPr>
            </w:pPr>
          </w:p>
        </w:tc>
        <w:tc>
          <w:tcPr>
            <w:tcW w:w="320" w:type="dxa"/>
            <w:vAlign w:val="bottom"/>
            <w:shd w:val="clear" w:color="auto" w:fill="E5F1F8"/>
          </w:tcPr>
          <w:p>
            <w:pPr>
              <w:spacing w:after="0"/>
              <w:rPr>
                <w:sz w:val="18"/>
                <w:szCs w:val="18"/>
                <w:color w:val="auto"/>
              </w:rPr>
            </w:pPr>
          </w:p>
        </w:tc>
        <w:tc>
          <w:tcPr>
            <w:tcW w:w="1100" w:type="dxa"/>
            <w:vAlign w:val="bottom"/>
            <w:tcBorders>
              <w:right w:val="single" w:sz="8" w:color="007CBA"/>
            </w:tcBorders>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320" w:type="dxa"/>
            <w:vAlign w:val="bottom"/>
            <w:tcBorders>
              <w:right w:val="single" w:sz="8" w:color="007CBA"/>
            </w:tcBorders>
            <w:shd w:val="clear" w:color="auto" w:fill="E5F1F8"/>
          </w:tcPr>
          <w:p>
            <w:pPr>
              <w:spacing w:after="0"/>
              <w:rPr>
                <w:sz w:val="18"/>
                <w:szCs w:val="18"/>
                <w:color w:val="auto"/>
              </w:rPr>
            </w:pPr>
          </w:p>
        </w:tc>
        <w:tc>
          <w:tcPr>
            <w:tcW w:w="28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r>
      <w:tr>
        <w:trPr>
          <w:trHeight w:val="198"/>
        </w:trPr>
        <w:tc>
          <w:tcPr>
            <w:tcW w:w="472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b w:val="1"/>
                <w:bCs w:val="1"/>
                <w:color w:val="auto"/>
              </w:rPr>
              <w:t>Year ended December 31, 2022</w:t>
            </w:r>
          </w:p>
        </w:tc>
        <w:tc>
          <w:tcPr>
            <w:tcW w:w="280" w:type="dxa"/>
            <w:vAlign w:val="bottom"/>
          </w:tcPr>
          <w:p>
            <w:pPr>
              <w:spacing w:after="0"/>
              <w:rPr>
                <w:sz w:val="17"/>
                <w:szCs w:val="17"/>
                <w:color w:val="auto"/>
              </w:rPr>
            </w:pPr>
          </w:p>
        </w:tc>
        <w:tc>
          <w:tcPr>
            <w:tcW w:w="920" w:type="dxa"/>
            <w:vAlign w:val="bottom"/>
            <w:tcBorders>
              <w:right w:val="single" w:sz="8" w:color="007CBA"/>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007CBA"/>
            </w:tcBorders>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Borders>
              <w:right w:val="single" w:sz="8" w:color="007CBA"/>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Borders>
              <w:right w:val="single" w:sz="8" w:color="007CBA"/>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4720" w:type="dxa"/>
            <w:vAlign w:val="bottom"/>
            <w:tcBorders>
              <w:right w:val="single" w:sz="8" w:color="007CBA"/>
            </w:tcBorders>
            <w:shd w:val="clear" w:color="auto" w:fill="E5F1F8"/>
          </w:tcPr>
          <w:p>
            <w:pPr>
              <w:ind w:left="120"/>
              <w:spacing w:after="0"/>
              <w:rPr>
                <w:sz w:val="20"/>
                <w:szCs w:val="20"/>
                <w:color w:val="auto"/>
              </w:rPr>
            </w:pPr>
            <w:r>
              <w:rPr>
                <w:rFonts w:ascii="Calibri" w:cs="Calibri" w:eastAsia="Calibri" w:hAnsi="Calibri"/>
                <w:sz w:val="16"/>
                <w:szCs w:val="16"/>
                <w:color w:val="auto"/>
              </w:rPr>
              <w:t>Allowance for estmated credit losses</w:t>
            </w:r>
          </w:p>
        </w:tc>
        <w:tc>
          <w:tcPr>
            <w:tcW w:w="280" w:type="dxa"/>
            <w:vAlign w:val="bottom"/>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920" w:type="dxa"/>
            <w:vAlign w:val="bottom"/>
            <w:tcBorders>
              <w:right w:val="single" w:sz="8" w:color="007CBA"/>
            </w:tcBorders>
            <w:shd w:val="clear" w:color="auto" w:fill="E5F1F8"/>
          </w:tcPr>
          <w:p>
            <w:pPr>
              <w:jc w:val="right"/>
              <w:ind w:right="65"/>
              <w:spacing w:after="0"/>
              <w:rPr>
                <w:sz w:val="20"/>
                <w:szCs w:val="20"/>
                <w:color w:val="auto"/>
              </w:rPr>
            </w:pPr>
            <w:r>
              <w:rPr>
                <w:rFonts w:ascii="Calibri" w:cs="Calibri" w:eastAsia="Calibri" w:hAnsi="Calibri"/>
                <w:sz w:val="16"/>
                <w:szCs w:val="16"/>
                <w:color w:val="auto"/>
              </w:rPr>
              <w:t>6</w:t>
            </w:r>
          </w:p>
        </w:tc>
        <w:tc>
          <w:tcPr>
            <w:tcW w:w="920" w:type="dxa"/>
            <w:vAlign w:val="bottom"/>
            <w:shd w:val="clear" w:color="auto" w:fill="E5F1F8"/>
          </w:tcPr>
          <w:p>
            <w:pPr>
              <w:jc w:val="right"/>
              <w:ind w:right="605"/>
              <w:spacing w:after="0"/>
              <w:rPr>
                <w:sz w:val="20"/>
                <w:szCs w:val="20"/>
                <w:color w:val="auto"/>
              </w:rPr>
            </w:pPr>
            <w:r>
              <w:rPr>
                <w:rFonts w:ascii="Calibri" w:cs="Calibri" w:eastAsia="Calibri" w:hAnsi="Calibri"/>
                <w:sz w:val="16"/>
                <w:szCs w:val="16"/>
                <w:color w:val="auto"/>
              </w:rPr>
              <w:t>$</w:t>
            </w:r>
          </w:p>
        </w:tc>
        <w:tc>
          <w:tcPr>
            <w:tcW w:w="160" w:type="dxa"/>
            <w:vAlign w:val="bottom"/>
            <w:shd w:val="clear" w:color="auto" w:fill="E5F1F8"/>
          </w:tcPr>
          <w:p>
            <w:pPr>
              <w:jc w:val="right"/>
              <w:spacing w:after="0"/>
              <w:rPr>
                <w:sz w:val="20"/>
                <w:szCs w:val="20"/>
                <w:color w:val="auto"/>
              </w:rPr>
            </w:pPr>
            <w:r>
              <w:rPr>
                <w:rFonts w:ascii="Calibri" w:cs="Calibri" w:eastAsia="Calibri" w:hAnsi="Calibri"/>
                <w:sz w:val="16"/>
                <w:szCs w:val="16"/>
                <w:color w:val="auto"/>
              </w:rPr>
              <w:t>5</w:t>
            </w:r>
          </w:p>
        </w:tc>
        <w:tc>
          <w:tcPr>
            <w:tcW w:w="140" w:type="dxa"/>
            <w:vAlign w:val="bottom"/>
            <w:tcBorders>
              <w:right w:val="single" w:sz="8" w:color="007CBA"/>
            </w:tcBorders>
            <w:shd w:val="clear" w:color="auto" w:fill="E5F1F8"/>
          </w:tcPr>
          <w:p>
            <w:pPr>
              <w:spacing w:after="0"/>
              <w:rPr>
                <w:sz w:val="18"/>
                <w:szCs w:val="18"/>
                <w:color w:val="auto"/>
              </w:rPr>
            </w:pPr>
          </w:p>
        </w:tc>
        <w:tc>
          <w:tcPr>
            <w:tcW w:w="320" w:type="dxa"/>
            <w:vAlign w:val="bottom"/>
            <w:shd w:val="clear" w:color="auto" w:fill="E5F1F8"/>
          </w:tcPr>
          <w:p>
            <w:pPr>
              <w:jc w:val="right"/>
              <w:ind w:right="1"/>
              <w:spacing w:after="0"/>
              <w:rPr>
                <w:sz w:val="20"/>
                <w:szCs w:val="20"/>
                <w:color w:val="auto"/>
              </w:rPr>
            </w:pPr>
            <w:r>
              <w:rPr>
                <w:rFonts w:ascii="Calibri" w:cs="Calibri" w:eastAsia="Calibri" w:hAnsi="Calibri"/>
                <w:sz w:val="16"/>
                <w:szCs w:val="16"/>
                <w:color w:val="auto"/>
              </w:rPr>
              <w:t>$</w:t>
            </w:r>
          </w:p>
        </w:tc>
        <w:tc>
          <w:tcPr>
            <w:tcW w:w="1100" w:type="dxa"/>
            <w:vAlign w:val="bottom"/>
            <w:tcBorders>
              <w:right w:val="single" w:sz="8" w:color="007CBA"/>
            </w:tcBorders>
            <w:shd w:val="clear" w:color="auto" w:fill="E5F1F8"/>
          </w:tcPr>
          <w:p>
            <w:pPr>
              <w:ind w:left="6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5F1F8"/>
          </w:tcPr>
          <w:p>
            <w:pPr>
              <w:spacing w:after="0"/>
              <w:rPr>
                <w:sz w:val="18"/>
                <w:szCs w:val="18"/>
                <w:color w:val="auto"/>
              </w:rPr>
            </w:pPr>
          </w:p>
        </w:tc>
        <w:tc>
          <w:tcPr>
            <w:tcW w:w="120" w:type="dxa"/>
            <w:vAlign w:val="bottom"/>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920" w:type="dxa"/>
            <w:vAlign w:val="bottom"/>
            <w:shd w:val="clear" w:color="auto" w:fill="E5F1F8"/>
          </w:tcPr>
          <w:p>
            <w:pPr>
              <w:jc w:val="right"/>
              <w:ind w:right="4"/>
              <w:spacing w:after="0"/>
              <w:rPr>
                <w:sz w:val="20"/>
                <w:szCs w:val="20"/>
                <w:color w:val="auto"/>
              </w:rPr>
            </w:pPr>
            <w:r>
              <w:rPr>
                <w:rFonts w:ascii="Calibri" w:cs="Calibri" w:eastAsia="Calibri" w:hAnsi="Calibri"/>
                <w:sz w:val="16"/>
                <w:szCs w:val="16"/>
                <w:color w:val="auto"/>
              </w:rPr>
              <w:t>—</w:t>
            </w:r>
          </w:p>
        </w:tc>
        <w:tc>
          <w:tcPr>
            <w:tcW w:w="320" w:type="dxa"/>
            <w:vAlign w:val="bottom"/>
            <w:tcBorders>
              <w:right w:val="single" w:sz="8" w:color="007CBA"/>
            </w:tcBorders>
            <w:shd w:val="clear" w:color="auto" w:fill="E5F1F8"/>
          </w:tcPr>
          <w:p>
            <w:pPr>
              <w:spacing w:after="0"/>
              <w:rPr>
                <w:sz w:val="18"/>
                <w:szCs w:val="18"/>
                <w:color w:val="auto"/>
              </w:rPr>
            </w:pPr>
          </w:p>
        </w:tc>
        <w:tc>
          <w:tcPr>
            <w:tcW w:w="280" w:type="dxa"/>
            <w:vAlign w:val="bottom"/>
            <w:shd w:val="clear" w:color="auto" w:fill="E5F1F8"/>
          </w:tcPr>
          <w:p>
            <w:pPr>
              <w:jc w:val="right"/>
              <w:spacing w:after="0"/>
              <w:rPr>
                <w:sz w:val="20"/>
                <w:szCs w:val="20"/>
                <w:color w:val="auto"/>
              </w:rPr>
            </w:pPr>
            <w:r>
              <w:rPr>
                <w:rFonts w:ascii="Calibri" w:cs="Calibri" w:eastAsia="Calibri" w:hAnsi="Calibri"/>
                <w:sz w:val="16"/>
                <w:szCs w:val="16"/>
                <w:color w:val="auto"/>
              </w:rPr>
              <w:t>$</w:t>
            </w:r>
          </w:p>
        </w:tc>
        <w:tc>
          <w:tcPr>
            <w:tcW w:w="920" w:type="dxa"/>
            <w:vAlign w:val="bottom"/>
            <w:shd w:val="clear" w:color="auto" w:fill="E5F1F8"/>
          </w:tcPr>
          <w:p>
            <w:pPr>
              <w:jc w:val="right"/>
              <w:ind w:right="64"/>
              <w:spacing w:after="0"/>
              <w:rPr>
                <w:sz w:val="20"/>
                <w:szCs w:val="20"/>
                <w:color w:val="auto"/>
              </w:rPr>
            </w:pPr>
            <w:r>
              <w:rPr>
                <w:rFonts w:ascii="Calibri" w:cs="Calibri" w:eastAsia="Calibri" w:hAnsi="Calibri"/>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-1713865</wp:posOffset>
            </wp:positionV>
            <wp:extent cx="157734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31">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0"/>
          <w:szCs w:val="20"/>
          <w:color w:val="auto"/>
        </w:rPr>
      </w:pPr>
    </w:p>
    <w:p>
      <w:pPr>
        <w:ind w:left="1080" w:hanging="535"/>
        <w:spacing w:after="0"/>
        <w:tabs>
          <w:tab w:leader="none" w:pos="108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Change in estmates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16 – FORM 10-K SUMMARY</w:t>
      </w:r>
    </w:p>
    <w:p>
      <w:pPr>
        <w:spacing w:after="0" w:line="6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has chosen not to include an optonal summary of the informaton required by this Form 10-K. For a reference to the informaton in this Form 10-K, investors should refer to the Table of Contents to this Form 10-K.</w:t>
      </w:r>
    </w:p>
    <w:p>
      <w:pPr>
        <w:spacing w:after="0" w:line="12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68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33">
                      <a:extLst>
                        <a:ext uri="{28A0092B-C50C-407E-A947-70E740481C1C}"/>
                      </a:extLst>
                    </a:blip>
                    <a:srcRect/>
                    <a:stretch>
                      <a:fillRect/>
                    </a:stretch>
                  </pic:blipFill>
                  <pic:spPr bwMode="auto">
                    <a:xfrm>
                      <a:off x="0" y="0"/>
                      <a:ext cx="32575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3"/>
          <w:szCs w:val="23"/>
          <w:color w:val="0070C0"/>
        </w:rPr>
        <w:t xml:space="preserve">♦ </w:t>
      </w:r>
      <w:r>
        <w:rPr>
          <w:rFonts w:ascii="Calibri" w:cs="Calibri" w:eastAsia="Calibri" w:hAnsi="Calibri"/>
          <w:sz w:val="17"/>
          <w:szCs w:val="17"/>
          <w:color w:val="000000"/>
        </w:rPr>
        <w:t>Signatures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SIGNATURES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213" w:lineRule="exact"/>
        <w:rPr>
          <w:sz w:val="20"/>
          <w:szCs w:val="20"/>
          <w:color w:val="auto"/>
        </w:rPr>
      </w:pPr>
    </w:p>
    <w:p>
      <w:pPr>
        <w:ind w:left="6200"/>
        <w:spacing w:after="0"/>
        <w:rPr>
          <w:sz w:val="20"/>
          <w:szCs w:val="20"/>
          <w:color w:val="auto"/>
        </w:rPr>
      </w:pPr>
      <w:r>
        <w:rPr>
          <w:rFonts w:ascii="Calibri" w:cs="Calibri" w:eastAsia="Calibri" w:hAnsi="Calibri"/>
          <w:sz w:val="18"/>
          <w:szCs w:val="18"/>
          <w:color w:val="auto"/>
        </w:rPr>
        <w:t>MARTIN MARIETTA MATERIALS, INC.</w:t>
      </w:r>
    </w:p>
    <w:p>
      <w:pPr>
        <w:spacing w:after="0" w:line="212" w:lineRule="exact"/>
        <w:rPr>
          <w:sz w:val="20"/>
          <w:szCs w:val="20"/>
          <w:color w:val="auto"/>
        </w:rPr>
      </w:pPr>
    </w:p>
    <w:p>
      <w:pPr>
        <w:ind w:left="6200"/>
        <w:spacing w:after="0"/>
        <w:tabs>
          <w:tab w:leader="none" w:pos="6640" w:val="left"/>
        </w:tabs>
        <w:rPr>
          <w:sz w:val="20"/>
          <w:szCs w:val="20"/>
          <w:color w:val="auto"/>
        </w:rPr>
      </w:pPr>
      <w:r>
        <w:rPr>
          <w:rFonts w:ascii="Calibri" w:cs="Calibri" w:eastAsia="Calibri" w:hAnsi="Calibri"/>
          <w:sz w:val="18"/>
          <w:szCs w:val="18"/>
          <w:color w:val="auto"/>
        </w:rPr>
        <w:t>By:</w:t>
        <w:tab/>
        <w:t>/s/ Bradley D. Kohn</w:t>
      </w:r>
    </w:p>
    <w:p>
      <w:pPr>
        <w:spacing w:after="0" w:line="10" w:lineRule="exact"/>
        <w:rPr>
          <w:sz w:val="20"/>
          <w:szCs w:val="20"/>
          <w:color w:val="auto"/>
        </w:rPr>
      </w:pPr>
    </w:p>
    <w:p>
      <w:pPr>
        <w:ind w:left="6660"/>
        <w:spacing w:after="0"/>
        <w:rPr>
          <w:sz w:val="20"/>
          <w:szCs w:val="20"/>
          <w:color w:val="auto"/>
        </w:rPr>
      </w:pPr>
      <w:r>
        <w:rPr>
          <w:rFonts w:ascii="Calibri" w:cs="Calibri" w:eastAsia="Calibri" w:hAnsi="Calibri"/>
          <w:sz w:val="18"/>
          <w:szCs w:val="18"/>
          <w:color w:val="auto"/>
        </w:rPr>
        <w:t>Bradley D.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-130175</wp:posOffset>
            </wp:positionV>
            <wp:extent cx="291465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3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ind w:left="6660"/>
        <w:spacing w:after="0"/>
        <w:rPr>
          <w:sz w:val="20"/>
          <w:szCs w:val="20"/>
          <w:color w:val="auto"/>
        </w:rPr>
      </w:pPr>
      <w:r>
        <w:rPr>
          <w:rFonts w:ascii="Calibri" w:cs="Calibri" w:eastAsia="Calibri" w:hAnsi="Calibri"/>
          <w:sz w:val="17"/>
          <w:szCs w:val="17"/>
          <w:color w:val="auto"/>
        </w:rPr>
        <w:t>Senior Vice President, General Counsel and Corporate Secretary</w:t>
      </w: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color w:val="auto"/>
        </w:rPr>
        <w:t>Dated: February 21, 2025</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POWER OF ATTORNEY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KNOW ALL PERSONS BY THESE PRESENTS, that each person whose signature appears below appoints each of Bradley D. Kohn and Sara W. Brown as his or her true and lawful atorney-in-fact, each with full power of substtuton and resubsttuton, for him or her and in his or her name, place and stead, in any and all capacites, to sign any and all amendments to this Annual Report on Form 10-K, and to fle the same, with all exhibits thereto, and other documents in connecton therewith, with the Securites and Exchange Commission, grantng unto said atorney-in-fact, full power and authority to do and perform each in connecton therewith, as fully to all intents and purposes as he or she might or could do in person, hereby ratfying and confrming all that said atorney-in-fact, or her substtute or substtutes, may lawfully do or cause to be done by virtue hereof.</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requirements of the Securites and Exchange Act of 1934, this report has been signed by the following persons on behalf of the registrant and in the capacites and on the dates indicated:</w:t>
      </w:r>
    </w:p>
    <w:p>
      <w:pPr>
        <w:spacing w:after="0" w:line="12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-175260</wp:posOffset>
            </wp:positionV>
            <wp:extent cx="325755" cy="1974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36">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308"/>
        </w:trPr>
        <w:tc>
          <w:tcPr>
            <w:tcW w:w="45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60" w:type="dxa"/>
            <w:vAlign w:val="bottom"/>
          </w:tcPr>
          <w:p>
            <w:pPr>
              <w:ind w:left="1720"/>
              <w:spacing w:after="0"/>
              <w:rPr>
                <w:sz w:val="20"/>
                <w:szCs w:val="20"/>
                <w:color w:val="auto"/>
              </w:rPr>
            </w:pPr>
            <w:r>
              <w:rPr>
                <w:rFonts w:ascii="Arial" w:cs="Arial" w:eastAsia="Arial" w:hAnsi="Arial"/>
                <w:sz w:val="23"/>
                <w:szCs w:val="23"/>
                <w:color w:val="0070C0"/>
              </w:rPr>
              <w:t xml:space="preserve">♦ </w:t>
            </w:r>
            <w:r>
              <w:rPr>
                <w:rFonts w:ascii="Calibri" w:cs="Calibri" w:eastAsia="Calibri" w:hAnsi="Calibri"/>
                <w:sz w:val="17"/>
                <w:szCs w:val="17"/>
                <w:color w:val="000000"/>
              </w:rPr>
              <w:t>Signatures</w:t>
            </w:r>
          </w:p>
        </w:tc>
        <w:tc>
          <w:tcPr>
            <w:tcW w:w="0" w:type="dxa"/>
            <w:vAlign w:val="bottom"/>
          </w:tcPr>
          <w:p>
            <w:pPr>
              <w:spacing w:after="0"/>
              <w:rPr>
                <w:sz w:val="1"/>
                <w:szCs w:val="1"/>
                <w:color w:val="auto"/>
              </w:rPr>
            </w:pPr>
          </w:p>
        </w:tc>
      </w:tr>
      <w:tr>
        <w:trPr>
          <w:trHeight w:val="385"/>
        </w:trPr>
        <w:tc>
          <w:tcPr>
            <w:tcW w:w="45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500" w:type="dxa"/>
            <w:vAlign w:val="bottom"/>
            <w:shd w:val="clear" w:color="auto" w:fill="007CBA"/>
          </w:tcPr>
          <w:p>
            <w:pPr>
              <w:ind w:left="1920"/>
              <w:spacing w:after="0"/>
              <w:rPr>
                <w:sz w:val="20"/>
                <w:szCs w:val="20"/>
                <w:color w:val="auto"/>
              </w:rPr>
            </w:pPr>
            <w:r>
              <w:rPr>
                <w:rFonts w:ascii="Calibri" w:cs="Calibri" w:eastAsia="Calibri" w:hAnsi="Calibri"/>
                <w:sz w:val="18"/>
                <w:szCs w:val="18"/>
                <w:i w:val="1"/>
                <w:iCs w:val="1"/>
                <w:color w:val="FFFFFF"/>
              </w:rPr>
              <w:t>Signature</w:t>
            </w:r>
          </w:p>
        </w:tc>
        <w:tc>
          <w:tcPr>
            <w:tcW w:w="4080" w:type="dxa"/>
            <w:vAlign w:val="bottom"/>
            <w:shd w:val="clear" w:color="auto" w:fill="007CBA"/>
          </w:tcPr>
          <w:p>
            <w:pPr>
              <w:ind w:left="2220"/>
              <w:spacing w:after="0"/>
              <w:rPr>
                <w:sz w:val="20"/>
                <w:szCs w:val="20"/>
                <w:color w:val="auto"/>
              </w:rPr>
            </w:pPr>
            <w:r>
              <w:rPr>
                <w:rFonts w:ascii="Calibri" w:cs="Calibri" w:eastAsia="Calibri" w:hAnsi="Calibri"/>
                <w:sz w:val="18"/>
                <w:szCs w:val="18"/>
                <w:i w:val="1"/>
                <w:iCs w:val="1"/>
                <w:color w:val="FFFFFF"/>
              </w:rPr>
              <w:t>Title</w:t>
            </w:r>
          </w:p>
        </w:tc>
        <w:tc>
          <w:tcPr>
            <w:tcW w:w="2660" w:type="dxa"/>
            <w:vAlign w:val="bottom"/>
            <w:shd w:val="clear" w:color="auto" w:fill="007CBA"/>
          </w:tcPr>
          <w:p>
            <w:pPr>
              <w:jc w:val="center"/>
              <w:ind w:left="548"/>
              <w:spacing w:after="0"/>
              <w:rPr>
                <w:sz w:val="20"/>
                <w:szCs w:val="20"/>
                <w:color w:val="auto"/>
              </w:rPr>
            </w:pPr>
            <w:r>
              <w:rPr>
                <w:rFonts w:ascii="Calibri" w:cs="Calibri" w:eastAsia="Calibri" w:hAnsi="Calibri"/>
                <w:sz w:val="18"/>
                <w:szCs w:val="18"/>
                <w:i w:val="1"/>
                <w:iCs w:val="1"/>
                <w:color w:val="FFFFFF"/>
                <w:w w:val="97"/>
              </w:rPr>
              <w:t>Date</w:t>
            </w:r>
          </w:p>
        </w:tc>
        <w:tc>
          <w:tcPr>
            <w:tcW w:w="0" w:type="dxa"/>
            <w:vAlign w:val="bottom"/>
          </w:tcPr>
          <w:p>
            <w:pPr>
              <w:spacing w:after="0"/>
              <w:rPr>
                <w:sz w:val="1"/>
                <w:szCs w:val="1"/>
                <w:color w:val="auto"/>
              </w:rPr>
            </w:pPr>
          </w:p>
        </w:tc>
      </w:tr>
      <w:tr>
        <w:trPr>
          <w:trHeight w:val="199"/>
        </w:trPr>
        <w:tc>
          <w:tcPr>
            <w:tcW w:w="4500" w:type="dxa"/>
            <w:vAlign w:val="bottom"/>
            <w:shd w:val="clear" w:color="auto" w:fill="007CBA"/>
          </w:tcPr>
          <w:p>
            <w:pPr>
              <w:spacing w:after="0"/>
              <w:rPr>
                <w:sz w:val="17"/>
                <w:szCs w:val="17"/>
                <w:color w:val="auto"/>
              </w:rPr>
            </w:pPr>
          </w:p>
        </w:tc>
        <w:tc>
          <w:tcPr>
            <w:tcW w:w="4080" w:type="dxa"/>
            <w:vAlign w:val="bottom"/>
            <w:shd w:val="clear" w:color="auto" w:fill="007CBA"/>
          </w:tcPr>
          <w:p>
            <w:pPr>
              <w:spacing w:after="0"/>
              <w:rPr>
                <w:sz w:val="17"/>
                <w:szCs w:val="17"/>
                <w:color w:val="auto"/>
              </w:rPr>
            </w:pPr>
          </w:p>
        </w:tc>
        <w:tc>
          <w:tcPr>
            <w:tcW w:w="2660" w:type="dxa"/>
            <w:vAlign w:val="bottom"/>
            <w:shd w:val="clear" w:color="auto" w:fill="007CBA"/>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4500" w:type="dxa"/>
            <w:vAlign w:val="bottom"/>
          </w:tcPr>
          <w:p>
            <w:pPr>
              <w:ind w:left="20"/>
              <w:spacing w:after="0"/>
              <w:rPr>
                <w:sz w:val="20"/>
                <w:szCs w:val="20"/>
                <w:color w:val="auto"/>
              </w:rPr>
            </w:pPr>
            <w:r>
              <w:rPr>
                <w:rFonts w:ascii="Calibri" w:cs="Calibri" w:eastAsia="Calibri" w:hAnsi="Calibri"/>
                <w:sz w:val="18"/>
                <w:szCs w:val="18"/>
                <w:color w:val="auto"/>
              </w:rPr>
              <w:t>/s/ C. Howard Nye</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Chair of the Board,</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vMerge w:val="restart"/>
          </w:tcPr>
          <w:p>
            <w:pPr>
              <w:ind w:left="260"/>
              <w:spacing w:after="0"/>
              <w:rPr>
                <w:sz w:val="20"/>
                <w:szCs w:val="20"/>
                <w:color w:val="auto"/>
              </w:rPr>
            </w:pPr>
            <w:r>
              <w:rPr>
                <w:rFonts w:ascii="Calibri" w:cs="Calibri" w:eastAsia="Calibri" w:hAnsi="Calibri"/>
                <w:sz w:val="18"/>
                <w:szCs w:val="18"/>
                <w:color w:val="auto"/>
              </w:rPr>
              <w:t>President and Chief Executve Ofcer</w:t>
            </w: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C. Howard Nye</w:t>
            </w:r>
          </w:p>
        </w:tc>
        <w:tc>
          <w:tcPr>
            <w:tcW w:w="408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James A. J. Nickolas</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Executve Vice President</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vMerge w:val="restart"/>
          </w:tcPr>
          <w:p>
            <w:pPr>
              <w:ind w:left="260"/>
              <w:spacing w:after="0"/>
              <w:rPr>
                <w:sz w:val="20"/>
                <w:szCs w:val="20"/>
                <w:color w:val="auto"/>
              </w:rPr>
            </w:pPr>
            <w:r>
              <w:rPr>
                <w:rFonts w:ascii="Calibri" w:cs="Calibri" w:eastAsia="Calibri" w:hAnsi="Calibri"/>
                <w:sz w:val="18"/>
                <w:szCs w:val="18"/>
                <w:color w:val="auto"/>
              </w:rPr>
              <w:t>and Chief Financial Ofcer</w:t>
            </w: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James A. J. Nickolas</w:t>
            </w:r>
          </w:p>
        </w:tc>
        <w:tc>
          <w:tcPr>
            <w:tcW w:w="408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Robert J. Cardin</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Senior Vice President,</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vMerge w:val="restart"/>
          </w:tcPr>
          <w:p>
            <w:pPr>
              <w:ind w:left="260"/>
              <w:spacing w:after="0"/>
              <w:rPr>
                <w:sz w:val="20"/>
                <w:szCs w:val="20"/>
                <w:color w:val="auto"/>
              </w:rPr>
            </w:pPr>
            <w:r>
              <w:rPr>
                <w:rFonts w:ascii="Calibri" w:cs="Calibri" w:eastAsia="Calibri" w:hAnsi="Calibri"/>
                <w:sz w:val="18"/>
                <w:szCs w:val="18"/>
                <w:color w:val="auto"/>
              </w:rPr>
              <w:t>Controller and Chief Accountng Ofcer</w:t>
            </w: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Robert J. Cardin</w:t>
            </w:r>
          </w:p>
        </w:tc>
        <w:tc>
          <w:tcPr>
            <w:tcW w:w="408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Dorothy M. Ables</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Dorothy M. Ables</w:t>
            </w:r>
          </w:p>
        </w:tc>
        <w:tc>
          <w:tcPr>
            <w:tcW w:w="4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Sue W. Cole</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Sue W. Cole</w:t>
            </w:r>
          </w:p>
        </w:tc>
        <w:tc>
          <w:tcPr>
            <w:tcW w:w="4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Anthony R. Foxx</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Anthony R. Foxx</w:t>
            </w:r>
          </w:p>
        </w:tc>
        <w:tc>
          <w:tcPr>
            <w:tcW w:w="4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John J. Koraleski</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John J. Koraleski</w:t>
            </w:r>
          </w:p>
        </w:tc>
        <w:tc>
          <w:tcPr>
            <w:tcW w:w="4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Mary T. Mack</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Mary T. Mack</w:t>
            </w:r>
          </w:p>
        </w:tc>
        <w:tc>
          <w:tcPr>
            <w:tcW w:w="4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Laree E. Perez</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Laree E. Perez</w:t>
            </w:r>
          </w:p>
        </w:tc>
        <w:tc>
          <w:tcPr>
            <w:tcW w:w="4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Thomas H. Pike</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Thomas H. Pike</w:t>
            </w:r>
          </w:p>
        </w:tc>
        <w:tc>
          <w:tcPr>
            <w:tcW w:w="4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Donald W. Slager</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Donald W. Slager</w:t>
            </w:r>
          </w:p>
        </w:tc>
        <w:tc>
          <w:tcPr>
            <w:tcW w:w="4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500" w:type="dxa"/>
            <w:vAlign w:val="bottom"/>
          </w:tcPr>
          <w:p>
            <w:pPr>
              <w:ind w:left="20"/>
              <w:spacing w:after="0"/>
              <w:rPr>
                <w:sz w:val="20"/>
                <w:szCs w:val="20"/>
                <w:color w:val="auto"/>
              </w:rPr>
            </w:pPr>
            <w:r>
              <w:rPr>
                <w:rFonts w:ascii="Calibri" w:cs="Calibri" w:eastAsia="Calibri" w:hAnsi="Calibri"/>
                <w:sz w:val="18"/>
                <w:szCs w:val="18"/>
                <w:color w:val="auto"/>
              </w:rPr>
              <w:t>/s/ David C. Wajsgras</w:t>
            </w:r>
          </w:p>
        </w:tc>
        <w:tc>
          <w:tcPr>
            <w:tcW w:w="408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60" w:type="dxa"/>
            <w:vAlign w:val="bottom"/>
          </w:tcPr>
          <w:p>
            <w:pPr>
              <w:jc w:val="center"/>
              <w:ind w:left="548"/>
              <w:spacing w:after="0"/>
              <w:rPr>
                <w:sz w:val="20"/>
                <w:szCs w:val="20"/>
                <w:color w:val="auto"/>
              </w:rPr>
            </w:pPr>
            <w:r>
              <w:rPr>
                <w:rFonts w:ascii="Calibri" w:cs="Calibri" w:eastAsia="Calibri" w:hAnsi="Calibri"/>
                <w:sz w:val="18"/>
                <w:szCs w:val="18"/>
                <w:color w:val="auto"/>
                <w:w w:val="97"/>
              </w:rPr>
              <w:t>February 21, 2025</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David C. Wajsgras</w:t>
            </w:r>
          </w:p>
        </w:tc>
        <w:tc>
          <w:tcPr>
            <w:tcW w:w="40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9"/>
        </w:trPr>
        <w:tc>
          <w:tcPr>
            <w:tcW w:w="4500" w:type="dxa"/>
            <w:vAlign w:val="bottom"/>
          </w:tcPr>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115</w:t>
            </w:r>
          </w:p>
        </w:tc>
        <w:tc>
          <w:tcPr>
            <w:tcW w:w="40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45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-762635</wp:posOffset>
            </wp:positionV>
            <wp:extent cx="325755" cy="1974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38">
                      <a:extLst>
                        <a:ext uri="{28A0092B-C50C-407E-A947-70E740481C1C}"/>
                      </a:extLst>
                    </a:blip>
                    <a:srcRect/>
                    <a:stretch>
                      <a:fillRect/>
                    </a:stretch>
                  </pic:blipFill>
                  <pic:spPr bwMode="auto">
                    <a:xfrm>
                      <a:off x="0" y="0"/>
                      <a:ext cx="325755" cy="1974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7" w:name="page118"/>
    <w:bookmarkEnd w:id="117"/>
    <w:p>
      <w:pPr>
        <w:ind w:left="7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60195" cy="47180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41">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71805"/>
                    </a:xfrm>
                    <a:prstGeom prst="rect">
                      <a:avLst/>
                    </a:prstGeom>
                    <a:noFill/>
                  </pic:spPr>
                </pic:pic>
              </a:graphicData>
            </a:graphic>
          </wp:anchor>
        </w:drawing>
        <w:t>EXHIBIT 19.01</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Martin Marietta Materials,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0885"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42">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348" w:lineRule="exact"/>
        <w:rPr>
          <w:sz w:val="20"/>
          <w:szCs w:val="20"/>
          <w:color w:val="auto"/>
        </w:rPr>
      </w:pPr>
    </w:p>
    <w:p>
      <w:pPr>
        <w:ind w:left="740" w:hanging="732"/>
        <w:spacing w:after="0"/>
        <w:tabs>
          <w:tab w:leader="none" w:pos="74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PURPOSE</w:t>
      </w:r>
    </w:p>
    <w:p>
      <w:pPr>
        <w:spacing w:after="0" w:line="84" w:lineRule="exact"/>
        <w:rPr>
          <w:rFonts w:ascii="Arial" w:cs="Arial" w:eastAsia="Arial" w:hAnsi="Arial"/>
          <w:sz w:val="22"/>
          <w:szCs w:val="22"/>
          <w:color w:val="auto"/>
        </w:rPr>
      </w:pPr>
    </w:p>
    <w:p>
      <w:pPr>
        <w:jc w:val="both"/>
        <w:ind w:left="740" w:right="320"/>
        <w:spacing w:after="0" w:line="237" w:lineRule="auto"/>
        <w:rPr>
          <w:rFonts w:ascii="Arial" w:cs="Arial" w:eastAsia="Arial" w:hAnsi="Arial"/>
          <w:sz w:val="22"/>
          <w:szCs w:val="22"/>
          <w:color w:val="auto"/>
        </w:rPr>
      </w:pPr>
      <w:r>
        <w:rPr>
          <w:rFonts w:ascii="Arial" w:cs="Arial" w:eastAsia="Arial" w:hAnsi="Arial"/>
          <w:sz w:val="22"/>
          <w:szCs w:val="22"/>
          <w:color w:val="auto"/>
        </w:rPr>
        <w:t>The purpose of this policy (the “</w:t>
      </w:r>
      <w:r>
        <w:rPr>
          <w:rFonts w:ascii="Arial" w:cs="Arial" w:eastAsia="Arial" w:hAnsi="Arial"/>
          <w:sz w:val="22"/>
          <w:szCs w:val="22"/>
          <w:b w:val="1"/>
          <w:bCs w:val="1"/>
          <w:color w:val="auto"/>
        </w:rPr>
        <w:t>Policy</w:t>
      </w:r>
      <w:r>
        <w:rPr>
          <w:rFonts w:ascii="Arial" w:cs="Arial" w:eastAsia="Arial" w:hAnsi="Arial"/>
          <w:sz w:val="22"/>
          <w:szCs w:val="22"/>
          <w:color w:val="auto"/>
        </w:rPr>
        <w:t>”) is to promote compliance with U.S. securities laws that (i) prohibit trading in securities of a company while aware of material nonpublic information about that company, commonly known as “insider trading,” or (ii) providing such information to other persons who may trade on the basis of that information, commonly known as “tipping.” No employee, officer or director of Martin Marietta Materials, Inc., and its subsidiaries (collectively “</w:t>
      </w:r>
      <w:r>
        <w:rPr>
          <w:rFonts w:ascii="Arial" w:cs="Arial" w:eastAsia="Arial" w:hAnsi="Arial"/>
          <w:sz w:val="22"/>
          <w:szCs w:val="22"/>
          <w:b w:val="1"/>
          <w:bCs w:val="1"/>
          <w:color w:val="auto"/>
        </w:rPr>
        <w:t>Martin Marietta</w:t>
      </w:r>
      <w:r>
        <w:rPr>
          <w:rFonts w:ascii="Arial" w:cs="Arial" w:eastAsia="Arial" w:hAnsi="Arial"/>
          <w:sz w:val="22"/>
          <w:szCs w:val="22"/>
          <w:color w:val="auto"/>
        </w:rPr>
        <w:t>” or the “</w:t>
      </w:r>
      <w:r>
        <w:rPr>
          <w:rFonts w:ascii="Arial" w:cs="Arial" w:eastAsia="Arial" w:hAnsi="Arial"/>
          <w:sz w:val="22"/>
          <w:szCs w:val="22"/>
          <w:b w:val="1"/>
          <w:bCs w:val="1"/>
          <w:color w:val="auto"/>
        </w:rPr>
        <w:t>Company</w:t>
      </w:r>
      <w:r>
        <w:rPr>
          <w:rFonts w:ascii="Arial" w:cs="Arial" w:eastAsia="Arial" w:hAnsi="Arial"/>
          <w:sz w:val="22"/>
          <w:szCs w:val="22"/>
          <w:color w:val="auto"/>
        </w:rPr>
        <w:t>”) may engage in insider trading, tipping or any other activity prohibited by this Policy.</w:t>
      </w:r>
    </w:p>
    <w:p>
      <w:pPr>
        <w:spacing w:after="0" w:line="54" w:lineRule="exact"/>
        <w:rPr>
          <w:sz w:val="20"/>
          <w:szCs w:val="20"/>
          <w:color w:val="auto"/>
        </w:rPr>
      </w:pPr>
    </w:p>
    <w:p>
      <w:pPr>
        <w:ind w:left="740" w:hanging="732"/>
        <w:spacing w:after="0"/>
        <w:tabs>
          <w:tab w:leader="none" w:pos="74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SCOPE – WHO IS COVERED BY THIS POLICY?</w:t>
      </w:r>
    </w:p>
    <w:p>
      <w:pPr>
        <w:spacing w:after="0" w:line="100" w:lineRule="exact"/>
        <w:rPr>
          <w:rFonts w:ascii="Arial" w:cs="Arial" w:eastAsia="Arial" w:hAnsi="Arial"/>
          <w:sz w:val="22"/>
          <w:szCs w:val="22"/>
          <w:color w:val="auto"/>
        </w:rPr>
      </w:pPr>
    </w:p>
    <w:p>
      <w:pPr>
        <w:jc w:val="both"/>
        <w:ind w:left="760" w:right="320" w:hanging="10"/>
        <w:spacing w:after="0" w:line="236" w:lineRule="auto"/>
        <w:rPr>
          <w:rFonts w:ascii="Arial" w:cs="Arial" w:eastAsia="Arial" w:hAnsi="Arial"/>
          <w:sz w:val="22"/>
          <w:szCs w:val="22"/>
          <w:color w:val="auto"/>
        </w:rPr>
      </w:pPr>
      <w:r>
        <w:rPr>
          <w:rFonts w:ascii="Arial" w:cs="Arial" w:eastAsia="Arial" w:hAnsi="Arial"/>
          <w:sz w:val="22"/>
          <w:szCs w:val="22"/>
          <w:color w:val="auto"/>
        </w:rPr>
        <w:t>This Policy applies to all directors, officers and employees of Martin Marietta. Persons subject to this Policy are required to ensure that transactions which would otherwise be prohibited if engaged in by that person are not made by (a) their spouse, (b) family members who reside with them, (c) persons whose transactions in Martin Marietta securities are subject to their influence or control, or (d) accounts, family trusts, family partnerships and similar entities controlled by them or any of the individuals described in clauses (a) through (c).</w:t>
      </w:r>
    </w:p>
    <w:p>
      <w:pPr>
        <w:spacing w:after="0" w:line="74" w:lineRule="exact"/>
        <w:rPr>
          <w:sz w:val="20"/>
          <w:szCs w:val="20"/>
          <w:color w:val="auto"/>
        </w:rPr>
      </w:pPr>
    </w:p>
    <w:p>
      <w:pPr>
        <w:jc w:val="both"/>
        <w:ind w:left="760" w:right="340" w:hanging="9"/>
        <w:spacing w:after="0" w:line="245" w:lineRule="auto"/>
        <w:rPr>
          <w:sz w:val="20"/>
          <w:szCs w:val="20"/>
          <w:color w:val="auto"/>
        </w:rPr>
      </w:pPr>
      <w:r>
        <w:rPr>
          <w:rFonts w:ascii="Arial" w:cs="Arial" w:eastAsia="Arial" w:hAnsi="Arial"/>
          <w:sz w:val="22"/>
          <w:szCs w:val="22"/>
          <w:color w:val="auto"/>
        </w:rPr>
        <w:t>Martin Marietta may determine from time to time that other persons should be subject to this Policy, such as contractors or consultants who have access to material nonpublic information. Any such persons will be notified by the General Counsel.</w:t>
      </w:r>
    </w:p>
    <w:p>
      <w:pPr>
        <w:spacing w:after="0" w:line="60" w:lineRule="exact"/>
        <w:rPr>
          <w:sz w:val="20"/>
          <w:szCs w:val="20"/>
          <w:color w:val="auto"/>
        </w:rPr>
      </w:pPr>
    </w:p>
    <w:p>
      <w:pPr>
        <w:ind w:left="740" w:hanging="732"/>
        <w:spacing w:after="0"/>
        <w:tabs>
          <w:tab w:leader="none" w:pos="74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DEFINITION OF MATERIAL NONPUBLIC INFORMATION</w:t>
      </w:r>
    </w:p>
    <w:p>
      <w:pPr>
        <w:spacing w:after="0" w:line="85" w:lineRule="exact"/>
        <w:rPr>
          <w:sz w:val="20"/>
          <w:szCs w:val="20"/>
          <w:color w:val="auto"/>
        </w:rPr>
      </w:pPr>
    </w:p>
    <w:p>
      <w:pPr>
        <w:jc w:val="both"/>
        <w:ind w:left="760" w:right="320"/>
        <w:spacing w:after="0" w:line="245" w:lineRule="auto"/>
        <w:rPr>
          <w:sz w:val="20"/>
          <w:szCs w:val="20"/>
          <w:color w:val="auto"/>
        </w:rPr>
      </w:pPr>
      <w:r>
        <w:rPr>
          <w:rFonts w:ascii="Arial" w:cs="Arial" w:eastAsia="Arial" w:hAnsi="Arial"/>
          <w:sz w:val="22"/>
          <w:szCs w:val="22"/>
          <w:color w:val="auto"/>
        </w:rPr>
        <w:t>Information is considered “</w:t>
      </w:r>
      <w:r>
        <w:rPr>
          <w:rFonts w:ascii="Arial" w:cs="Arial" w:eastAsia="Arial" w:hAnsi="Arial"/>
          <w:sz w:val="22"/>
          <w:szCs w:val="22"/>
          <w:b w:val="1"/>
          <w:bCs w:val="1"/>
          <w:color w:val="auto"/>
        </w:rPr>
        <w:t>material</w:t>
      </w:r>
      <w:r>
        <w:rPr>
          <w:rFonts w:ascii="Arial" w:cs="Arial" w:eastAsia="Arial" w:hAnsi="Arial"/>
          <w:sz w:val="22"/>
          <w:szCs w:val="22"/>
          <w:color w:val="auto"/>
        </w:rPr>
        <w:t>” if a reasonable investor would consider that information important in making a decision to buy, hold or sell securities. Some examples of information that could be regarded as material include:</w:t>
      </w:r>
    </w:p>
    <w:p>
      <w:pPr>
        <w:spacing w:after="0" w:line="200" w:lineRule="exact"/>
        <w:rPr>
          <w:sz w:val="20"/>
          <w:szCs w:val="20"/>
          <w:color w:val="auto"/>
        </w:rPr>
      </w:pPr>
    </w:p>
    <w:p>
      <w:pPr>
        <w:spacing w:after="0" w:line="215" w:lineRule="exact"/>
        <w:rPr>
          <w:sz w:val="20"/>
          <w:szCs w:val="20"/>
          <w:color w:val="auto"/>
        </w:rPr>
      </w:pPr>
    </w:p>
    <w:p>
      <w:pPr>
        <w:ind w:left="1560" w:hanging="369"/>
        <w:spacing w:after="0"/>
        <w:tabs>
          <w:tab w:leader="none" w:pos="156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22"/>
          <w:szCs w:val="22"/>
          <w:color w:val="auto"/>
        </w:rPr>
        <w:t>Projections of future earnings or losses, or other earnings guidance;</w:t>
      </w:r>
    </w:p>
    <w:p>
      <w:pPr>
        <w:spacing w:after="0" w:line="97" w:lineRule="exact"/>
        <w:rPr>
          <w:rFonts w:ascii="Times New Roman" w:cs="Times New Roman" w:eastAsia="Times New Roman" w:hAnsi="Times New Roman"/>
          <w:sz w:val="22"/>
          <w:szCs w:val="22"/>
          <w:color w:val="auto"/>
        </w:rPr>
      </w:pPr>
    </w:p>
    <w:p>
      <w:pPr>
        <w:ind w:left="1560" w:hanging="369"/>
        <w:spacing w:after="0"/>
        <w:tabs>
          <w:tab w:leader="none" w:pos="156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22"/>
          <w:szCs w:val="22"/>
          <w:color w:val="auto"/>
        </w:rPr>
        <w:t>Changes to previously announced earnings guidance;</w:t>
      </w:r>
    </w:p>
    <w:p>
      <w:pPr>
        <w:spacing w:after="0" w:line="97" w:lineRule="exact"/>
        <w:rPr>
          <w:rFonts w:ascii="Times New Roman" w:cs="Times New Roman" w:eastAsia="Times New Roman" w:hAnsi="Times New Roman"/>
          <w:sz w:val="22"/>
          <w:szCs w:val="22"/>
          <w:color w:val="auto"/>
        </w:rPr>
      </w:pPr>
    </w:p>
    <w:p>
      <w:pPr>
        <w:ind w:left="1560" w:hanging="369"/>
        <w:spacing w:after="0"/>
        <w:tabs>
          <w:tab w:leader="none" w:pos="156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22"/>
          <w:szCs w:val="22"/>
          <w:color w:val="auto"/>
        </w:rPr>
        <w:t>Changes in dividend policy;</w:t>
      </w:r>
    </w:p>
    <w:p>
      <w:pPr>
        <w:spacing w:after="0" w:line="97" w:lineRule="exact"/>
        <w:rPr>
          <w:rFonts w:ascii="Times New Roman" w:cs="Times New Roman" w:eastAsia="Times New Roman" w:hAnsi="Times New Roman"/>
          <w:sz w:val="22"/>
          <w:szCs w:val="22"/>
          <w:color w:val="auto"/>
        </w:rPr>
      </w:pPr>
    </w:p>
    <w:p>
      <w:pPr>
        <w:ind w:left="1560" w:hanging="369"/>
        <w:spacing w:after="0"/>
        <w:tabs>
          <w:tab w:leader="none" w:pos="156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22"/>
          <w:szCs w:val="22"/>
          <w:color w:val="auto"/>
        </w:rPr>
        <w:t>The offering of additional securities;</w:t>
      </w:r>
    </w:p>
    <w:p>
      <w:pPr>
        <w:spacing w:after="0" w:line="97" w:lineRule="exact"/>
        <w:rPr>
          <w:rFonts w:ascii="Times New Roman" w:cs="Times New Roman" w:eastAsia="Times New Roman" w:hAnsi="Times New Roman"/>
          <w:sz w:val="22"/>
          <w:szCs w:val="22"/>
          <w:color w:val="auto"/>
        </w:rPr>
      </w:pPr>
    </w:p>
    <w:p>
      <w:pPr>
        <w:ind w:left="1560" w:hanging="369"/>
        <w:spacing w:after="0"/>
        <w:tabs>
          <w:tab w:leader="none" w:pos="156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22"/>
          <w:szCs w:val="22"/>
          <w:color w:val="auto"/>
        </w:rPr>
        <w:t>Pending or threatened material litigation;</w:t>
      </w:r>
    </w:p>
    <w:p>
      <w:pPr>
        <w:spacing w:after="0" w:line="97" w:lineRule="exact"/>
        <w:rPr>
          <w:rFonts w:ascii="Times New Roman" w:cs="Times New Roman" w:eastAsia="Times New Roman" w:hAnsi="Times New Roman"/>
          <w:sz w:val="22"/>
          <w:szCs w:val="22"/>
          <w:color w:val="auto"/>
        </w:rPr>
      </w:pPr>
    </w:p>
    <w:p>
      <w:pPr>
        <w:ind w:left="1560" w:hanging="369"/>
        <w:spacing w:after="0"/>
        <w:tabs>
          <w:tab w:leader="none" w:pos="156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22"/>
          <w:szCs w:val="22"/>
          <w:color w:val="auto"/>
        </w:rPr>
        <w:t>Impending bankruptcy or the existence of severe liquidity problems; and</w:t>
      </w:r>
    </w:p>
    <w:p>
      <w:pPr>
        <w:spacing w:after="0" w:line="97" w:lineRule="exact"/>
        <w:rPr>
          <w:rFonts w:ascii="Times New Roman" w:cs="Times New Roman" w:eastAsia="Times New Roman" w:hAnsi="Times New Roman"/>
          <w:sz w:val="22"/>
          <w:szCs w:val="22"/>
          <w:color w:val="auto"/>
        </w:rPr>
      </w:pPr>
    </w:p>
    <w:p>
      <w:pPr>
        <w:ind w:left="1560" w:hanging="369"/>
        <w:spacing w:after="0"/>
        <w:tabs>
          <w:tab w:leader="none" w:pos="156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22"/>
          <w:szCs w:val="22"/>
          <w:color w:val="auto"/>
        </w:rPr>
        <w:t>Material transactions, including acquisitions, divestitures, mergers, and tender offers.</w:t>
      </w:r>
    </w:p>
    <w:p>
      <w:pPr>
        <w:spacing w:after="0" w:line="97"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Insider Trading Policy</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18" w:name="page119"/>
    <w:bookmarkEnd w:id="118"/>
    <w:p>
      <w:pPr>
        <w:ind w:left="7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60195" cy="47180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44">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71805"/>
                    </a:xfrm>
                    <a:prstGeom prst="rect">
                      <a:avLst/>
                    </a:prstGeom>
                    <a:noFill/>
                  </pic:spPr>
                </pic:pic>
              </a:graphicData>
            </a:graphic>
          </wp:anchor>
        </w:drawing>
        <w:t>EXHIBIT 19.01</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Martin Marietta Materials,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0885"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45">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5" w:lineRule="exact"/>
        <w:rPr>
          <w:sz w:val="20"/>
          <w:szCs w:val="20"/>
          <w:color w:val="auto"/>
        </w:rPr>
      </w:pPr>
    </w:p>
    <w:p>
      <w:pPr>
        <w:jc w:val="both"/>
        <w:ind w:left="760" w:right="340"/>
        <w:spacing w:after="0" w:line="237" w:lineRule="auto"/>
        <w:rPr>
          <w:sz w:val="20"/>
          <w:szCs w:val="20"/>
          <w:color w:val="auto"/>
        </w:rPr>
      </w:pPr>
      <w:r>
        <w:rPr>
          <w:rFonts w:ascii="Arial" w:cs="Arial" w:eastAsia="Arial" w:hAnsi="Arial"/>
          <w:sz w:val="22"/>
          <w:szCs w:val="22"/>
          <w:color w:val="auto"/>
        </w:rPr>
        <w:t>Information that is not generally known or widely available to the public is typically considered to be “</w:t>
      </w:r>
      <w:r>
        <w:rPr>
          <w:rFonts w:ascii="Arial" w:cs="Arial" w:eastAsia="Arial" w:hAnsi="Arial"/>
          <w:sz w:val="22"/>
          <w:szCs w:val="22"/>
          <w:b w:val="1"/>
          <w:bCs w:val="1"/>
          <w:color w:val="auto"/>
        </w:rPr>
        <w:t>nonpublic</w:t>
      </w:r>
      <w:r>
        <w:rPr>
          <w:rFonts w:ascii="Arial" w:cs="Arial" w:eastAsia="Arial" w:hAnsi="Arial"/>
          <w:sz w:val="22"/>
          <w:szCs w:val="22"/>
          <w:color w:val="auto"/>
        </w:rPr>
        <w:t>” information. When in doubt, information obtained as an employee, officer or director of Martin Marietta that has not been announced broadly by Martin Marietta should be presumed to be material and non-public.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b w:val="1"/>
          <w:bCs w:val="1"/>
          <w:color w:val="auto"/>
        </w:rPr>
        <w:t>POLICY</w:t>
      </w:r>
    </w:p>
    <w:p>
      <w:pPr>
        <w:spacing w:after="0" w:line="98" w:lineRule="exact"/>
        <w:rPr>
          <w:sz w:val="20"/>
          <w:szCs w:val="20"/>
          <w:color w:val="auto"/>
        </w:rPr>
      </w:pPr>
    </w:p>
    <w:p>
      <w:pPr>
        <w:ind w:left="1460" w:hanging="718"/>
        <w:spacing w:after="0"/>
        <w:tabs>
          <w:tab w:leader="none" w:pos="1460"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Prohibition of Insider Trading and Tipping</w:t>
      </w:r>
    </w:p>
    <w:p>
      <w:pPr>
        <w:spacing w:after="0" w:line="87" w:lineRule="exact"/>
        <w:rPr>
          <w:sz w:val="20"/>
          <w:szCs w:val="20"/>
          <w:color w:val="auto"/>
        </w:rPr>
      </w:pPr>
    </w:p>
    <w:p>
      <w:pPr>
        <w:jc w:val="both"/>
        <w:ind w:left="1500" w:right="340"/>
        <w:spacing w:after="0" w:line="245" w:lineRule="auto"/>
        <w:rPr>
          <w:sz w:val="20"/>
          <w:szCs w:val="20"/>
          <w:color w:val="auto"/>
        </w:rPr>
      </w:pPr>
      <w:r>
        <w:rPr>
          <w:rFonts w:ascii="Arial" w:cs="Arial" w:eastAsia="Arial" w:hAnsi="Arial"/>
          <w:sz w:val="22"/>
          <w:szCs w:val="22"/>
          <w:color w:val="auto"/>
        </w:rPr>
        <w:t>No director, officer or other employee of Martin Marietta (or any other person designated by the General Counsel as subject to this Policy) who is aware of material nonpublic information relating to Martin Marietta may:</w:t>
      </w:r>
    </w:p>
    <w:p>
      <w:pPr>
        <w:spacing w:after="0" w:line="62" w:lineRule="exact"/>
        <w:rPr>
          <w:sz w:val="20"/>
          <w:szCs w:val="20"/>
          <w:color w:val="auto"/>
        </w:rPr>
      </w:pPr>
    </w:p>
    <w:p>
      <w:pPr>
        <w:ind w:left="2220" w:right="340" w:hanging="355"/>
        <w:spacing w:after="0" w:line="258" w:lineRule="auto"/>
        <w:tabs>
          <w:tab w:leader="none" w:pos="222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trade in Martin Marietta securities (except as otherwise specified in this Policy under the heading “Permitted Special Transactions” and “Rule 10b5-1 Plans” below);</w:t>
      </w:r>
    </w:p>
    <w:p>
      <w:pPr>
        <w:spacing w:after="0" w:line="35" w:lineRule="exact"/>
        <w:rPr>
          <w:rFonts w:ascii="Times New Roman" w:cs="Times New Roman" w:eastAsia="Times New Roman" w:hAnsi="Times New Roman"/>
          <w:sz w:val="22"/>
          <w:szCs w:val="22"/>
          <w:color w:val="auto"/>
        </w:rPr>
      </w:pPr>
    </w:p>
    <w:p>
      <w:pPr>
        <w:ind w:left="2220" w:hanging="355"/>
        <w:spacing w:after="0"/>
        <w:tabs>
          <w:tab w:leader="none" w:pos="222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recommend trading in Martin Marietta securities; or</w:t>
      </w:r>
    </w:p>
    <w:p>
      <w:pPr>
        <w:spacing w:after="0" w:line="83" w:lineRule="exact"/>
        <w:rPr>
          <w:rFonts w:ascii="Times New Roman" w:cs="Times New Roman" w:eastAsia="Times New Roman" w:hAnsi="Times New Roman"/>
          <w:sz w:val="22"/>
          <w:szCs w:val="22"/>
          <w:color w:val="auto"/>
        </w:rPr>
      </w:pPr>
    </w:p>
    <w:p>
      <w:pPr>
        <w:ind w:left="2220" w:hanging="355"/>
        <w:spacing w:after="0"/>
        <w:tabs>
          <w:tab w:leader="none" w:pos="222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assist anyone engaged in the above activities in violation of this Policy.</w:t>
      </w:r>
    </w:p>
    <w:p>
      <w:pPr>
        <w:spacing w:after="0" w:line="97" w:lineRule="exact"/>
        <w:rPr>
          <w:sz w:val="20"/>
          <w:szCs w:val="20"/>
          <w:color w:val="auto"/>
        </w:rPr>
      </w:pPr>
    </w:p>
    <w:p>
      <w:pPr>
        <w:jc w:val="both"/>
        <w:ind w:left="1500" w:right="320"/>
        <w:spacing w:after="0"/>
        <w:rPr>
          <w:sz w:val="20"/>
          <w:szCs w:val="20"/>
          <w:color w:val="auto"/>
        </w:rPr>
      </w:pPr>
      <w:r>
        <w:rPr>
          <w:rFonts w:ascii="Arial" w:cs="Arial" w:eastAsia="Arial" w:hAnsi="Arial"/>
          <w:sz w:val="22"/>
          <w:szCs w:val="22"/>
          <w:color w:val="auto"/>
        </w:rPr>
        <w:t>Similarly, persons covered by this Policy may not trade in securities of any other company while in possession of material nonpublic information about such company which they learned in the course of their employment with or service to Martin Marietta, such as information about acquisition negotiations with that other company.</w:t>
      </w:r>
    </w:p>
    <w:p>
      <w:pPr>
        <w:spacing w:after="0" w:line="53" w:lineRule="exact"/>
        <w:rPr>
          <w:sz w:val="20"/>
          <w:szCs w:val="20"/>
          <w:color w:val="auto"/>
        </w:rPr>
      </w:pPr>
    </w:p>
    <w:p>
      <w:pPr>
        <w:ind w:left="1460" w:hanging="718"/>
        <w:spacing w:after="0"/>
        <w:tabs>
          <w:tab w:leader="none" w:pos="14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Prohibited Transactions for Directors and Executive Officers</w:t>
      </w:r>
    </w:p>
    <w:p>
      <w:pPr>
        <w:spacing w:after="0" w:line="87" w:lineRule="exact"/>
        <w:rPr>
          <w:sz w:val="20"/>
          <w:szCs w:val="20"/>
          <w:color w:val="auto"/>
        </w:rPr>
      </w:pPr>
    </w:p>
    <w:p>
      <w:pPr>
        <w:jc w:val="both"/>
        <w:ind w:left="1500" w:right="340"/>
        <w:spacing w:after="0" w:line="245" w:lineRule="auto"/>
        <w:rPr>
          <w:sz w:val="20"/>
          <w:szCs w:val="20"/>
          <w:color w:val="auto"/>
        </w:rPr>
      </w:pPr>
      <w:r>
        <w:rPr>
          <w:rFonts w:ascii="Arial" w:cs="Arial" w:eastAsia="Arial" w:hAnsi="Arial"/>
          <w:sz w:val="22"/>
          <w:szCs w:val="22"/>
          <w:color w:val="auto"/>
        </w:rPr>
        <w:t>Martin Marieta has determined that the following transactions present heightened legal risk, and it is Martin Marietta’s policy that directors and executive officers may not engage in any of the following transactions at any time:</w:t>
      </w:r>
    </w:p>
    <w:p>
      <w:pPr>
        <w:spacing w:after="0" w:line="60" w:lineRule="exact"/>
        <w:rPr>
          <w:sz w:val="20"/>
          <w:szCs w:val="20"/>
          <w:color w:val="auto"/>
        </w:rPr>
      </w:pPr>
    </w:p>
    <w:p>
      <w:pPr>
        <w:jc w:val="both"/>
        <w:ind w:left="2240" w:right="340" w:hanging="360"/>
        <w:spacing w:after="0" w:line="245" w:lineRule="auto"/>
        <w:tabs>
          <w:tab w:leader="none" w:pos="2240" w:val="left"/>
        </w:tabs>
        <w:numPr>
          <w:ilvl w:val="0"/>
          <w:numId w:val="3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short-term trading </w:t>
      </w:r>
      <w:r>
        <w:rPr>
          <w:rFonts w:ascii="Arial" w:cs="Arial" w:eastAsia="Arial" w:hAnsi="Arial"/>
          <w:sz w:val="22"/>
          <w:szCs w:val="22"/>
          <w:color w:val="auto"/>
        </w:rPr>
        <w:t>- purchasing Martin Marietta securities and then selling any Martin</w:t>
      </w:r>
      <w:r>
        <w:rPr>
          <w:rFonts w:ascii="Arial" w:cs="Arial" w:eastAsia="Arial" w:hAnsi="Arial"/>
          <w:sz w:val="22"/>
          <w:szCs w:val="22"/>
          <w:b w:val="1"/>
          <w:bCs w:val="1"/>
          <w:color w:val="auto"/>
        </w:rPr>
        <w:t xml:space="preserve"> </w:t>
      </w:r>
      <w:r>
        <w:rPr>
          <w:rFonts w:ascii="Arial" w:cs="Arial" w:eastAsia="Arial" w:hAnsi="Arial"/>
          <w:sz w:val="22"/>
          <w:szCs w:val="22"/>
          <w:color w:val="auto"/>
        </w:rPr>
        <w:t>Marietta securities of the same class during the six months following the purchase or vice versa;</w:t>
      </w:r>
    </w:p>
    <w:p>
      <w:pPr>
        <w:spacing w:after="0" w:line="47" w:lineRule="exact"/>
        <w:rPr>
          <w:rFonts w:ascii="Times New Roman" w:cs="Times New Roman" w:eastAsia="Times New Roman" w:hAnsi="Times New Roman"/>
          <w:sz w:val="22"/>
          <w:szCs w:val="22"/>
          <w:color w:val="auto"/>
        </w:rPr>
      </w:pPr>
    </w:p>
    <w:p>
      <w:pPr>
        <w:ind w:left="2240" w:hanging="360"/>
        <w:spacing w:after="0"/>
        <w:tabs>
          <w:tab w:leader="none" w:pos="2240" w:val="left"/>
        </w:tabs>
        <w:numPr>
          <w:ilvl w:val="0"/>
          <w:numId w:val="3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short sales </w:t>
      </w:r>
      <w:r>
        <w:rPr>
          <w:rFonts w:ascii="Arial" w:cs="Arial" w:eastAsia="Arial" w:hAnsi="Arial"/>
          <w:sz w:val="22"/>
          <w:szCs w:val="22"/>
          <w:color w:val="auto"/>
        </w:rPr>
        <w:t>- the sale of Martin Marietta securities that the seller does not own;</w:t>
      </w:r>
    </w:p>
    <w:p>
      <w:pPr>
        <w:spacing w:after="0" w:line="97" w:lineRule="exact"/>
        <w:rPr>
          <w:rFonts w:ascii="Times New Roman" w:cs="Times New Roman" w:eastAsia="Times New Roman" w:hAnsi="Times New Roman"/>
          <w:sz w:val="22"/>
          <w:szCs w:val="22"/>
          <w:color w:val="auto"/>
        </w:rPr>
      </w:pPr>
    </w:p>
    <w:p>
      <w:pPr>
        <w:ind w:left="2240" w:right="340" w:hanging="360"/>
        <w:spacing w:after="0" w:line="260" w:lineRule="auto"/>
        <w:tabs>
          <w:tab w:leader="none" w:pos="2240" w:val="left"/>
        </w:tabs>
        <w:numPr>
          <w:ilvl w:val="0"/>
          <w:numId w:val="3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publicly traded options </w:t>
      </w:r>
      <w:r>
        <w:rPr>
          <w:rFonts w:ascii="Arial" w:cs="Arial" w:eastAsia="Arial" w:hAnsi="Arial"/>
          <w:sz w:val="22"/>
          <w:szCs w:val="22"/>
          <w:color w:val="auto"/>
        </w:rPr>
        <w:t>- put options, call options or other derivative securities of Martin</w:t>
      </w:r>
      <w:r>
        <w:rPr>
          <w:rFonts w:ascii="Arial" w:cs="Arial" w:eastAsia="Arial" w:hAnsi="Arial"/>
          <w:sz w:val="22"/>
          <w:szCs w:val="22"/>
          <w:b w:val="1"/>
          <w:bCs w:val="1"/>
          <w:color w:val="auto"/>
        </w:rPr>
        <w:t xml:space="preserve"> </w:t>
      </w:r>
      <w:r>
        <w:rPr>
          <w:rFonts w:ascii="Arial" w:cs="Arial" w:eastAsia="Arial" w:hAnsi="Arial"/>
          <w:sz w:val="22"/>
          <w:szCs w:val="22"/>
          <w:color w:val="auto"/>
        </w:rPr>
        <w:t>Marietta on an exchange or in any other organized market;</w:t>
      </w:r>
    </w:p>
    <w:p>
      <w:pPr>
        <w:spacing w:after="0" w:line="33"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Insider Trading Policy</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19" w:name="page120"/>
    <w:bookmarkEnd w:id="119"/>
    <w:p>
      <w:pPr>
        <w:ind w:left="7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60195" cy="47180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47">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71805"/>
                    </a:xfrm>
                    <a:prstGeom prst="rect">
                      <a:avLst/>
                    </a:prstGeom>
                    <a:noFill/>
                  </pic:spPr>
                </pic:pic>
              </a:graphicData>
            </a:graphic>
          </wp:anchor>
        </w:drawing>
        <w:t>EXHIBIT 19.01</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Martin Marietta Materials,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0885"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48">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5" w:lineRule="exact"/>
        <w:rPr>
          <w:sz w:val="20"/>
          <w:szCs w:val="20"/>
          <w:color w:val="auto"/>
        </w:rPr>
      </w:pPr>
    </w:p>
    <w:p>
      <w:pPr>
        <w:jc w:val="both"/>
        <w:ind w:left="2240" w:right="340" w:hanging="360"/>
        <w:spacing w:after="0" w:line="239" w:lineRule="auto"/>
        <w:tabs>
          <w:tab w:leader="none" w:pos="2240" w:val="left"/>
        </w:tabs>
        <w:numPr>
          <w:ilvl w:val="3"/>
          <w:numId w:val="3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hedging transactions </w:t>
      </w:r>
      <w:r>
        <w:rPr>
          <w:rFonts w:ascii="Arial" w:cs="Arial" w:eastAsia="Arial" w:hAnsi="Arial"/>
          <w:sz w:val="22"/>
          <w:szCs w:val="22"/>
          <w:color w:val="auto"/>
        </w:rPr>
        <w:t>– transactions in Martin Marietta securities including through the</w:t>
      </w:r>
      <w:r>
        <w:rPr>
          <w:rFonts w:ascii="Arial" w:cs="Arial" w:eastAsia="Arial" w:hAnsi="Arial"/>
          <w:sz w:val="22"/>
          <w:szCs w:val="22"/>
          <w:b w:val="1"/>
          <w:bCs w:val="1"/>
          <w:color w:val="auto"/>
        </w:rPr>
        <w:t xml:space="preserve"> </w:t>
      </w:r>
      <w:r>
        <w:rPr>
          <w:rFonts w:ascii="Arial" w:cs="Arial" w:eastAsia="Arial" w:hAnsi="Arial"/>
          <w:sz w:val="22"/>
          <w:szCs w:val="22"/>
          <w:color w:val="auto"/>
        </w:rPr>
        <w:t>use of financial instruments such as prepaid variable forwards, equity swaps, collars, puts, calls, options, other derivative securities, exchange funds or short sales;</w:t>
      </w:r>
    </w:p>
    <w:p>
      <w:pPr>
        <w:spacing w:after="0" w:line="66" w:lineRule="exact"/>
        <w:rPr>
          <w:rFonts w:ascii="Times New Roman" w:cs="Times New Roman" w:eastAsia="Times New Roman" w:hAnsi="Times New Roman"/>
          <w:sz w:val="22"/>
          <w:szCs w:val="22"/>
          <w:color w:val="auto"/>
        </w:rPr>
      </w:pPr>
    </w:p>
    <w:p>
      <w:pPr>
        <w:ind w:left="2240" w:right="340" w:hanging="360"/>
        <w:spacing w:after="0" w:line="260" w:lineRule="auto"/>
        <w:tabs>
          <w:tab w:leader="none" w:pos="2240" w:val="left"/>
        </w:tabs>
        <w:numPr>
          <w:ilvl w:val="3"/>
          <w:numId w:val="3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margin accounts and pledged securities </w:t>
      </w:r>
      <w:r>
        <w:rPr>
          <w:rFonts w:ascii="Arial" w:cs="Arial" w:eastAsia="Arial" w:hAnsi="Arial"/>
          <w:sz w:val="22"/>
          <w:szCs w:val="22"/>
          <w:color w:val="auto"/>
        </w:rPr>
        <w:t>– using Martin Marietta securities as collateral</w:t>
      </w:r>
      <w:r>
        <w:rPr>
          <w:rFonts w:ascii="Arial" w:cs="Arial" w:eastAsia="Arial" w:hAnsi="Arial"/>
          <w:sz w:val="22"/>
          <w:szCs w:val="22"/>
          <w:b w:val="1"/>
          <w:bCs w:val="1"/>
          <w:color w:val="auto"/>
        </w:rPr>
        <w:t xml:space="preserve"> </w:t>
      </w:r>
      <w:r>
        <w:rPr>
          <w:rFonts w:ascii="Arial" w:cs="Arial" w:eastAsia="Arial" w:hAnsi="Arial"/>
          <w:sz w:val="22"/>
          <w:szCs w:val="22"/>
          <w:color w:val="auto"/>
        </w:rPr>
        <w:t>for a loan or holding Martin Marietta securities in a margin account;</w:t>
      </w:r>
    </w:p>
    <w:p>
      <w:pPr>
        <w:spacing w:after="0" w:line="31" w:lineRule="exact"/>
        <w:rPr>
          <w:rFonts w:ascii="Times New Roman" w:cs="Times New Roman" w:eastAsia="Times New Roman" w:hAnsi="Times New Roman"/>
          <w:sz w:val="22"/>
          <w:szCs w:val="22"/>
          <w:color w:val="auto"/>
        </w:rPr>
      </w:pPr>
    </w:p>
    <w:p>
      <w:pPr>
        <w:jc w:val="both"/>
        <w:ind w:left="2240" w:right="340" w:hanging="360"/>
        <w:spacing w:after="0" w:line="245" w:lineRule="auto"/>
        <w:tabs>
          <w:tab w:leader="none" w:pos="2240" w:val="left"/>
        </w:tabs>
        <w:numPr>
          <w:ilvl w:val="3"/>
          <w:numId w:val="3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standing and limit orders </w:t>
      </w:r>
      <w:r>
        <w:rPr>
          <w:rFonts w:ascii="Arial" w:cs="Arial" w:eastAsia="Arial" w:hAnsi="Arial"/>
          <w:sz w:val="22"/>
          <w:szCs w:val="22"/>
          <w:color w:val="auto"/>
        </w:rPr>
        <w:t>– using standing and limit orders in Martin Marietta securities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standing and limit orders under Rule 10b5-1 Plans as described in greater detail under “Rule 10b5-1 Plans” below); and</w:t>
      </w:r>
    </w:p>
    <w:p>
      <w:pPr>
        <w:spacing w:after="0" w:line="61" w:lineRule="exact"/>
        <w:rPr>
          <w:rFonts w:ascii="Times New Roman" w:cs="Times New Roman" w:eastAsia="Times New Roman" w:hAnsi="Times New Roman"/>
          <w:sz w:val="22"/>
          <w:szCs w:val="22"/>
          <w:color w:val="auto"/>
        </w:rPr>
      </w:pPr>
    </w:p>
    <w:p>
      <w:pPr>
        <w:jc w:val="both"/>
        <w:ind w:left="2220" w:right="340" w:hanging="355"/>
        <w:spacing w:after="0" w:line="238" w:lineRule="auto"/>
        <w:tabs>
          <w:tab w:leader="none" w:pos="2220" w:val="left"/>
        </w:tabs>
        <w:numPr>
          <w:ilvl w:val="2"/>
          <w:numId w:val="3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dividend reinvestment plans (DRIPs) </w:t>
      </w:r>
      <w:r>
        <w:rPr>
          <w:rFonts w:ascii="Arial" w:cs="Arial" w:eastAsia="Arial" w:hAnsi="Arial"/>
          <w:sz w:val="22"/>
          <w:szCs w:val="22"/>
          <w:color w:val="auto"/>
        </w:rPr>
        <w:t>– using broker-sponsored or mutual fund-sponsored DRIPs to reinvest Martin Marietta dividends; any participation in such DRIP by a person becoming a director or executive officer must be reported to Martin Marietta and disgorged prior to such person’s election as a director or designation as an executive officer.</w:t>
      </w:r>
    </w:p>
    <w:p>
      <w:pPr>
        <w:spacing w:after="0" w:line="54" w:lineRule="exact"/>
        <w:rPr>
          <w:rFonts w:ascii="Times New Roman" w:cs="Times New Roman" w:eastAsia="Times New Roman" w:hAnsi="Times New Roman"/>
          <w:sz w:val="22"/>
          <w:szCs w:val="22"/>
          <w:color w:val="auto"/>
        </w:rPr>
      </w:pPr>
    </w:p>
    <w:p>
      <w:pPr>
        <w:ind w:left="1500" w:hanging="729"/>
        <w:spacing w:after="0"/>
        <w:tabs>
          <w:tab w:leader="none" w:pos="1500"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Rule 10b5-1 Plans</w:t>
      </w:r>
    </w:p>
    <w:p>
      <w:pPr>
        <w:spacing w:after="0" w:line="86" w:lineRule="exact"/>
        <w:rPr>
          <w:rFonts w:ascii="Arial" w:cs="Arial" w:eastAsia="Arial" w:hAnsi="Arial"/>
          <w:sz w:val="22"/>
          <w:szCs w:val="22"/>
          <w:color w:val="auto"/>
        </w:rPr>
      </w:pPr>
    </w:p>
    <w:p>
      <w:pPr>
        <w:jc w:val="both"/>
        <w:ind w:left="1500" w:right="320"/>
        <w:spacing w:after="0" w:line="233" w:lineRule="auto"/>
        <w:rPr>
          <w:rFonts w:ascii="Arial" w:cs="Arial" w:eastAsia="Arial" w:hAnsi="Arial"/>
          <w:sz w:val="22"/>
          <w:szCs w:val="22"/>
          <w:color w:val="auto"/>
        </w:rPr>
      </w:pPr>
      <w:r>
        <w:rPr>
          <w:rFonts w:ascii="Arial" w:cs="Arial" w:eastAsia="Arial" w:hAnsi="Arial"/>
          <w:sz w:val="22"/>
          <w:szCs w:val="22"/>
          <w:color w:val="auto"/>
        </w:rPr>
        <w:t>Notwithstanding the prohibitions described above, persons subject to this Policy may transact in Martin Marietta securities pursuant to a plan (a “</w:t>
      </w:r>
      <w:r>
        <w:rPr>
          <w:rFonts w:ascii="Arial" w:cs="Arial" w:eastAsia="Arial" w:hAnsi="Arial"/>
          <w:sz w:val="22"/>
          <w:szCs w:val="22"/>
          <w:b w:val="1"/>
          <w:bCs w:val="1"/>
          <w:color w:val="auto"/>
        </w:rPr>
        <w:t>Rule 10b5-1 Plan</w:t>
      </w:r>
      <w:r>
        <w:rPr>
          <w:rFonts w:ascii="Arial" w:cs="Arial" w:eastAsia="Arial" w:hAnsi="Arial"/>
          <w:sz w:val="22"/>
          <w:szCs w:val="22"/>
          <w:color w:val="auto"/>
        </w:rPr>
        <w:t>”) established in accordance with Rule 10b5-1 of the Securities Exchange Act of 1934, as amended (the “</w:t>
      </w:r>
      <w:r>
        <w:rPr>
          <w:rFonts w:ascii="Arial" w:cs="Arial" w:eastAsia="Arial" w:hAnsi="Arial"/>
          <w:sz w:val="22"/>
          <w:szCs w:val="22"/>
          <w:b w:val="1"/>
          <w:bCs w:val="1"/>
          <w:color w:val="auto"/>
        </w:rPr>
        <w:t>Exchange Act</w:t>
      </w:r>
      <w:r>
        <w:rPr>
          <w:rFonts w:ascii="Arial" w:cs="Arial" w:eastAsia="Arial" w:hAnsi="Arial"/>
          <w:sz w:val="22"/>
          <w:szCs w:val="22"/>
          <w:color w:val="auto"/>
        </w:rPr>
        <w:t>”). To comply with this Policy, a director or executive officer contemplating a Rule 10b5-1 Plan must provide a copy of the Rule 10b5-1 Plan to the General Counsel for review prior to adoption. Martin Marietta neither prohibits nor endorses Rule 10b5-1 Plans. The person entering into the Rule 10b5-1 Plan must ensure the Rule 10b5-1 Plan’s and the person’s full compliance with the Exchange Act. A Rule 10b5-1 Plan cannot be adopted during a quarterly blackout period or when the person is aware of material nonpublic information, and the first trade made pursuant to a Rule 10b5-1 Plan may not occur until after the required “cooling-off period” as specified in Rule 10b5-1(c) has expired. Directors and executive officers must promptly notify the General Counsel of any modification or termination of a Rule 10b5-1 Plan or any “non-Rule 10b5-1 trading arrangement” as specified in the Exchange Act.</w:t>
      </w:r>
    </w:p>
    <w:p>
      <w:pPr>
        <w:spacing w:after="0" w:line="72" w:lineRule="exact"/>
        <w:rPr>
          <w:rFonts w:ascii="Arial" w:cs="Arial" w:eastAsia="Arial" w:hAnsi="Arial"/>
          <w:sz w:val="22"/>
          <w:szCs w:val="22"/>
          <w:color w:val="auto"/>
        </w:rPr>
      </w:pPr>
    </w:p>
    <w:p>
      <w:pPr>
        <w:ind w:left="1460" w:hanging="718"/>
        <w:spacing w:after="0"/>
        <w:tabs>
          <w:tab w:leader="none" w:pos="146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Permitted Special Transactions</w:t>
      </w:r>
    </w:p>
    <w:p>
      <w:pPr>
        <w:spacing w:after="0" w:line="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This Policy does not apply in the case of the following transactions, except as specifically noted:</w:t>
      </w:r>
    </w:p>
    <w:p>
      <w:pPr>
        <w:spacing w:after="0" w:line="83" w:lineRule="exact"/>
        <w:rPr>
          <w:sz w:val="20"/>
          <w:szCs w:val="20"/>
          <w:color w:val="auto"/>
        </w:rPr>
      </w:pPr>
    </w:p>
    <w:p>
      <w:pPr>
        <w:ind w:left="2220" w:hanging="355"/>
        <w:spacing w:after="0"/>
        <w:tabs>
          <w:tab w:leader="none" w:pos="22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Transactions under Martin Marietta Plans</w:t>
      </w:r>
    </w:p>
    <w:p>
      <w:pPr>
        <w:spacing w:after="0" w:line="99"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Insider Trading Policy</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0" w:name="page121"/>
    <w:bookmarkEnd w:id="120"/>
    <w:p>
      <w:pPr>
        <w:ind w:left="7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60195" cy="4718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5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71805"/>
                    </a:xfrm>
                    <a:prstGeom prst="rect">
                      <a:avLst/>
                    </a:prstGeom>
                    <a:noFill/>
                  </pic:spPr>
                </pic:pic>
              </a:graphicData>
            </a:graphic>
          </wp:anchor>
        </w:drawing>
        <w:t>EXHIBIT 19.01</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Martin Marietta Materials,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0885"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51">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5" w:lineRule="exact"/>
        <w:rPr>
          <w:sz w:val="20"/>
          <w:szCs w:val="20"/>
          <w:color w:val="auto"/>
        </w:rPr>
      </w:pPr>
    </w:p>
    <w:p>
      <w:pPr>
        <w:jc w:val="both"/>
        <w:ind w:left="2980" w:right="340" w:hanging="366"/>
        <w:spacing w:after="0" w:line="246" w:lineRule="auto"/>
        <w:tabs>
          <w:tab w:leader="none" w:pos="2980" w:val="left"/>
        </w:tabs>
        <w:numPr>
          <w:ilvl w:val="1"/>
          <w:numId w:val="36"/>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 xml:space="preserve">Stock Option Exercises </w:t>
      </w:r>
      <w:r>
        <w:rPr>
          <w:rFonts w:ascii="Arial" w:cs="Arial" w:eastAsia="Arial" w:hAnsi="Arial"/>
          <w:sz w:val="21"/>
          <w:szCs w:val="21"/>
          <w:color w:val="auto"/>
        </w:rPr>
        <w:t>– this Policy does not apply to the exercise of a stock</w:t>
      </w:r>
      <w:r>
        <w:rPr>
          <w:rFonts w:ascii="Arial" w:cs="Arial" w:eastAsia="Arial" w:hAnsi="Arial"/>
          <w:sz w:val="21"/>
          <w:szCs w:val="21"/>
          <w:b w:val="1"/>
          <w:bCs w:val="1"/>
          <w:color w:val="auto"/>
        </w:rPr>
        <w:t xml:space="preserve"> </w:t>
      </w:r>
      <w:r>
        <w:rPr>
          <w:rFonts w:ascii="Arial" w:cs="Arial" w:eastAsia="Arial" w:hAnsi="Arial"/>
          <w:sz w:val="21"/>
          <w:szCs w:val="21"/>
          <w:color w:val="auto"/>
        </w:rPr>
        <w:t>option acquired pursuant to a Martin Marietta equity incentive plan or to a transaction in which a person has elected to have Martin Marietta withhold shares subject to an option award to satisfy tax withholding requirements. This Policy does, however, apply to any sale of shares as part of a broker-assisted cashless exercise of an option, or any other market sale for purpose of generating the cash needed to pay the exercise price of or taxes associated with an option.</w:t>
      </w:r>
    </w:p>
    <w:p>
      <w:pPr>
        <w:spacing w:after="0" w:line="61" w:lineRule="exact"/>
        <w:rPr>
          <w:rFonts w:ascii="Times New Roman" w:cs="Times New Roman" w:eastAsia="Times New Roman" w:hAnsi="Times New Roman"/>
          <w:sz w:val="21"/>
          <w:szCs w:val="21"/>
          <w:color w:val="auto"/>
        </w:rPr>
      </w:pPr>
    </w:p>
    <w:p>
      <w:pPr>
        <w:jc w:val="both"/>
        <w:ind w:left="2980" w:right="340" w:hanging="366"/>
        <w:spacing w:after="0" w:line="247" w:lineRule="auto"/>
        <w:tabs>
          <w:tab w:leader="none" w:pos="2980" w:val="left"/>
        </w:tabs>
        <w:numPr>
          <w:ilvl w:val="1"/>
          <w:numId w:val="36"/>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 xml:space="preserve">Vesting of Restricted Stock and Similar Awards </w:t>
      </w:r>
      <w:r>
        <w:rPr>
          <w:rFonts w:ascii="Arial" w:cs="Arial" w:eastAsia="Arial" w:hAnsi="Arial"/>
          <w:sz w:val="21"/>
          <w:szCs w:val="21"/>
          <w:color w:val="auto"/>
        </w:rPr>
        <w:t>– this Policy does not apply to</w:t>
      </w:r>
      <w:r>
        <w:rPr>
          <w:rFonts w:ascii="Arial" w:cs="Arial" w:eastAsia="Arial" w:hAnsi="Arial"/>
          <w:sz w:val="21"/>
          <w:szCs w:val="21"/>
          <w:b w:val="1"/>
          <w:bCs w:val="1"/>
          <w:color w:val="auto"/>
        </w:rPr>
        <w:t xml:space="preserve"> </w:t>
      </w:r>
      <w:r>
        <w:rPr>
          <w:rFonts w:ascii="Arial" w:cs="Arial" w:eastAsia="Arial" w:hAnsi="Arial"/>
          <w:sz w:val="21"/>
          <w:szCs w:val="21"/>
          <w:color w:val="auto"/>
        </w:rPr>
        <w:t>the vesting of restricted stock, the settlement of restricted stock units, performance-based stock units or similar awards or to a transaction in which there is an election to have Martin Marietta withhold shares to satisfy tax withholding requirements upon the vesting of any restricted stock or the vesting or settlement of any restricted stock unit or performance-based stock unit. This Policy does apply, however, to any market sale of shares received upon settlement of any restricted stock unit, performance-based stock unit or similar award.</w:t>
      </w:r>
    </w:p>
    <w:p>
      <w:pPr>
        <w:spacing w:after="0" w:line="49" w:lineRule="exact"/>
        <w:rPr>
          <w:rFonts w:ascii="Times New Roman" w:cs="Times New Roman" w:eastAsia="Times New Roman" w:hAnsi="Times New Roman"/>
          <w:sz w:val="21"/>
          <w:szCs w:val="21"/>
          <w:color w:val="auto"/>
        </w:rPr>
      </w:pPr>
    </w:p>
    <w:p>
      <w:pPr>
        <w:jc w:val="both"/>
        <w:ind w:left="2980" w:right="340" w:hanging="366"/>
        <w:spacing w:after="0" w:line="237" w:lineRule="auto"/>
        <w:tabs>
          <w:tab w:leader="none" w:pos="2980" w:val="left"/>
        </w:tabs>
        <w:numPr>
          <w:ilvl w:val="1"/>
          <w:numId w:val="36"/>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Employee Stock Purchase Plan </w:t>
      </w:r>
      <w:r>
        <w:rPr>
          <w:rFonts w:ascii="Arial" w:cs="Arial" w:eastAsia="Arial" w:hAnsi="Arial"/>
          <w:sz w:val="22"/>
          <w:szCs w:val="22"/>
          <w:color w:val="auto"/>
        </w:rPr>
        <w:t>– this Policy does not apply to periodic</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purchases under any employee stock purchase plan adopted by Martin Marietta, that are made as the result of an election made at the beginning of the purchase period. This Policy would apply, however, to an initial decision to participate in the plan or a decision to increase the level of contribution in a subsequent period. It would also apply to any sales of shares purchased under the plan.</w:t>
      </w:r>
    </w:p>
    <w:p>
      <w:pPr>
        <w:spacing w:after="0" w:line="66" w:lineRule="exact"/>
        <w:rPr>
          <w:rFonts w:ascii="Times New Roman" w:cs="Times New Roman" w:eastAsia="Times New Roman" w:hAnsi="Times New Roman"/>
          <w:sz w:val="22"/>
          <w:szCs w:val="22"/>
          <w:color w:val="auto"/>
        </w:rPr>
      </w:pPr>
    </w:p>
    <w:p>
      <w:pPr>
        <w:jc w:val="both"/>
        <w:ind w:left="2220" w:right="340" w:hanging="355"/>
        <w:spacing w:after="0" w:line="262" w:lineRule="auto"/>
        <w:tabs>
          <w:tab w:leader="none" w:pos="2220" w:val="left"/>
        </w:tabs>
        <w:numPr>
          <w:ilvl w:val="0"/>
          <w:numId w:val="36"/>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 xml:space="preserve">Transactions with Martin Marietta </w:t>
      </w:r>
      <w:r>
        <w:rPr>
          <w:rFonts w:ascii="Arial" w:cs="Arial" w:eastAsia="Arial" w:hAnsi="Arial"/>
          <w:sz w:val="21"/>
          <w:szCs w:val="21"/>
          <w:color w:val="auto"/>
        </w:rPr>
        <w:t>- purchases of Martin Marietta securities directly from</w:t>
      </w:r>
      <w:r>
        <w:rPr>
          <w:rFonts w:ascii="Arial" w:cs="Arial" w:eastAsia="Arial" w:hAnsi="Arial"/>
          <w:sz w:val="21"/>
          <w:szCs w:val="21"/>
          <w:b w:val="1"/>
          <w:bCs w:val="1"/>
          <w:color w:val="auto"/>
        </w:rPr>
        <w:t xml:space="preserve"> </w:t>
      </w:r>
      <w:r>
        <w:rPr>
          <w:rFonts w:ascii="Arial" w:cs="Arial" w:eastAsia="Arial" w:hAnsi="Arial"/>
          <w:sz w:val="21"/>
          <w:szCs w:val="21"/>
          <w:color w:val="auto"/>
        </w:rPr>
        <w:t>Martin Marietta or sales of Martin Marietta securities directly to Martin Marietta not already discussed under “Transactions under Martin Marietta Plans” are not subject to this Policy</w:t>
      </w:r>
    </w:p>
    <w:p>
      <w:pPr>
        <w:spacing w:after="0" w:line="31" w:lineRule="exact"/>
        <w:rPr>
          <w:rFonts w:ascii="Times New Roman" w:cs="Times New Roman" w:eastAsia="Times New Roman" w:hAnsi="Times New Roman"/>
          <w:sz w:val="21"/>
          <w:szCs w:val="21"/>
          <w:color w:val="auto"/>
        </w:rPr>
      </w:pPr>
    </w:p>
    <w:p>
      <w:pPr>
        <w:jc w:val="both"/>
        <w:ind w:left="2220" w:right="340" w:hanging="355"/>
        <w:spacing w:after="0" w:line="238" w:lineRule="auto"/>
        <w:tabs>
          <w:tab w:leader="none" w:pos="2220" w:val="left"/>
        </w:tabs>
        <w:numPr>
          <w:ilvl w:val="0"/>
          <w:numId w:val="36"/>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Transactions in Mutual Funds </w:t>
      </w:r>
      <w:r>
        <w:rPr>
          <w:rFonts w:ascii="Arial" w:cs="Arial" w:eastAsia="Arial" w:hAnsi="Arial"/>
          <w:sz w:val="22"/>
          <w:szCs w:val="22"/>
          <w:color w:val="auto"/>
        </w:rPr>
        <w:t>- transactions in mutual funds that are invested in Martin</w:t>
      </w:r>
      <w:r>
        <w:rPr>
          <w:rFonts w:ascii="Arial" w:cs="Arial" w:eastAsia="Arial" w:hAnsi="Arial"/>
          <w:sz w:val="22"/>
          <w:szCs w:val="22"/>
          <w:b w:val="1"/>
          <w:bCs w:val="1"/>
          <w:color w:val="auto"/>
        </w:rPr>
        <w:t xml:space="preserve"> </w:t>
      </w:r>
      <w:r>
        <w:rPr>
          <w:rFonts w:ascii="Arial" w:cs="Arial" w:eastAsia="Arial" w:hAnsi="Arial"/>
          <w:sz w:val="22"/>
          <w:szCs w:val="22"/>
          <w:color w:val="auto"/>
        </w:rPr>
        <w:t>Marietta securities where the Martin Marietta individual is not specifically directing the investment in specific stock are not subject to this Policy; however, as noted in Section IV.B above, directors and executive officers are not permitted to invest in broker-sponsored or mutual fund-sponsored DRIPs relating to Martin Marietta stock.</w:t>
      </w:r>
    </w:p>
    <w:p>
      <w:pPr>
        <w:spacing w:after="0" w:line="56"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Insider Trading Policy</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1" w:name="page122"/>
    <w:bookmarkEnd w:id="121"/>
    <w:p>
      <w:pPr>
        <w:ind w:left="7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60195" cy="47180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53">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71805"/>
                    </a:xfrm>
                    <a:prstGeom prst="rect">
                      <a:avLst/>
                    </a:prstGeom>
                    <a:noFill/>
                  </pic:spPr>
                </pic:pic>
              </a:graphicData>
            </a:graphic>
          </wp:anchor>
        </w:drawing>
        <w:t>EXHIBIT 19.01</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Martin Marietta Materials,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0885"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54">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5" w:lineRule="exact"/>
        <w:rPr>
          <w:sz w:val="20"/>
          <w:szCs w:val="20"/>
          <w:color w:val="auto"/>
        </w:rPr>
      </w:pPr>
    </w:p>
    <w:p>
      <w:pPr>
        <w:ind w:left="1460" w:hanging="718"/>
        <w:spacing w:after="0"/>
        <w:tabs>
          <w:tab w:leader="none" w:pos="146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Trading Window and Pre-Clearance Procedures</w:t>
      </w:r>
    </w:p>
    <w:p>
      <w:pPr>
        <w:spacing w:after="0" w:line="86" w:lineRule="exact"/>
        <w:rPr>
          <w:sz w:val="20"/>
          <w:szCs w:val="20"/>
          <w:color w:val="auto"/>
        </w:rPr>
      </w:pPr>
    </w:p>
    <w:p>
      <w:pPr>
        <w:jc w:val="both"/>
        <w:ind w:left="1500" w:right="340" w:hanging="14"/>
        <w:spacing w:after="0" w:line="245" w:lineRule="auto"/>
        <w:rPr>
          <w:sz w:val="20"/>
          <w:szCs w:val="20"/>
          <w:color w:val="auto"/>
        </w:rPr>
      </w:pPr>
      <w:r>
        <w:rPr>
          <w:rFonts w:ascii="Arial" w:cs="Arial" w:eastAsia="Arial" w:hAnsi="Arial"/>
          <w:sz w:val="22"/>
          <w:szCs w:val="22"/>
          <w:color w:val="auto"/>
        </w:rPr>
        <w:t xml:space="preserve">To help prevent inadvertent violations of this Policy and U.S. securities laws, Martin Marietta has adopted certain trading window and pre-clearance procedures specified on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to this Policy.</w:t>
      </w:r>
    </w:p>
    <w:p>
      <w:pPr>
        <w:spacing w:after="0" w:line="47" w:lineRule="exact"/>
        <w:rPr>
          <w:sz w:val="20"/>
          <w:szCs w:val="20"/>
          <w:color w:val="auto"/>
        </w:rPr>
      </w:pPr>
    </w:p>
    <w:p>
      <w:pPr>
        <w:ind w:left="740" w:hanging="732"/>
        <w:spacing w:after="0"/>
        <w:tabs>
          <w:tab w:leader="none" w:pos="74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SEEKING ADVICE AND NONRETALIATION</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Questions about this Policy should be referred to the General Counsel.</w:t>
      </w:r>
    </w:p>
    <w:p>
      <w:pPr>
        <w:spacing w:after="0" w:line="96" w:lineRule="exact"/>
        <w:rPr>
          <w:sz w:val="20"/>
          <w:szCs w:val="20"/>
          <w:color w:val="auto"/>
        </w:rPr>
      </w:pPr>
    </w:p>
    <w:p>
      <w:pPr>
        <w:jc w:val="both"/>
        <w:ind w:left="760" w:right="320"/>
        <w:spacing w:after="0" w:line="251" w:lineRule="auto"/>
        <w:rPr>
          <w:sz w:val="20"/>
          <w:szCs w:val="20"/>
          <w:color w:val="auto"/>
        </w:rPr>
      </w:pPr>
      <w:r>
        <w:rPr>
          <w:rFonts w:ascii="Arial" w:cs="Arial" w:eastAsia="Arial" w:hAnsi="Arial"/>
          <w:sz w:val="22"/>
          <w:szCs w:val="22"/>
          <w:b w:val="1"/>
          <w:bCs w:val="1"/>
          <w:color w:val="auto"/>
        </w:rPr>
        <w:t>No disciplinary or retaliatory action will be taken against an employee or other person for good faith reporting of a suspected violation of this Policy. However, failure to comply or failure to report a violation may result in disciplinary action, including possible termination.</w:t>
      </w:r>
    </w:p>
    <w:p>
      <w:pPr>
        <w:spacing w:after="0" w:line="45"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Insider Trading Policy</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5</w:t>
      </w:r>
      <w:r>
        <w:rPr>
          <w:rFonts w:ascii="Arial" w:cs="Arial" w:eastAsia="Arial" w:hAnsi="Arial"/>
          <w:sz w:val="22"/>
          <w:szCs w:val="22"/>
          <w:color w:val="auto"/>
        </w:rPr>
        <w:t xml:space="preserve"> of </w:t>
      </w: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2" w:name="page123"/>
    <w:bookmarkEnd w:id="122"/>
    <w:p>
      <w:pPr>
        <w:ind w:left="7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60195" cy="4718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56">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71805"/>
                    </a:xfrm>
                    <a:prstGeom prst="rect">
                      <a:avLst/>
                    </a:prstGeom>
                    <a:noFill/>
                  </pic:spPr>
                </pic:pic>
              </a:graphicData>
            </a:graphic>
          </wp:anchor>
        </w:drawing>
        <w:t>EXHIBIT 19.01</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Martin Marietta Materials,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0885"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57">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Exhibit A</w:t>
      </w:r>
    </w:p>
    <w:p>
      <w:pPr>
        <w:spacing w:after="0" w:line="125"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u w:val="single" w:color="auto"/>
          <w:color w:val="auto"/>
        </w:rPr>
        <w:t>Trading Window and Pre-Clearance Procedures</w:t>
      </w:r>
    </w:p>
    <w:p>
      <w:pPr>
        <w:spacing w:after="0" w:line="200" w:lineRule="exact"/>
        <w:rPr>
          <w:sz w:val="20"/>
          <w:szCs w:val="20"/>
          <w:color w:val="auto"/>
        </w:rPr>
      </w:pPr>
    </w:p>
    <w:p>
      <w:pPr>
        <w:spacing w:after="0" w:line="278" w:lineRule="exact"/>
        <w:rPr>
          <w:sz w:val="20"/>
          <w:szCs w:val="20"/>
          <w:color w:val="auto"/>
        </w:rPr>
      </w:pPr>
    </w:p>
    <w:p>
      <w:pPr>
        <w:ind w:right="420"/>
        <w:spacing w:after="0" w:line="259" w:lineRule="auto"/>
        <w:rPr>
          <w:sz w:val="20"/>
          <w:szCs w:val="20"/>
          <w:color w:val="auto"/>
        </w:rPr>
      </w:pPr>
      <w:r>
        <w:rPr>
          <w:rFonts w:ascii="Arial" w:cs="Arial" w:eastAsia="Arial" w:hAnsi="Arial"/>
          <w:sz w:val="22"/>
          <w:szCs w:val="22"/>
          <w:color w:val="auto"/>
        </w:rPr>
        <w:t>Martin Marietta has adopted the Pre-clearance Procedures and Quarterly Trading Restrictions specified below. In addition, Martin Marietta may impose Event Specific Trading Restrictions from time to time.</w:t>
      </w:r>
    </w:p>
    <w:p>
      <w:pPr>
        <w:spacing w:after="0" w:line="87" w:lineRule="exact"/>
        <w:rPr>
          <w:sz w:val="20"/>
          <w:szCs w:val="20"/>
          <w:color w:val="auto"/>
        </w:rPr>
      </w:pPr>
    </w:p>
    <w:p>
      <w:pPr>
        <w:ind w:left="760" w:right="280" w:hanging="378"/>
        <w:spacing w:after="0" w:line="261" w:lineRule="auto"/>
        <w:tabs>
          <w:tab w:leader="none" w:pos="76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Pre-Clearance Procedures – </w:t>
      </w:r>
      <w:r>
        <w:rPr>
          <w:rFonts w:ascii="Arial" w:cs="Arial" w:eastAsia="Arial" w:hAnsi="Arial"/>
          <w:sz w:val="22"/>
          <w:szCs w:val="22"/>
          <w:color w:val="auto"/>
        </w:rPr>
        <w:t>directors, Section 16 executive officers and other persons designated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Counsel from time to time are subject to the following Pre-Clearance Procedures:</w:t>
      </w:r>
    </w:p>
    <w:p>
      <w:pPr>
        <w:spacing w:after="0" w:line="72" w:lineRule="exact"/>
        <w:rPr>
          <w:rFonts w:ascii="Arial" w:cs="Arial" w:eastAsia="Arial" w:hAnsi="Arial"/>
          <w:sz w:val="22"/>
          <w:szCs w:val="22"/>
          <w:color w:val="auto"/>
        </w:rPr>
      </w:pPr>
    </w:p>
    <w:p>
      <w:pPr>
        <w:jc w:val="both"/>
        <w:ind w:left="1500" w:right="400" w:hanging="369"/>
        <w:spacing w:after="0" w:line="245" w:lineRule="auto"/>
        <w:tabs>
          <w:tab w:leader="none" w:pos="15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No person subject to Pre-Clearance Procedures may engage in any transaction in Martin Marietta securities (other than as specified in Exceptions below) without first obtaining pre-clearance of the transaction from the General Counsel.</w:t>
      </w:r>
    </w:p>
    <w:p>
      <w:pPr>
        <w:spacing w:after="0" w:line="102" w:lineRule="exact"/>
        <w:rPr>
          <w:rFonts w:ascii="Arial" w:cs="Arial" w:eastAsia="Arial" w:hAnsi="Arial"/>
          <w:sz w:val="22"/>
          <w:szCs w:val="22"/>
          <w:color w:val="auto"/>
        </w:rPr>
      </w:pPr>
    </w:p>
    <w:p>
      <w:pPr>
        <w:ind w:left="1500" w:right="880" w:hanging="369"/>
        <w:spacing w:after="0" w:line="259" w:lineRule="auto"/>
        <w:tabs>
          <w:tab w:leader="none" w:pos="15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A request for pre-clearance should be submitted at least one day in advance of the proposed transaction.</w:t>
      </w:r>
    </w:p>
    <w:p>
      <w:pPr>
        <w:spacing w:after="0" w:line="88" w:lineRule="exact"/>
        <w:rPr>
          <w:rFonts w:ascii="Arial" w:cs="Arial" w:eastAsia="Arial" w:hAnsi="Arial"/>
          <w:sz w:val="22"/>
          <w:szCs w:val="22"/>
          <w:color w:val="auto"/>
        </w:rPr>
      </w:pPr>
    </w:p>
    <w:p>
      <w:pPr>
        <w:ind w:left="1500" w:right="560" w:hanging="369"/>
        <w:spacing w:after="0" w:line="236" w:lineRule="auto"/>
        <w:tabs>
          <w:tab w:leader="none" w:pos="15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When a request for pre-clearance is made, the requestor should carefully consider whether the requestor may be aware of any material nonpublic information about Martin Marietta and should describe fully those circumstances to the General Counsel. The requestor should also indicate whether the requestor has made any non-exempt “opposite-way” transactions within the past six months, which transactions would be prohibited, and should be prepared to report the proposed transaction on an appropriate Form 4 or Form 5, if applicable.</w:t>
      </w:r>
    </w:p>
    <w:p>
      <w:pPr>
        <w:spacing w:after="0" w:line="100" w:lineRule="exact"/>
        <w:rPr>
          <w:rFonts w:ascii="Arial" w:cs="Arial" w:eastAsia="Arial" w:hAnsi="Arial"/>
          <w:sz w:val="22"/>
          <w:szCs w:val="22"/>
          <w:color w:val="auto"/>
        </w:rPr>
      </w:pPr>
    </w:p>
    <w:p>
      <w:pPr>
        <w:ind w:left="1500" w:right="180" w:hanging="369"/>
        <w:spacing w:after="0" w:line="259" w:lineRule="auto"/>
        <w:tabs>
          <w:tab w:leader="none" w:pos="15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requestor should also be prepared to comply with Rule 144 under the Securities Act of 1933, as amended, and file a Form 144, if necessary, at the time of any sale.</w:t>
      </w:r>
    </w:p>
    <w:p>
      <w:pPr>
        <w:spacing w:after="0" w:line="88" w:lineRule="exact"/>
        <w:rPr>
          <w:rFonts w:ascii="Arial" w:cs="Arial" w:eastAsia="Arial" w:hAnsi="Arial"/>
          <w:sz w:val="22"/>
          <w:szCs w:val="22"/>
          <w:color w:val="auto"/>
        </w:rPr>
      </w:pPr>
    </w:p>
    <w:p>
      <w:pPr>
        <w:ind w:left="1500" w:right="120" w:hanging="369"/>
        <w:spacing w:after="0" w:line="238" w:lineRule="auto"/>
        <w:tabs>
          <w:tab w:leader="none" w:pos="15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After receiving clearance to engage in a trade from the General Counsel, the requestor must complete the proposed trade before the Blackout Period (defined below) begins; provided, however, that if the requestor becomes aware of material nonpublic information before the trade is executed or if the General Counsel informs the requestor that the requestor is prohibited from trading, the preclearance is void and the trade must not be made.</w:t>
      </w:r>
    </w:p>
    <w:p>
      <w:pPr>
        <w:spacing w:after="0" w:line="109" w:lineRule="exact"/>
        <w:rPr>
          <w:rFonts w:ascii="Arial" w:cs="Arial" w:eastAsia="Arial" w:hAnsi="Arial"/>
          <w:sz w:val="22"/>
          <w:szCs w:val="22"/>
          <w:color w:val="auto"/>
        </w:rPr>
      </w:pPr>
    </w:p>
    <w:p>
      <w:pPr>
        <w:ind w:left="1500" w:right="160" w:hanging="369"/>
        <w:spacing w:after="0" w:line="259" w:lineRule="auto"/>
        <w:tabs>
          <w:tab w:leader="none" w:pos="15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For purposes of the Insider Trading Policy and this Addendum, “trading day” means any day that the New York Stock Exchange is open for trading.</w:t>
      </w:r>
    </w:p>
    <w:p>
      <w:pPr>
        <w:spacing w:after="0" w:line="75"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Insider Trading Policy</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6</w:t>
      </w:r>
      <w:r>
        <w:rPr>
          <w:rFonts w:ascii="Arial" w:cs="Arial" w:eastAsia="Arial" w:hAnsi="Arial"/>
          <w:sz w:val="22"/>
          <w:szCs w:val="22"/>
          <w:color w:val="auto"/>
        </w:rPr>
        <w:t xml:space="preserve"> of </w:t>
      </w: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3" w:name="page124"/>
    <w:bookmarkEnd w:id="123"/>
    <w:p>
      <w:pPr>
        <w:ind w:left="7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60195" cy="47180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59">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71805"/>
                    </a:xfrm>
                    <a:prstGeom prst="rect">
                      <a:avLst/>
                    </a:prstGeom>
                    <a:noFill/>
                  </pic:spPr>
                </pic:pic>
              </a:graphicData>
            </a:graphic>
          </wp:anchor>
        </w:drawing>
        <w:t>EXHIBIT 19.01</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Martin Marietta Materials,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088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60">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5" w:lineRule="exact"/>
        <w:rPr>
          <w:sz w:val="20"/>
          <w:szCs w:val="20"/>
          <w:color w:val="auto"/>
        </w:rPr>
      </w:pPr>
    </w:p>
    <w:p>
      <w:pPr>
        <w:ind w:left="1500" w:right="440" w:hanging="369"/>
        <w:spacing w:after="0" w:line="248" w:lineRule="auto"/>
        <w:tabs>
          <w:tab w:leader="none" w:pos="150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General Counsel can adopt additional pre-clearance procedures and restrictions from time to time and will notify impacted employees or directors in such case.</w:t>
      </w:r>
    </w:p>
    <w:p>
      <w:pPr>
        <w:spacing w:after="0" w:line="97" w:lineRule="exact"/>
        <w:rPr>
          <w:rFonts w:ascii="Arial" w:cs="Arial" w:eastAsia="Arial" w:hAnsi="Arial"/>
          <w:sz w:val="22"/>
          <w:szCs w:val="22"/>
          <w:color w:val="auto"/>
        </w:rPr>
      </w:pPr>
    </w:p>
    <w:p>
      <w:pPr>
        <w:ind w:left="760" w:right="40" w:hanging="378"/>
        <w:spacing w:after="0"/>
        <w:tabs>
          <w:tab w:leader="none" w:pos="76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Quarterly Trading Restrictions – </w:t>
      </w:r>
      <w:r>
        <w:rPr>
          <w:rFonts w:ascii="Arial" w:cs="Arial" w:eastAsia="Arial" w:hAnsi="Arial"/>
          <w:sz w:val="22"/>
          <w:szCs w:val="22"/>
          <w:color w:val="auto"/>
        </w:rPr>
        <w:t>directors, executive officers, any employee with access to consolidated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information, any employee holding a position of Vice President (or equivalent) or more senior, regardless of the area of responsibility, and other persons designed by the General Counsel from time to time are subject to the following Quarterly Trading Restrictions:</w:t>
      </w:r>
    </w:p>
    <w:p>
      <w:pPr>
        <w:spacing w:after="0" w:line="110" w:lineRule="exact"/>
        <w:rPr>
          <w:rFonts w:ascii="Arial" w:cs="Arial" w:eastAsia="Arial" w:hAnsi="Arial"/>
          <w:sz w:val="22"/>
          <w:szCs w:val="22"/>
          <w:color w:val="auto"/>
        </w:rPr>
      </w:pPr>
    </w:p>
    <w:p>
      <w:pPr>
        <w:ind w:left="1500" w:right="100" w:hanging="369"/>
        <w:spacing w:after="0" w:line="238" w:lineRule="auto"/>
        <w:tabs>
          <w:tab w:leader="none" w:pos="15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No person subject to Quarterly Trading Restrictions may engage in any transaction in Martin Marietta securities (other than as specified in Exceptions below) during a “</w:t>
      </w:r>
      <w:r>
        <w:rPr>
          <w:rFonts w:ascii="Arial" w:cs="Arial" w:eastAsia="Arial" w:hAnsi="Arial"/>
          <w:sz w:val="22"/>
          <w:szCs w:val="22"/>
          <w:b w:val="1"/>
          <w:bCs w:val="1"/>
          <w:color w:val="auto"/>
        </w:rPr>
        <w:t>Blackout Period</w:t>
      </w:r>
      <w:r>
        <w:rPr>
          <w:rFonts w:ascii="Arial" w:cs="Arial" w:eastAsia="Arial" w:hAnsi="Arial"/>
          <w:sz w:val="22"/>
          <w:szCs w:val="22"/>
          <w:color w:val="auto"/>
        </w:rPr>
        <w:t>”, which begins on the 15th day of the last month in each of Martin Marietta’s fiscal quarters and ends at 11:59 p.m. on the trading day that is the date of the public release of Martin Marietta’s earnings results for the previous quarter.</w:t>
      </w:r>
    </w:p>
    <w:p>
      <w:pPr>
        <w:spacing w:after="0" w:line="55" w:lineRule="exact"/>
        <w:rPr>
          <w:rFonts w:ascii="Arial" w:cs="Arial" w:eastAsia="Arial" w:hAnsi="Arial"/>
          <w:sz w:val="22"/>
          <w:szCs w:val="22"/>
          <w:color w:val="auto"/>
        </w:rPr>
      </w:pPr>
    </w:p>
    <w:p>
      <w:pPr>
        <w:ind w:left="1500" w:right="200" w:hanging="369"/>
        <w:spacing w:after="0"/>
        <w:tabs>
          <w:tab w:leader="none" w:pos="15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In other words, these persons may only conduct transactions in Martin Marietta securities during the “</w:t>
      </w:r>
      <w:r>
        <w:rPr>
          <w:rFonts w:ascii="Arial" w:cs="Arial" w:eastAsia="Arial" w:hAnsi="Arial"/>
          <w:sz w:val="22"/>
          <w:szCs w:val="22"/>
          <w:b w:val="1"/>
          <w:bCs w:val="1"/>
          <w:color w:val="auto"/>
        </w:rPr>
        <w:t>Open Window Period</w:t>
      </w:r>
      <w:r>
        <w:rPr>
          <w:rFonts w:ascii="Arial" w:cs="Arial" w:eastAsia="Arial" w:hAnsi="Arial"/>
          <w:sz w:val="22"/>
          <w:szCs w:val="22"/>
          <w:color w:val="auto"/>
        </w:rPr>
        <w:t>” beginning on the day after the trading day that is the date of the public release of Martin Marietta’s quarterly earnings and ending at 11:59 p.m. on the 14th day of the last month in each of Martin Marietta’s fiscal quarters.</w:t>
      </w:r>
    </w:p>
    <w:p>
      <w:pPr>
        <w:spacing w:after="0" w:line="54" w:lineRule="exact"/>
        <w:rPr>
          <w:rFonts w:ascii="Arial" w:cs="Arial" w:eastAsia="Arial" w:hAnsi="Arial"/>
          <w:sz w:val="22"/>
          <w:szCs w:val="22"/>
          <w:color w:val="auto"/>
        </w:rPr>
      </w:pPr>
    </w:p>
    <w:p>
      <w:pPr>
        <w:ind w:left="1500" w:right="120" w:hanging="369"/>
        <w:spacing w:after="0"/>
        <w:tabs>
          <w:tab w:leader="none" w:pos="15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For example, assuming a regular five-trading day week, if the earnings release is published on Wednesday, trading may begin on the next day (Thursday) and continue until the 14th day of the last month of Martin Marietta’s next fiscal quarter, assuming no event-specific trading restrictions are implemented.</w:t>
      </w:r>
    </w:p>
    <w:p>
      <w:pPr>
        <w:spacing w:after="0" w:line="68" w:lineRule="exact"/>
        <w:rPr>
          <w:rFonts w:ascii="Arial" w:cs="Arial" w:eastAsia="Arial" w:hAnsi="Arial"/>
          <w:sz w:val="22"/>
          <w:szCs w:val="22"/>
          <w:color w:val="auto"/>
        </w:rPr>
      </w:pPr>
    </w:p>
    <w:p>
      <w:pPr>
        <w:ind w:left="1500" w:right="100" w:hanging="369"/>
        <w:spacing w:after="0" w:line="259" w:lineRule="auto"/>
        <w:tabs>
          <w:tab w:leader="none" w:pos="1426" w:val="left"/>
        </w:tabs>
        <w:numPr>
          <w:ilvl w:val="1"/>
          <w:numId w:val="41"/>
        </w:numPr>
        <w:rPr>
          <w:rFonts w:ascii="Arial" w:cs="Arial" w:eastAsia="Arial" w:hAnsi="Arial"/>
          <w:sz w:val="22"/>
          <w:szCs w:val="22"/>
          <w:color w:val="auto"/>
        </w:rPr>
      </w:pPr>
      <w:r>
        <w:rPr>
          <w:rFonts w:ascii="Arial" w:cs="Arial" w:eastAsia="Arial" w:hAnsi="Arial"/>
          <w:sz w:val="22"/>
          <w:szCs w:val="22"/>
          <w:color w:val="auto"/>
        </w:rPr>
        <w:t>Persons subject to the Quarterly Trading Restrictions and related Blackout Period shall be designated by the General Counsel.</w:t>
      </w:r>
    </w:p>
    <w:p>
      <w:pPr>
        <w:spacing w:after="0" w:line="32" w:lineRule="exact"/>
        <w:rPr>
          <w:rFonts w:ascii="Arial" w:cs="Arial" w:eastAsia="Arial" w:hAnsi="Arial"/>
          <w:sz w:val="22"/>
          <w:szCs w:val="22"/>
          <w:color w:val="auto"/>
        </w:rPr>
      </w:pPr>
    </w:p>
    <w:p>
      <w:pPr>
        <w:ind w:left="760" w:hanging="378"/>
        <w:spacing w:after="0"/>
        <w:tabs>
          <w:tab w:leader="none" w:pos="76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Event-Specific Trading Restrictions</w:t>
      </w:r>
    </w:p>
    <w:p>
      <w:pPr>
        <w:spacing w:after="0" w:line="140" w:lineRule="exact"/>
        <w:rPr>
          <w:rFonts w:ascii="Arial" w:cs="Arial" w:eastAsia="Arial" w:hAnsi="Arial"/>
          <w:sz w:val="22"/>
          <w:szCs w:val="22"/>
          <w:color w:val="auto"/>
        </w:rPr>
      </w:pPr>
    </w:p>
    <w:p>
      <w:pPr>
        <w:ind w:left="1500" w:right="380" w:hanging="369"/>
        <w:spacing w:after="0"/>
        <w:tabs>
          <w:tab w:leader="none" w:pos="15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From time to time, an event or circumstance may occur that is material to Martin Marietta and is known by only a few directors, executive officers and/or employees. So long as the event remains material and nonpublic, such persons as designated by the General Counsel may not trade Martin Marietta securities.</w:t>
      </w:r>
    </w:p>
    <w:p>
      <w:pPr>
        <w:spacing w:after="0" w:line="54" w:lineRule="exact"/>
        <w:rPr>
          <w:rFonts w:ascii="Arial" w:cs="Arial" w:eastAsia="Arial" w:hAnsi="Arial"/>
          <w:sz w:val="22"/>
          <w:szCs w:val="22"/>
          <w:color w:val="auto"/>
        </w:rPr>
      </w:pPr>
    </w:p>
    <w:p>
      <w:pPr>
        <w:ind w:left="1500" w:right="100" w:hanging="369"/>
        <w:spacing w:after="0" w:line="283" w:lineRule="auto"/>
        <w:tabs>
          <w:tab w:leader="none" w:pos="1500" w:val="left"/>
        </w:tabs>
        <w:numPr>
          <w:ilvl w:val="1"/>
          <w:numId w:val="41"/>
        </w:numPr>
        <w:rPr>
          <w:rFonts w:ascii="Arial" w:cs="Arial" w:eastAsia="Arial" w:hAnsi="Arial"/>
          <w:sz w:val="21"/>
          <w:szCs w:val="21"/>
          <w:color w:val="auto"/>
        </w:rPr>
      </w:pPr>
      <w:r>
        <w:rPr>
          <w:rFonts w:ascii="Arial" w:cs="Arial" w:eastAsia="Arial" w:hAnsi="Arial"/>
          <w:sz w:val="21"/>
          <w:szCs w:val="21"/>
          <w:color w:val="auto"/>
        </w:rPr>
        <w:t>The existence of an Event-Specific Trading Restriction period or extension of a Blackout Period will not be announced to the Company as a whole and should not be communicated to any other person.</w:t>
      </w:r>
    </w:p>
    <w:p>
      <w:pPr>
        <w:spacing w:after="0" w:line="24" w:lineRule="exact"/>
        <w:rPr>
          <w:rFonts w:ascii="Arial" w:cs="Arial" w:eastAsia="Arial" w:hAnsi="Arial"/>
          <w:sz w:val="21"/>
          <w:szCs w:val="21"/>
          <w:color w:val="auto"/>
        </w:rPr>
      </w:pPr>
    </w:p>
    <w:p>
      <w:pPr>
        <w:ind w:left="1500" w:right="520" w:hanging="369"/>
        <w:spacing w:after="0" w:line="245" w:lineRule="auto"/>
        <w:tabs>
          <w:tab w:leader="none" w:pos="15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Even if the General Counsel has not designated you as a person who should not trade due to an Event-Specific Trading Restriction, you should not trade while aware of material nonpublic information.</w:t>
      </w:r>
    </w:p>
    <w:p>
      <w:pPr>
        <w:spacing w:after="0" w:line="49"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Insider Trading Policy</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7</w:t>
      </w:r>
      <w:r>
        <w:rPr>
          <w:rFonts w:ascii="Arial" w:cs="Arial" w:eastAsia="Arial" w:hAnsi="Arial"/>
          <w:sz w:val="22"/>
          <w:szCs w:val="22"/>
          <w:color w:val="auto"/>
        </w:rPr>
        <w:t xml:space="preserve"> of </w:t>
      </w: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4" w:name="page125"/>
    <w:bookmarkEnd w:id="124"/>
    <w:p>
      <w:pPr>
        <w:ind w:left="7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60195" cy="47180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62">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71805"/>
                    </a:xfrm>
                    <a:prstGeom prst="rect">
                      <a:avLst/>
                    </a:prstGeom>
                    <a:noFill/>
                  </pic:spPr>
                </pic:pic>
              </a:graphicData>
            </a:graphic>
          </wp:anchor>
        </w:drawing>
        <w:t>EXHIBIT 19.01</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Martin Marietta Materials,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0885"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63">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5" w:lineRule="exact"/>
        <w:rPr>
          <w:sz w:val="20"/>
          <w:szCs w:val="20"/>
          <w:color w:val="auto"/>
        </w:rPr>
      </w:pPr>
    </w:p>
    <w:p>
      <w:pPr>
        <w:ind w:left="760" w:hanging="378"/>
        <w:spacing w:after="0"/>
        <w:tabs>
          <w:tab w:leader="none" w:pos="76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Exceptions</w:t>
      </w:r>
    </w:p>
    <w:p>
      <w:pPr>
        <w:spacing w:after="0" w:line="86" w:lineRule="exact"/>
        <w:rPr>
          <w:rFonts w:ascii="Arial" w:cs="Arial" w:eastAsia="Arial" w:hAnsi="Arial"/>
          <w:sz w:val="22"/>
          <w:szCs w:val="22"/>
          <w:color w:val="auto"/>
        </w:rPr>
      </w:pPr>
    </w:p>
    <w:p>
      <w:pPr>
        <w:ind w:left="760" w:right="40"/>
        <w:spacing w:after="0" w:line="236" w:lineRule="auto"/>
        <w:rPr>
          <w:rFonts w:ascii="Arial" w:cs="Arial" w:eastAsia="Arial" w:hAnsi="Arial"/>
          <w:sz w:val="22"/>
          <w:szCs w:val="22"/>
          <w:color w:val="auto"/>
        </w:rPr>
      </w:pPr>
      <w:r>
        <w:rPr>
          <w:rFonts w:ascii="Arial" w:cs="Arial" w:eastAsia="Arial" w:hAnsi="Arial"/>
          <w:sz w:val="22"/>
          <w:szCs w:val="22"/>
          <w:color w:val="auto"/>
        </w:rPr>
        <w:t>The Quarterly Trading Restrictions and Event-Specific Trading Restrictions described above do not apply to those transactions to which the Insider Trading Policy does not apply, as described in the Insider Trading Policy under the headings “Transactions Under Corporation Plans,” “Transactions in Mutual Funds” and “Transactions with the Corporation.” Further, the requirement for Pre-Clearance Procedures, the Quarterly Trading Restrictions and Event-Specific Trading Restrictions do not apply to transactions conducted pursuant to pre-established Rule 10b5-1 Plans, described in the Insider Trading Policy under the heading “Rule 10b5-1 Plans.”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Insider Trading Policy</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8</w:t>
      </w:r>
      <w:r>
        <w:rPr>
          <w:rFonts w:ascii="Arial" w:cs="Arial" w:eastAsia="Arial" w:hAnsi="Arial"/>
          <w:sz w:val="22"/>
          <w:szCs w:val="22"/>
          <w:color w:val="auto"/>
        </w:rPr>
        <w:t xml:space="preserve"> of </w:t>
      </w: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5" w:name="page126"/>
    <w:bookmarkEnd w:id="125"/>
    <w:p>
      <w:pPr>
        <w:spacing w:after="0" w:line="200" w:lineRule="exact"/>
        <w:rPr>
          <w:sz w:val="20"/>
          <w:szCs w:val="20"/>
          <w:color w:val="auto"/>
        </w:rPr>
      </w:pPr>
    </w:p>
    <w:p>
      <w:pPr>
        <w:spacing w:after="0" w:line="232" w:lineRule="exact"/>
        <w:rPr>
          <w:sz w:val="20"/>
          <w:szCs w:val="20"/>
          <w:color w:val="auto"/>
        </w:rPr>
      </w:pPr>
    </w:p>
    <w:p>
      <w:pPr>
        <w:jc w:val="center"/>
        <w:ind w:left="1720"/>
        <w:spacing w:after="0"/>
        <w:rPr>
          <w:sz w:val="20"/>
          <w:szCs w:val="20"/>
          <w:color w:val="auto"/>
        </w:rPr>
      </w:pPr>
      <w:r>
        <w:rPr>
          <w:rFonts w:ascii="Calibri" w:cs="Calibri" w:eastAsia="Calibri" w:hAnsi="Calibri"/>
          <w:sz w:val="17"/>
          <w:szCs w:val="17"/>
          <w:b w:val="1"/>
          <w:bCs w:val="1"/>
          <w:color w:val="auto"/>
        </w:rPr>
        <w:t>SUBSIDIARIES OF MARTIN MARIETTA MATERIALS, INC.</w:t>
      </w:r>
    </w:p>
    <w:p>
      <w:pPr>
        <w:spacing w:after="0" w:line="4" w:lineRule="exact"/>
        <w:rPr>
          <w:sz w:val="20"/>
          <w:szCs w:val="20"/>
          <w:color w:val="auto"/>
        </w:rPr>
      </w:pPr>
    </w:p>
    <w:p>
      <w:pPr>
        <w:jc w:val="center"/>
        <w:ind w:left="1720"/>
        <w:spacing w:after="0"/>
        <w:rPr>
          <w:sz w:val="20"/>
          <w:szCs w:val="20"/>
          <w:color w:val="auto"/>
        </w:rPr>
      </w:pPr>
      <w:r>
        <w:rPr>
          <w:rFonts w:ascii="Calibri" w:cs="Calibri" w:eastAsia="Calibri" w:hAnsi="Calibri"/>
          <w:sz w:val="18"/>
          <w:szCs w:val="18"/>
          <w:b w:val="1"/>
          <w:bCs w:val="1"/>
          <w:color w:val="auto"/>
        </w:rPr>
        <w:t>AS OF DECEMBER 31,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Name of Subsidiary</w:t>
      </w:r>
    </w:p>
    <w:p>
      <w:pPr>
        <w:spacing w:after="0" w:line="235" w:lineRule="auto"/>
        <w:rPr>
          <w:sz w:val="20"/>
          <w:szCs w:val="20"/>
          <w:color w:val="auto"/>
        </w:rPr>
      </w:pPr>
      <w:r>
        <w:rPr>
          <w:rFonts w:ascii="Calibri" w:cs="Calibri" w:eastAsia="Calibri" w:hAnsi="Calibri"/>
          <w:sz w:val="18"/>
          <w:szCs w:val="18"/>
          <w:color w:val="auto"/>
        </w:rPr>
        <w:t>2M Lands, LLC, a North Carolina limited liability company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Alamo Gulf Coast Railroad Company, a Texas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Alamo North Texas Railroad Company, a Texas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Albert Frei &amp; Sons, Inc., a Colorado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American Aggregates Corporaton, a North Carolina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American Materials Technologies, LLC, a Tennessee limited liability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American Stone Company, a North Carolina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AR &amp; MJ Frei Limited Partnership, a Colorado limited liability partnership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Bahama Rock Limited, a Bahamas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Bluegrass – Blue Mount, LLC, a North Carolina limited liability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Bluegrass Materials Company, LLC, a North Carolina limited liability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Bluegrass-St. Marys, LLC, a North Carolina limited liability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Brookhollow Corporaton, a Delaware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Campbell’s C-Ment Contractng, Inc., a Colorado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CIG MC LLC, a Colorado limited liability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Creole Corporaton, a Delaware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FRI Ready Mix of Tennessee, LLC, a Florida limited liability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Front Range Aggregates LLC, a Delaware limited liability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Granite Canyon Quarry, a Wyoming joint venture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Harding Street Corporaton, a North Carolina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HSMM LLC, a North Carolina limited liability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Kent Sand &amp; Gravel Company, LLC, a North Carolina limited liability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Mardell Trucking Company, Inc., a North Carolina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Marlin Acquisiton Company 2, Inc., a Delaware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Martn Marieta ALTN Aggregates, Inc., a Tennessee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Martn Marieta ALTN Holding, Inc., a Delaware 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b w:val="1"/>
          <w:bCs w:val="1"/>
          <w:color w:val="auto"/>
        </w:rPr>
        <w:t>EXHIBIT 21.01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auto"/>
        </w:rPr>
        <w:t>Percent</w:t>
      </w:r>
    </w:p>
    <w:p>
      <w:pPr>
        <w:ind w:left="320"/>
        <w:spacing w:after="0" w:line="235" w:lineRule="auto"/>
        <w:rPr>
          <w:sz w:val="20"/>
          <w:szCs w:val="20"/>
          <w:color w:val="auto"/>
        </w:rPr>
      </w:pPr>
      <w:r>
        <w:rPr>
          <w:rFonts w:ascii="Calibri" w:cs="Calibri" w:eastAsia="Calibri" w:hAnsi="Calibri"/>
          <w:sz w:val="18"/>
          <w:szCs w:val="18"/>
          <w:b w:val="1"/>
          <w:bCs w:val="1"/>
          <w:u w:val="single" w:color="auto"/>
          <w:color w:val="auto"/>
        </w:rPr>
        <w:t>Owned</w:t>
      </w:r>
    </w:p>
    <w:p>
      <w:pPr>
        <w:ind w:left="340"/>
        <w:spacing w:after="0" w:line="210" w:lineRule="auto"/>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w:t>
      </w:r>
    </w:p>
    <w:p>
      <w:pPr>
        <w:spacing w:after="0" w:line="140"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99.5%</w:t>
      </w:r>
      <w:r>
        <w:rPr>
          <w:rFonts w:ascii="Calibri" w:cs="Calibri" w:eastAsia="Calibri" w:hAnsi="Calibri"/>
          <w:sz w:val="24"/>
          <w:szCs w:val="24"/>
          <w:color w:val="auto"/>
          <w:vertAlign w:val="superscript"/>
        </w:rPr>
        <w:t>2</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99.5%</w:t>
      </w:r>
      <w:r>
        <w:rPr>
          <w:rFonts w:ascii="Calibri" w:cs="Calibri" w:eastAsia="Calibri" w:hAnsi="Calibri"/>
          <w:sz w:val="24"/>
          <w:szCs w:val="24"/>
          <w:color w:val="auto"/>
          <w:vertAlign w:val="superscript"/>
        </w:rPr>
        <w:t>3</w:t>
      </w:r>
    </w:p>
    <w:p>
      <w:pPr>
        <w:spacing w:after="0" w:line="139"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4</w:t>
      </w:r>
    </w:p>
    <w:p>
      <w:pPr>
        <w:spacing w:after="0" w:line="172"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100%</w:t>
      </w:r>
    </w:p>
    <w:p>
      <w:pPr>
        <w:spacing w:after="0" w:line="180"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5</w:t>
      </w:r>
    </w:p>
    <w:p>
      <w:pPr>
        <w:spacing w:after="0" w:line="139"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50%</w:t>
      </w:r>
      <w:r>
        <w:rPr>
          <w:rFonts w:ascii="Calibri" w:cs="Calibri" w:eastAsia="Calibri" w:hAnsi="Calibri"/>
          <w:sz w:val="24"/>
          <w:szCs w:val="24"/>
          <w:color w:val="auto"/>
          <w:vertAlign w:val="superscript"/>
        </w:rPr>
        <w:t>6</w:t>
      </w:r>
    </w:p>
    <w:p>
      <w:pPr>
        <w:spacing w:after="0" w:line="139"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7</w:t>
      </w:r>
    </w:p>
    <w:p>
      <w:pPr>
        <w:spacing w:after="0" w:line="172"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100%</w:t>
      </w:r>
    </w:p>
    <w:p>
      <w:pPr>
        <w:spacing w:after="0" w:line="180"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8</w:t>
      </w:r>
    </w:p>
    <w:p>
      <w:pPr>
        <w:spacing w:after="0" w:line="139"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9</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10</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11</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12</w:t>
      </w:r>
    </w:p>
    <w:p>
      <w:pPr>
        <w:spacing w:after="0" w:line="172"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100%</w:t>
      </w:r>
    </w:p>
    <w:p>
      <w:pPr>
        <w:spacing w:after="0" w:line="180"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13</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14</w:t>
      </w:r>
    </w:p>
    <w:p>
      <w:pPr>
        <w:spacing w:after="0" w:line="172"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100%</w:t>
      </w:r>
    </w:p>
    <w:p>
      <w:pPr>
        <w:spacing w:after="0" w:line="180"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15</w:t>
      </w:r>
    </w:p>
    <w:p>
      <w:pPr>
        <w:spacing w:after="0" w:line="172"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100%</w:t>
      </w:r>
    </w:p>
    <w:p>
      <w:pPr>
        <w:spacing w:after="0" w:line="212"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100%</w:t>
      </w:r>
    </w:p>
    <w:p>
      <w:pPr>
        <w:spacing w:after="0" w:line="180"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16</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17</w:t>
      </w:r>
    </w:p>
    <w:p>
      <w:pPr>
        <w:spacing w:after="0" w:line="172"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100%</w:t>
      </w:r>
    </w:p>
    <w:p>
      <w:pPr>
        <w:spacing w:after="0" w:line="180"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18</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19</w:t>
      </w:r>
    </w:p>
    <w:p>
      <w:pPr>
        <w:sectPr>
          <w:pgSz w:w="11900" w:h="16838" w:orient="portrait"/>
          <w:cols w:equalWidth="0" w:num="2">
            <w:col w:w="9480" w:space="720"/>
            <w:col w:w="1020"/>
          </w:cols>
          <w:pgMar w:left="340" w:top="765"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93"/>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Arizona, LLC, a North Carolina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20</w:t>
            </w:r>
          </w:p>
        </w:tc>
      </w:tr>
      <w:tr>
        <w:trPr>
          <w:trHeight w:val="391"/>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Bluegrass, LLC, a North Carolina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73"/>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California A&amp;P, LLC, a North Carolina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21</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California Ready-Mix,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22</w:t>
            </w:r>
          </w:p>
        </w:tc>
      </w:tr>
      <w:tr>
        <w:trPr>
          <w:trHeight w:val="391"/>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Exchange Entty, LLC, a North Carolina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73"/>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Fleet Management LLC, a North Carolina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23</w:t>
            </w:r>
          </w:p>
        </w:tc>
      </w:tr>
      <w:tr>
        <w:trPr>
          <w:trHeight w:val="391"/>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Funding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Inc., a North Carolina corporaton</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73"/>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Kansas City,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24</w:t>
            </w:r>
          </w:p>
        </w:tc>
      </w:tr>
      <w:tr>
        <w:trPr>
          <w:trHeight w:val="391"/>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Magnesia Specialtes,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73"/>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Marine Finance, LLC, a California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25</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Marine Operatons, LLC, a California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26</w:t>
            </w:r>
          </w:p>
        </w:tc>
      </w:tr>
      <w:tr>
        <w:trPr>
          <w:trHeight w:val="391"/>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Materials Canada Limited, a Nova Scota, Canada corporaton</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Materials of Missouri, Inc., a North Carolina corporaton</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Materials Real Estate Investments, Inc., a North Carolina corporaton</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Materials Southwest,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Materials West Division, LLC, a North Carolina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73"/>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Northern California Aggregates,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27</w:t>
            </w:r>
          </w:p>
        </w:tc>
      </w:tr>
      <w:tr>
        <w:trPr>
          <w:trHeight w:val="391"/>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North Texas Cement,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73"/>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Pacifc District Cement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28</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San Diego Aggregates LLC, a California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29</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Southern California Aggregates,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30</w:t>
            </w:r>
          </w:p>
        </w:tc>
      </w:tr>
      <w:tr>
        <w:trPr>
          <w:trHeight w:val="391"/>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South Texas Cement,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73"/>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Texas Ready-Mix, LLC, a Texas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31</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Southeast AGG Operatons,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32</w:t>
            </w:r>
          </w:p>
        </w:tc>
      </w:tr>
      <w:tr>
        <w:trPr>
          <w:trHeight w:val="391"/>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Southeast Aggregates, Inc., a Delaware corporaton</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32"/>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Southwest Ready-Mix, Inc., a Delaware corporaton</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473"/>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Stockton, LLC, a Delaware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33</w:t>
            </w:r>
          </w:p>
        </w:tc>
      </w:tr>
      <w:tr>
        <w:trPr>
          <w:trHeight w:val="391"/>
        </w:trPr>
        <w:tc>
          <w:tcPr>
            <w:tcW w:w="8680" w:type="dxa"/>
            <w:vAlign w:val="bottom"/>
          </w:tcPr>
          <w:p>
            <w:pPr>
              <w:ind w:left="20"/>
              <w:spacing w:after="0"/>
              <w:rPr>
                <w:sz w:val="20"/>
                <w:szCs w:val="20"/>
                <w:color w:val="auto"/>
              </w:rPr>
            </w:pPr>
            <w:r>
              <w:rPr>
                <w:rFonts w:ascii="Calibri" w:cs="Calibri" w:eastAsia="Calibri" w:hAnsi="Calibri"/>
                <w:sz w:val="18"/>
                <w:szCs w:val="18"/>
                <w:color w:val="auto"/>
              </w:rPr>
              <w:t>Martn Marieta Transportaton and Distributon, LLC, a North Carolina limited liability company</w:t>
            </w:r>
          </w:p>
        </w:tc>
        <w:tc>
          <w:tcPr>
            <w:tcW w:w="2560" w:type="dxa"/>
            <w:vAlign w:val="bottom"/>
          </w:tcPr>
          <w:p>
            <w:pPr>
              <w:jc w:val="center"/>
              <w:ind w:left="1590"/>
              <w:spacing w:after="0"/>
              <w:rPr>
                <w:sz w:val="20"/>
                <w:szCs w:val="20"/>
                <w:color w:val="auto"/>
              </w:rPr>
            </w:pPr>
            <w:r>
              <w:rPr>
                <w:rFonts w:ascii="Calibri" w:cs="Calibri" w:eastAsia="Calibri" w:hAnsi="Calibri"/>
                <w:sz w:val="18"/>
                <w:szCs w:val="18"/>
                <w:color w:val="auto"/>
                <w:w w:val="99"/>
              </w:rPr>
              <w:t>100%</w:t>
            </w:r>
          </w:p>
        </w:tc>
      </w:tr>
      <w:tr>
        <w:trPr>
          <w:trHeight w:val="786"/>
        </w:trPr>
        <w:tc>
          <w:tcPr>
            <w:tcW w:w="86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93"/>
        </w:trPr>
        <w:tc>
          <w:tcPr>
            <w:tcW w:w="8520" w:type="dxa"/>
            <w:vAlign w:val="bottom"/>
          </w:tcPr>
          <w:p>
            <w:pPr>
              <w:ind w:left="20"/>
              <w:spacing w:after="0"/>
              <w:rPr>
                <w:sz w:val="20"/>
                <w:szCs w:val="20"/>
                <w:color w:val="auto"/>
              </w:rPr>
            </w:pPr>
            <w:r>
              <w:rPr>
                <w:rFonts w:ascii="Calibri" w:cs="Calibri" w:eastAsia="Calibri" w:hAnsi="Calibri"/>
                <w:sz w:val="18"/>
                <w:szCs w:val="18"/>
                <w:color w:val="auto"/>
              </w:rPr>
              <w:t>Material Producers, Inc., an Oklahoma corporaton</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34</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Maryland Materials, Inc., a North Carolina corporaton</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35</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Meridian Aggregates Company, a Limited Partnership, a North Carolina limited partnership</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36</w:t>
            </w:r>
          </w:p>
        </w:tc>
      </w:tr>
      <w:tr>
        <w:trPr>
          <w:trHeight w:val="391"/>
        </w:trPr>
        <w:tc>
          <w:tcPr>
            <w:tcW w:w="8520" w:type="dxa"/>
            <w:vAlign w:val="bottom"/>
          </w:tcPr>
          <w:p>
            <w:pPr>
              <w:ind w:left="20"/>
              <w:spacing w:after="0"/>
              <w:rPr>
                <w:sz w:val="20"/>
                <w:szCs w:val="20"/>
                <w:color w:val="auto"/>
              </w:rPr>
            </w:pPr>
            <w:r>
              <w:rPr>
                <w:rFonts w:ascii="Calibri" w:cs="Calibri" w:eastAsia="Calibri" w:hAnsi="Calibri"/>
                <w:sz w:val="18"/>
                <w:szCs w:val="18"/>
                <w:color w:val="auto"/>
              </w:rPr>
              <w:t>Meridian Aggregates Company Northwest, LLC, a North Carolina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9"/>
              </w:rPr>
              <w:t>100%</w:t>
            </w:r>
          </w:p>
        </w:tc>
      </w:tr>
      <w:tr>
        <w:trPr>
          <w:trHeight w:val="473"/>
        </w:trPr>
        <w:tc>
          <w:tcPr>
            <w:tcW w:w="8520" w:type="dxa"/>
            <w:vAlign w:val="bottom"/>
          </w:tcPr>
          <w:p>
            <w:pPr>
              <w:ind w:left="20"/>
              <w:spacing w:after="0"/>
              <w:rPr>
                <w:sz w:val="20"/>
                <w:szCs w:val="20"/>
                <w:color w:val="auto"/>
              </w:rPr>
            </w:pPr>
            <w:r>
              <w:rPr>
                <w:rFonts w:ascii="Calibri" w:cs="Calibri" w:eastAsia="Calibri" w:hAnsi="Calibri"/>
                <w:sz w:val="18"/>
                <w:szCs w:val="18"/>
                <w:color w:val="auto"/>
              </w:rPr>
              <w:t>Meridian Aggregates Investments, LLC, a North Carolina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37</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Meridian Granite Company, a North Carolina corporaton</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38</w:t>
            </w:r>
          </w:p>
        </w:tc>
      </w:tr>
      <w:tr>
        <w:trPr>
          <w:trHeight w:val="391"/>
        </w:trPr>
        <w:tc>
          <w:tcPr>
            <w:tcW w:w="8520" w:type="dxa"/>
            <w:vAlign w:val="bottom"/>
          </w:tcPr>
          <w:p>
            <w:pPr>
              <w:ind w:left="20"/>
              <w:spacing w:after="0"/>
              <w:rPr>
                <w:sz w:val="20"/>
                <w:szCs w:val="20"/>
                <w:color w:val="auto"/>
              </w:rPr>
            </w:pPr>
            <w:r>
              <w:rPr>
                <w:rFonts w:ascii="Calibri" w:cs="Calibri" w:eastAsia="Calibri" w:hAnsi="Calibri"/>
                <w:sz w:val="18"/>
                <w:szCs w:val="18"/>
                <w:color w:val="auto"/>
              </w:rPr>
              <w:t>Mid-State Constructon &amp; Materials, Inc., an Arkansas corporaton</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9"/>
              </w:rPr>
              <w:t>100%</w:t>
            </w:r>
          </w:p>
        </w:tc>
      </w:tr>
      <w:tr>
        <w:trPr>
          <w:trHeight w:val="473"/>
        </w:trPr>
        <w:tc>
          <w:tcPr>
            <w:tcW w:w="8520" w:type="dxa"/>
            <w:vAlign w:val="bottom"/>
          </w:tcPr>
          <w:p>
            <w:pPr>
              <w:ind w:left="20"/>
              <w:spacing w:after="0"/>
              <w:rPr>
                <w:sz w:val="20"/>
                <w:szCs w:val="20"/>
                <w:color w:val="auto"/>
              </w:rPr>
            </w:pPr>
            <w:r>
              <w:rPr>
                <w:rFonts w:ascii="Calibri" w:cs="Calibri" w:eastAsia="Calibri" w:hAnsi="Calibri"/>
                <w:sz w:val="18"/>
                <w:szCs w:val="18"/>
                <w:color w:val="auto"/>
              </w:rPr>
              <w:t>Mission Valley Rock Co., LLC, a California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39</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MMM Mexico I, LLC, a North Carolina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40</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MMM Mexico, LLC, a North Carolina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41</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MMMW AGG, LLC, a North Carolina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42</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MMMW CMT, LLC, a North Carolina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43</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MTD Pipeline LLC, a Delaware limited liability company</w:t>
            </w:r>
          </w:p>
        </w:tc>
        <w:tc>
          <w:tcPr>
            <w:tcW w:w="2720" w:type="dxa"/>
            <w:vAlign w:val="bottom"/>
          </w:tcPr>
          <w:p>
            <w:pPr>
              <w:jc w:val="center"/>
              <w:ind w:left="1730"/>
              <w:spacing w:after="0"/>
              <w:rPr>
                <w:sz w:val="20"/>
                <w:szCs w:val="20"/>
                <w:color w:val="auto"/>
              </w:rPr>
            </w:pPr>
            <w:r>
              <w:rPr>
                <w:rFonts w:ascii="Calibri" w:cs="Calibri" w:eastAsia="Calibri" w:hAnsi="Calibri"/>
                <w:sz w:val="18"/>
                <w:szCs w:val="18"/>
                <w:color w:val="auto"/>
                <w:w w:val="88"/>
              </w:rPr>
              <w:t>50%</w:t>
            </w:r>
            <w:r>
              <w:rPr>
                <w:rFonts w:ascii="Calibri" w:cs="Calibri" w:eastAsia="Calibri" w:hAnsi="Calibri"/>
                <w:sz w:val="24"/>
                <w:szCs w:val="24"/>
                <w:color w:val="auto"/>
                <w:w w:val="88"/>
                <w:vertAlign w:val="superscript"/>
              </w:rPr>
              <w:t>44</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Mystc Valley LLC, a Colorado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45</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Northeast Land and Material Company, Inc., a North Carolina corporaton</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46</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Palmeto Sand Company, Inc., a South Carolina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47</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Panadero Midco, LLC, a North Carolina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48</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PCAz Leasing, LLC, an Arizona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49</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Petrillo Brothers, Inc., a North Carolina corporaton</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50</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Piedras y Arenas Baja, S. de R.L. de C.V., a Mexico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51</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Powderly Transportaton, Inc., a North Carolina corporaton</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52</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R&amp;S Sand &amp; Gravel, LLC, a North Carolina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53</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Riverside Cement Company, a California general partnership</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54</w:t>
            </w:r>
          </w:p>
        </w:tc>
      </w:tr>
      <w:tr>
        <w:trPr>
          <w:trHeight w:val="391"/>
        </w:trPr>
        <w:tc>
          <w:tcPr>
            <w:tcW w:w="8520" w:type="dxa"/>
            <w:vAlign w:val="bottom"/>
          </w:tcPr>
          <w:p>
            <w:pPr>
              <w:ind w:left="20"/>
              <w:spacing w:after="0"/>
              <w:rPr>
                <w:sz w:val="20"/>
                <w:szCs w:val="20"/>
                <w:color w:val="auto"/>
              </w:rPr>
            </w:pPr>
            <w:r>
              <w:rPr>
                <w:rFonts w:ascii="Calibri" w:cs="Calibri" w:eastAsia="Calibri" w:hAnsi="Calibri"/>
                <w:sz w:val="18"/>
                <w:szCs w:val="18"/>
                <w:color w:val="auto"/>
              </w:rPr>
              <w:t>Rock &amp; Rail LLC, a Colorado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9"/>
              </w:rPr>
              <w:t>100%</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Rocky Mountain Materials and Asphalt, Inc., a Colorado corporaton</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9"/>
              </w:rPr>
              <w:t>100%</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Rocky Mountain Premix, Inc., a Colorado corporaton</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9"/>
              </w:rPr>
              <w:t>100%</w:t>
            </w:r>
          </w:p>
        </w:tc>
      </w:tr>
      <w:tr>
        <w:trPr>
          <w:trHeight w:val="473"/>
        </w:trPr>
        <w:tc>
          <w:tcPr>
            <w:tcW w:w="8520" w:type="dxa"/>
            <w:vAlign w:val="bottom"/>
          </w:tcPr>
          <w:p>
            <w:pPr>
              <w:ind w:left="20"/>
              <w:spacing w:after="0"/>
              <w:rPr>
                <w:sz w:val="20"/>
                <w:szCs w:val="20"/>
                <w:color w:val="auto"/>
              </w:rPr>
            </w:pPr>
            <w:r>
              <w:rPr>
                <w:rFonts w:ascii="Calibri" w:cs="Calibri" w:eastAsia="Calibri" w:hAnsi="Calibri"/>
                <w:sz w:val="18"/>
                <w:szCs w:val="18"/>
                <w:color w:val="auto"/>
              </w:rPr>
              <w:t>Rocky Mountain Ready Mix Concrete, Inc., a Colorado corporaton</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55</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Royal Gorge Express, LLC, a Colorado Limited Liability Company</w:t>
            </w:r>
          </w:p>
        </w:tc>
        <w:tc>
          <w:tcPr>
            <w:tcW w:w="2720" w:type="dxa"/>
            <w:vAlign w:val="bottom"/>
          </w:tcPr>
          <w:p>
            <w:pPr>
              <w:jc w:val="center"/>
              <w:ind w:left="1730"/>
              <w:spacing w:after="0"/>
              <w:rPr>
                <w:sz w:val="20"/>
                <w:szCs w:val="20"/>
                <w:color w:val="auto"/>
              </w:rPr>
            </w:pPr>
            <w:r>
              <w:rPr>
                <w:rFonts w:ascii="Calibri" w:cs="Calibri" w:eastAsia="Calibri" w:hAnsi="Calibri"/>
                <w:sz w:val="18"/>
                <w:szCs w:val="18"/>
                <w:color w:val="auto"/>
                <w:w w:val="88"/>
              </w:rPr>
              <w:t>50%</w:t>
            </w:r>
            <w:r>
              <w:rPr>
                <w:rFonts w:ascii="Calibri" w:cs="Calibri" w:eastAsia="Calibri" w:hAnsi="Calibri"/>
                <w:sz w:val="24"/>
                <w:szCs w:val="24"/>
                <w:color w:val="auto"/>
                <w:w w:val="88"/>
                <w:vertAlign w:val="superscript"/>
              </w:rPr>
              <w:t>56</w:t>
            </w:r>
          </w:p>
        </w:tc>
      </w:tr>
      <w:tr>
        <w:trPr>
          <w:trHeight w:val="432"/>
        </w:trPr>
        <w:tc>
          <w:tcPr>
            <w:tcW w:w="8520" w:type="dxa"/>
            <w:vAlign w:val="bottom"/>
          </w:tcPr>
          <w:p>
            <w:pPr>
              <w:ind w:left="20"/>
              <w:spacing w:after="0"/>
              <w:rPr>
                <w:sz w:val="20"/>
                <w:szCs w:val="20"/>
                <w:color w:val="auto"/>
              </w:rPr>
            </w:pPr>
            <w:r>
              <w:rPr>
                <w:rFonts w:ascii="Calibri" w:cs="Calibri" w:eastAsia="Calibri" w:hAnsi="Calibri"/>
                <w:sz w:val="18"/>
                <w:szCs w:val="18"/>
                <w:color w:val="auto"/>
              </w:rPr>
              <w:t>St. Marys Sand Company, LLC, a North Carolina limited liability company</w:t>
            </w:r>
          </w:p>
        </w:tc>
        <w:tc>
          <w:tcPr>
            <w:tcW w:w="2720" w:type="dxa"/>
            <w:vAlign w:val="bottom"/>
          </w:tcPr>
          <w:p>
            <w:pPr>
              <w:jc w:val="center"/>
              <w:ind w:left="175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57</w:t>
            </w:r>
          </w:p>
        </w:tc>
      </w:tr>
      <w:tr>
        <w:trPr>
          <w:trHeight w:val="746"/>
        </w:trPr>
        <w:tc>
          <w:tcPr>
            <w:tcW w:w="85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0"/>
        </w:trPr>
        <w:tc>
          <w:tcPr>
            <w:tcW w:w="7400" w:type="dxa"/>
            <w:vAlign w:val="bottom"/>
          </w:tcPr>
          <w:p>
            <w:pPr>
              <w:ind w:left="20"/>
              <w:spacing w:after="0"/>
              <w:rPr>
                <w:sz w:val="20"/>
                <w:szCs w:val="20"/>
                <w:color w:val="auto"/>
              </w:rPr>
            </w:pPr>
            <w:r>
              <w:rPr>
                <w:rFonts w:ascii="Calibri" w:cs="Calibri" w:eastAsia="Calibri" w:hAnsi="Calibri"/>
                <w:sz w:val="18"/>
                <w:szCs w:val="18"/>
                <w:color w:val="auto"/>
              </w:rPr>
              <w:t>Suburban Acquisiton Company, a Colorado corporaton</w:t>
            </w:r>
          </w:p>
        </w:tc>
        <w:tc>
          <w:tcPr>
            <w:tcW w:w="3680" w:type="dxa"/>
            <w:vAlign w:val="bottom"/>
          </w:tcPr>
          <w:p>
            <w:pPr>
              <w:jc w:val="center"/>
              <w:ind w:left="3030"/>
              <w:spacing w:after="0"/>
              <w:rPr>
                <w:sz w:val="20"/>
                <w:szCs w:val="20"/>
                <w:color w:val="auto"/>
              </w:rPr>
            </w:pPr>
            <w:r>
              <w:rPr>
                <w:rFonts w:ascii="Calibri" w:cs="Calibri" w:eastAsia="Calibri" w:hAnsi="Calibri"/>
                <w:sz w:val="18"/>
                <w:szCs w:val="18"/>
                <w:color w:val="auto"/>
                <w:w w:val="99"/>
              </w:rPr>
              <w:t>100%</w:t>
            </w:r>
          </w:p>
        </w:tc>
      </w:tr>
      <w:tr>
        <w:trPr>
          <w:trHeight w:val="473"/>
        </w:trPr>
        <w:tc>
          <w:tcPr>
            <w:tcW w:w="7400" w:type="dxa"/>
            <w:vAlign w:val="bottom"/>
          </w:tcPr>
          <w:p>
            <w:pPr>
              <w:ind w:left="20"/>
              <w:spacing w:after="0"/>
              <w:rPr>
                <w:sz w:val="20"/>
                <w:szCs w:val="20"/>
                <w:color w:val="auto"/>
              </w:rPr>
            </w:pPr>
            <w:r>
              <w:rPr>
                <w:rFonts w:ascii="Calibri" w:cs="Calibri" w:eastAsia="Calibri" w:hAnsi="Calibri"/>
                <w:sz w:val="18"/>
                <w:szCs w:val="18"/>
                <w:color w:val="auto"/>
              </w:rPr>
              <w:t>Theodore Holding, LLC, a Delaware limited liability company</w:t>
            </w:r>
          </w:p>
        </w:tc>
        <w:tc>
          <w:tcPr>
            <w:tcW w:w="3680" w:type="dxa"/>
            <w:vAlign w:val="bottom"/>
          </w:tcPr>
          <w:p>
            <w:pPr>
              <w:jc w:val="center"/>
              <w:ind w:left="3030"/>
              <w:spacing w:after="0"/>
              <w:rPr>
                <w:sz w:val="20"/>
                <w:szCs w:val="20"/>
                <w:color w:val="auto"/>
              </w:rPr>
            </w:pPr>
            <w:r>
              <w:rPr>
                <w:rFonts w:ascii="Calibri" w:cs="Calibri" w:eastAsia="Calibri" w:hAnsi="Calibri"/>
                <w:sz w:val="18"/>
                <w:szCs w:val="18"/>
                <w:color w:val="auto"/>
                <w:w w:val="91"/>
              </w:rPr>
              <w:t>60.7%</w:t>
            </w:r>
            <w:r>
              <w:rPr>
                <w:rFonts w:ascii="Calibri" w:cs="Calibri" w:eastAsia="Calibri" w:hAnsi="Calibri"/>
                <w:sz w:val="24"/>
                <w:szCs w:val="24"/>
                <w:color w:val="auto"/>
                <w:w w:val="91"/>
                <w:vertAlign w:val="superscript"/>
              </w:rPr>
              <w:t>58</w:t>
            </w:r>
          </w:p>
        </w:tc>
      </w:tr>
      <w:tr>
        <w:trPr>
          <w:trHeight w:val="391"/>
        </w:trPr>
        <w:tc>
          <w:tcPr>
            <w:tcW w:w="7400" w:type="dxa"/>
            <w:vAlign w:val="bottom"/>
          </w:tcPr>
          <w:p>
            <w:pPr>
              <w:ind w:left="20"/>
              <w:spacing w:after="0"/>
              <w:rPr>
                <w:sz w:val="20"/>
                <w:szCs w:val="20"/>
                <w:color w:val="auto"/>
              </w:rPr>
            </w:pPr>
            <w:r>
              <w:rPr>
                <w:rFonts w:ascii="Calibri" w:cs="Calibri" w:eastAsia="Calibri" w:hAnsi="Calibri"/>
                <w:sz w:val="18"/>
                <w:szCs w:val="18"/>
                <w:color w:val="auto"/>
              </w:rPr>
              <w:t>Tiller Corporaton, a North Carolina corporaton</w:t>
            </w:r>
          </w:p>
        </w:tc>
        <w:tc>
          <w:tcPr>
            <w:tcW w:w="3680" w:type="dxa"/>
            <w:vAlign w:val="bottom"/>
          </w:tcPr>
          <w:p>
            <w:pPr>
              <w:jc w:val="center"/>
              <w:ind w:left="3030"/>
              <w:spacing w:after="0"/>
              <w:rPr>
                <w:sz w:val="20"/>
                <w:szCs w:val="20"/>
                <w:color w:val="auto"/>
              </w:rPr>
            </w:pPr>
            <w:r>
              <w:rPr>
                <w:rFonts w:ascii="Calibri" w:cs="Calibri" w:eastAsia="Calibri" w:hAnsi="Calibri"/>
                <w:sz w:val="18"/>
                <w:szCs w:val="18"/>
                <w:color w:val="auto"/>
                <w:w w:val="99"/>
              </w:rPr>
              <w:t>100%</w:t>
            </w:r>
          </w:p>
        </w:tc>
      </w:tr>
      <w:tr>
        <w:trPr>
          <w:trHeight w:val="473"/>
        </w:trPr>
        <w:tc>
          <w:tcPr>
            <w:tcW w:w="7400" w:type="dxa"/>
            <w:vAlign w:val="bottom"/>
          </w:tcPr>
          <w:p>
            <w:pPr>
              <w:ind w:left="20"/>
              <w:spacing w:after="0"/>
              <w:rPr>
                <w:sz w:val="20"/>
                <w:szCs w:val="20"/>
                <w:color w:val="auto"/>
              </w:rPr>
            </w:pPr>
            <w:r>
              <w:rPr>
                <w:rFonts w:ascii="Calibri" w:cs="Calibri" w:eastAsia="Calibri" w:hAnsi="Calibri"/>
                <w:sz w:val="18"/>
                <w:szCs w:val="18"/>
                <w:color w:val="auto"/>
              </w:rPr>
              <w:t>TXI Aviaton, Inc. dba TXI Retail, a Texas corporaton</w:t>
            </w:r>
          </w:p>
        </w:tc>
        <w:tc>
          <w:tcPr>
            <w:tcW w:w="3680" w:type="dxa"/>
            <w:vAlign w:val="bottom"/>
          </w:tcPr>
          <w:p>
            <w:pPr>
              <w:jc w:val="center"/>
              <w:ind w:left="303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59</w:t>
            </w:r>
          </w:p>
        </w:tc>
      </w:tr>
      <w:tr>
        <w:trPr>
          <w:trHeight w:val="432"/>
        </w:trPr>
        <w:tc>
          <w:tcPr>
            <w:tcW w:w="7400" w:type="dxa"/>
            <w:vAlign w:val="bottom"/>
          </w:tcPr>
          <w:p>
            <w:pPr>
              <w:ind w:left="20"/>
              <w:spacing w:after="0"/>
              <w:rPr>
                <w:sz w:val="20"/>
                <w:szCs w:val="20"/>
                <w:color w:val="auto"/>
              </w:rPr>
            </w:pPr>
            <w:r>
              <w:rPr>
                <w:rFonts w:ascii="Calibri" w:cs="Calibri" w:eastAsia="Calibri" w:hAnsi="Calibri"/>
                <w:sz w:val="18"/>
                <w:szCs w:val="18"/>
                <w:color w:val="auto"/>
              </w:rPr>
              <w:t>TXI California, LLC, a Delaware limited liability company</w:t>
            </w:r>
          </w:p>
        </w:tc>
        <w:tc>
          <w:tcPr>
            <w:tcW w:w="3680" w:type="dxa"/>
            <w:vAlign w:val="bottom"/>
          </w:tcPr>
          <w:p>
            <w:pPr>
              <w:jc w:val="center"/>
              <w:ind w:left="303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60</w:t>
            </w:r>
          </w:p>
        </w:tc>
      </w:tr>
      <w:tr>
        <w:trPr>
          <w:trHeight w:val="432"/>
        </w:trPr>
        <w:tc>
          <w:tcPr>
            <w:tcW w:w="7400" w:type="dxa"/>
            <w:vAlign w:val="bottom"/>
          </w:tcPr>
          <w:p>
            <w:pPr>
              <w:ind w:left="20"/>
              <w:spacing w:after="0"/>
              <w:rPr>
                <w:sz w:val="20"/>
                <w:szCs w:val="20"/>
                <w:color w:val="auto"/>
              </w:rPr>
            </w:pPr>
            <w:r>
              <w:rPr>
                <w:rFonts w:ascii="Calibri" w:cs="Calibri" w:eastAsia="Calibri" w:hAnsi="Calibri"/>
                <w:sz w:val="18"/>
                <w:szCs w:val="18"/>
                <w:color w:val="auto"/>
              </w:rPr>
              <w:t>TXI Riverside, LLC, a Delaware limited liability company</w:t>
            </w:r>
          </w:p>
        </w:tc>
        <w:tc>
          <w:tcPr>
            <w:tcW w:w="3680" w:type="dxa"/>
            <w:vAlign w:val="bottom"/>
          </w:tcPr>
          <w:p>
            <w:pPr>
              <w:jc w:val="center"/>
              <w:ind w:left="3030"/>
              <w:spacing w:after="0"/>
              <w:rPr>
                <w:sz w:val="20"/>
                <w:szCs w:val="20"/>
                <w:color w:val="auto"/>
              </w:rPr>
            </w:pPr>
            <w:r>
              <w:rPr>
                <w:rFonts w:ascii="Calibri" w:cs="Calibri" w:eastAsia="Calibri" w:hAnsi="Calibri"/>
                <w:sz w:val="18"/>
                <w:szCs w:val="18"/>
                <w:color w:val="auto"/>
                <w:w w:val="91"/>
              </w:rPr>
              <w:t>100%</w:t>
            </w:r>
            <w:r>
              <w:rPr>
                <w:rFonts w:ascii="Calibri" w:cs="Calibri" w:eastAsia="Calibri" w:hAnsi="Calibri"/>
                <w:sz w:val="24"/>
                <w:szCs w:val="24"/>
                <w:color w:val="auto"/>
                <w:w w:val="91"/>
                <w:vertAlign w:val="superscript"/>
              </w:rPr>
              <w:t>61</w:t>
            </w:r>
          </w:p>
        </w:tc>
      </w:tr>
      <w:tr>
        <w:trPr>
          <w:trHeight w:val="432"/>
        </w:trPr>
        <w:tc>
          <w:tcPr>
            <w:tcW w:w="7400" w:type="dxa"/>
            <w:vAlign w:val="bottom"/>
          </w:tcPr>
          <w:p>
            <w:pPr>
              <w:ind w:left="20"/>
              <w:spacing w:after="0"/>
              <w:rPr>
                <w:sz w:val="20"/>
                <w:szCs w:val="20"/>
                <w:color w:val="auto"/>
              </w:rPr>
            </w:pPr>
            <w:r>
              <w:rPr>
                <w:rFonts w:ascii="Calibri" w:cs="Calibri" w:eastAsia="Calibri" w:hAnsi="Calibri"/>
                <w:sz w:val="18"/>
                <w:szCs w:val="18"/>
                <w:color w:val="auto"/>
              </w:rPr>
              <w:t>Valley Stone LLC, a Virginia limited liability company</w:t>
            </w:r>
          </w:p>
        </w:tc>
        <w:tc>
          <w:tcPr>
            <w:tcW w:w="3680" w:type="dxa"/>
            <w:vAlign w:val="bottom"/>
          </w:tcPr>
          <w:p>
            <w:pPr>
              <w:jc w:val="center"/>
              <w:ind w:left="3010"/>
              <w:spacing w:after="0"/>
              <w:rPr>
                <w:sz w:val="20"/>
                <w:szCs w:val="20"/>
                <w:color w:val="auto"/>
              </w:rPr>
            </w:pPr>
            <w:r>
              <w:rPr>
                <w:rFonts w:ascii="Calibri" w:cs="Calibri" w:eastAsia="Calibri" w:hAnsi="Calibri"/>
                <w:sz w:val="18"/>
                <w:szCs w:val="18"/>
                <w:color w:val="auto"/>
                <w:w w:val="88"/>
              </w:rPr>
              <w:t>50%</w:t>
            </w:r>
            <w:r>
              <w:rPr>
                <w:rFonts w:ascii="Calibri" w:cs="Calibri" w:eastAsia="Calibri" w:hAnsi="Calibri"/>
                <w:sz w:val="24"/>
                <w:szCs w:val="24"/>
                <w:color w:val="auto"/>
                <w:w w:val="88"/>
                <w:vertAlign w:val="superscript"/>
              </w:rPr>
              <w:t>62</w:t>
            </w:r>
          </w:p>
        </w:tc>
      </w:tr>
      <w:tr>
        <w:trPr>
          <w:trHeight w:val="292"/>
        </w:trPr>
        <w:tc>
          <w:tcPr>
            <w:tcW w:w="7400" w:type="dxa"/>
            <w:vAlign w:val="bottom"/>
          </w:tcPr>
          <w:p>
            <w:pPr>
              <w:spacing w:after="0"/>
              <w:rPr>
                <w:sz w:val="20"/>
                <w:szCs w:val="20"/>
                <w:color w:val="auto"/>
              </w:rPr>
            </w:pPr>
            <w:r>
              <w:rPr>
                <w:rFonts w:ascii="Calibri" w:cs="Calibri" w:eastAsia="Calibri" w:hAnsi="Calibri"/>
                <w:sz w:val="11"/>
                <w:szCs w:val="11"/>
                <w:color w:val="auto"/>
              </w:rPr>
              <w:t>------------------------------------------------------------------------------------------------------------------</w:t>
            </w:r>
          </w:p>
        </w:tc>
        <w:tc>
          <w:tcPr>
            <w:tcW w:w="3680" w:type="dxa"/>
            <w:vAlign w:val="bottom"/>
          </w:tcPr>
          <w:p>
            <w:pPr>
              <w:spacing w:after="0"/>
              <w:rPr>
                <w:sz w:val="24"/>
                <w:szCs w:val="24"/>
                <w:color w:val="auto"/>
              </w:rPr>
            </w:pPr>
          </w:p>
        </w:tc>
      </w:tr>
    </w:tbl>
    <w:p>
      <w:pPr>
        <w:spacing w:after="0" w:line="264" w:lineRule="exact"/>
        <w:rPr>
          <w:sz w:val="20"/>
          <w:szCs w:val="20"/>
          <w:color w:val="auto"/>
        </w:rPr>
      </w:pPr>
    </w:p>
    <w:p>
      <w:pPr>
        <w:ind w:left="760" w:hanging="378"/>
        <w:spacing w:after="0"/>
        <w:tabs>
          <w:tab w:leader="none" w:pos="760" w:val="left"/>
        </w:tabs>
        <w:numPr>
          <w:ilvl w:val="0"/>
          <w:numId w:val="43"/>
        </w:numPr>
        <w:rPr>
          <w:rFonts w:ascii="Calibri" w:cs="Calibri" w:eastAsia="Calibri" w:hAnsi="Calibri"/>
          <w:sz w:val="16"/>
          <w:szCs w:val="16"/>
          <w:color w:val="auto"/>
        </w:rPr>
      </w:pPr>
      <w:r>
        <w:rPr>
          <w:rFonts w:ascii="Calibri" w:cs="Calibri" w:eastAsia="Calibri" w:hAnsi="Calibri"/>
          <w:sz w:val="16"/>
          <w:szCs w:val="16"/>
          <w:color w:val="auto"/>
        </w:rPr>
        <w:t>2M Lands, LLC is a wholly owned subsidiary of Martn Marieta Materials Real Estate Investments, Inc.</w:t>
      </w:r>
    </w:p>
    <w:p>
      <w:pPr>
        <w:spacing w:after="0" w:line="61" w:lineRule="exact"/>
        <w:rPr>
          <w:sz w:val="20"/>
          <w:szCs w:val="20"/>
          <w:color w:val="auto"/>
        </w:rPr>
      </w:pPr>
    </w:p>
    <w:p>
      <w:pPr>
        <w:ind w:left="760" w:hanging="378"/>
        <w:spacing w:after="0"/>
        <w:tabs>
          <w:tab w:leader="none" w:pos="760" w:val="left"/>
        </w:tabs>
        <w:numPr>
          <w:ilvl w:val="0"/>
          <w:numId w:val="44"/>
        </w:numPr>
        <w:rPr>
          <w:rFonts w:ascii="Calibri" w:cs="Calibri" w:eastAsia="Calibri" w:hAnsi="Calibri"/>
          <w:sz w:val="16"/>
          <w:szCs w:val="16"/>
          <w:color w:val="auto"/>
        </w:rPr>
      </w:pPr>
      <w:r>
        <w:rPr>
          <w:rFonts w:ascii="Calibri" w:cs="Calibri" w:eastAsia="Calibri" w:hAnsi="Calibri"/>
          <w:sz w:val="16"/>
          <w:szCs w:val="16"/>
          <w:color w:val="auto"/>
        </w:rPr>
        <w:t>Alamo Gulf Coast Railroad Company is owned by Martn Marieta Materials Southwest, LLC, (99.5%) and certain individuals (0.5%).</w:t>
      </w:r>
    </w:p>
    <w:p>
      <w:pPr>
        <w:spacing w:after="0" w:line="63" w:lineRule="exact"/>
        <w:rPr>
          <w:rFonts w:ascii="Calibri" w:cs="Calibri" w:eastAsia="Calibri" w:hAnsi="Calibri"/>
          <w:sz w:val="16"/>
          <w:szCs w:val="16"/>
          <w:color w:val="auto"/>
        </w:rPr>
      </w:pPr>
    </w:p>
    <w:p>
      <w:pPr>
        <w:ind w:left="380" w:right="1780"/>
        <w:spacing w:after="0" w:line="312" w:lineRule="auto"/>
        <w:rPr>
          <w:rFonts w:ascii="Calibri" w:cs="Calibri" w:eastAsia="Calibri" w:hAnsi="Calibri"/>
          <w:sz w:val="16"/>
          <w:szCs w:val="16"/>
          <w:color w:val="auto"/>
        </w:rPr>
      </w:pPr>
      <w:r>
        <w:rPr>
          <w:rFonts w:ascii="Calibri" w:cs="Calibri" w:eastAsia="Calibri" w:hAnsi="Calibri"/>
          <w:sz w:val="16"/>
          <w:szCs w:val="16"/>
          <w:color w:val="auto"/>
        </w:rPr>
        <w:t>3 Alamo North Texas Railroad Company is owned by Martn Marieta Materials Southwest, LLC, (99.5%) and certain individuals (0.5%). 4 Albert Frei &amp; Sons, Inc. is a wholly owned subsidiary of AR &amp; MJ Frei Limited Partnership.</w:t>
      </w:r>
    </w:p>
    <w:p>
      <w:pPr>
        <w:spacing w:after="0" w:line="5" w:lineRule="exact"/>
        <w:rPr>
          <w:rFonts w:ascii="Calibri" w:cs="Calibri" w:eastAsia="Calibri" w:hAnsi="Calibri"/>
          <w:sz w:val="16"/>
          <w:szCs w:val="16"/>
          <w:color w:val="auto"/>
        </w:rPr>
      </w:pPr>
    </w:p>
    <w:p>
      <w:pPr>
        <w:ind w:left="380" w:right="2320"/>
        <w:spacing w:after="0" w:line="312" w:lineRule="auto"/>
        <w:rPr>
          <w:rFonts w:ascii="Calibri" w:cs="Calibri" w:eastAsia="Calibri" w:hAnsi="Calibri"/>
          <w:sz w:val="16"/>
          <w:szCs w:val="16"/>
          <w:color w:val="auto"/>
        </w:rPr>
      </w:pPr>
      <w:r>
        <w:rPr>
          <w:rFonts w:ascii="Calibri" w:cs="Calibri" w:eastAsia="Calibri" w:hAnsi="Calibri"/>
          <w:sz w:val="16"/>
          <w:szCs w:val="16"/>
          <w:color w:val="auto"/>
        </w:rPr>
        <w:t>5 American Materials Technologies, LLC is a wholly owned subsidiary of Meridian Aggregates Company, a Limited Partnership. 6 Martn Marieta Materials, Inc. owns a 50% interest in American Stone Company.</w:t>
      </w:r>
    </w:p>
    <w:p>
      <w:pPr>
        <w:spacing w:after="0" w:line="5" w:lineRule="exact"/>
        <w:rPr>
          <w:sz w:val="20"/>
          <w:szCs w:val="20"/>
          <w:color w:val="auto"/>
        </w:rPr>
      </w:pPr>
    </w:p>
    <w:p>
      <w:pPr>
        <w:ind w:left="760" w:hanging="378"/>
        <w:spacing w:after="0" w:line="246" w:lineRule="auto"/>
        <w:tabs>
          <w:tab w:leader="none" w:pos="760" w:val="left"/>
        </w:tabs>
        <w:numPr>
          <w:ilvl w:val="0"/>
          <w:numId w:val="45"/>
        </w:numPr>
        <w:rPr>
          <w:rFonts w:ascii="Calibri" w:cs="Calibri" w:eastAsia="Calibri" w:hAnsi="Calibri"/>
          <w:sz w:val="16"/>
          <w:szCs w:val="16"/>
          <w:color w:val="auto"/>
        </w:rPr>
      </w:pPr>
      <w:r>
        <w:rPr>
          <w:rFonts w:ascii="Calibri" w:cs="Calibri" w:eastAsia="Calibri" w:hAnsi="Calibri"/>
          <w:sz w:val="16"/>
          <w:szCs w:val="16"/>
          <w:color w:val="auto"/>
        </w:rPr>
        <w:t>AR &amp; MJ Frei Limited Partnership is owned 98.11% by Rocky Mountain Ready Mix Concrete, Inc. (the Limited Partner). The remaining 1.89% is owned by Campbell’s C-Ment Contractng, Inc. (the General Partner).</w:t>
      </w:r>
    </w:p>
    <w:p>
      <w:pPr>
        <w:spacing w:after="0" w:line="57" w:lineRule="exact"/>
        <w:rPr>
          <w:sz w:val="20"/>
          <w:szCs w:val="20"/>
          <w:color w:val="auto"/>
        </w:rPr>
      </w:pPr>
    </w:p>
    <w:p>
      <w:pPr>
        <w:ind w:left="760" w:hanging="378"/>
        <w:spacing w:after="0"/>
        <w:tabs>
          <w:tab w:leader="none" w:pos="760" w:val="left"/>
        </w:tabs>
        <w:numPr>
          <w:ilvl w:val="0"/>
          <w:numId w:val="46"/>
        </w:numPr>
        <w:rPr>
          <w:rFonts w:ascii="Calibri" w:cs="Calibri" w:eastAsia="Calibri" w:hAnsi="Calibri"/>
          <w:sz w:val="16"/>
          <w:szCs w:val="16"/>
          <w:color w:val="auto"/>
        </w:rPr>
      </w:pPr>
      <w:r>
        <w:rPr>
          <w:rFonts w:ascii="Calibri" w:cs="Calibri" w:eastAsia="Calibri" w:hAnsi="Calibri"/>
          <w:sz w:val="16"/>
          <w:szCs w:val="16"/>
          <w:color w:val="auto"/>
        </w:rPr>
        <w:t>Bluegrass – Blue Mount, LLC is a wholly owned subsidiary of Bluegrass Materials Company, LLC.</w:t>
      </w:r>
    </w:p>
    <w:p>
      <w:pPr>
        <w:spacing w:after="0" w:line="6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9Bluegrass Materials Company, LLC is a wholly owned subsidiary of Panadero Midco, LLC.</w:t>
      </w:r>
    </w:p>
    <w:p>
      <w:pPr>
        <w:spacing w:after="0" w:line="6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10   Bluegrass-St. Marys, LLC is a wholly owned subsidiary of Bluegrass Materials Company, LLC.</w:t>
      </w:r>
    </w:p>
    <w:p>
      <w:pPr>
        <w:spacing w:after="0" w:line="6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11   Brookhollow Corporaton is a wholly owned subsidiary of Martn Marieta Southwest Ready-Mix, Inc.</w:t>
      </w:r>
    </w:p>
    <w:p>
      <w:pPr>
        <w:spacing w:after="0" w:line="6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12   Campbell’s C-Ment Contractng, Inc. is a wholly owned subsidiary of Suburban Acquisiton Company.</w:t>
      </w:r>
    </w:p>
    <w:p>
      <w:pPr>
        <w:spacing w:after="0" w:line="6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13   Creole Corporaton is a wholly owned subsidiary of Martn Marieta Southwest Ready-Mix, Inc.</w:t>
      </w:r>
    </w:p>
    <w:p>
      <w:pPr>
        <w:spacing w:after="0" w:line="6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14   FRI Ready Mix of Tennessee, LLC is a wholly owned subsidiary of American Materials Technologies, LLC.</w:t>
      </w:r>
    </w:p>
    <w:p>
      <w:pPr>
        <w:spacing w:after="0" w:line="62" w:lineRule="exact"/>
        <w:rPr>
          <w:rFonts w:ascii="Calibri" w:cs="Calibri" w:eastAsia="Calibri" w:hAnsi="Calibri"/>
          <w:sz w:val="16"/>
          <w:szCs w:val="16"/>
          <w:color w:val="auto"/>
        </w:rPr>
      </w:pPr>
    </w:p>
    <w:p>
      <w:pPr>
        <w:ind w:left="380" w:right="1540"/>
        <w:spacing w:after="0" w:line="312" w:lineRule="auto"/>
        <w:rPr>
          <w:rFonts w:ascii="Calibri" w:cs="Calibri" w:eastAsia="Calibri" w:hAnsi="Calibri"/>
          <w:sz w:val="16"/>
          <w:szCs w:val="16"/>
          <w:color w:val="auto"/>
        </w:rPr>
      </w:pPr>
      <w:r>
        <w:rPr>
          <w:rFonts w:ascii="Calibri" w:cs="Calibri" w:eastAsia="Calibri" w:hAnsi="Calibri"/>
          <w:sz w:val="16"/>
          <w:szCs w:val="16"/>
          <w:color w:val="auto"/>
        </w:rPr>
        <w:t>15 Granite Canyon Quarry is owned 51% by Meridian Granite Company and 49% by Martn Marieta Materials Real Estate Investments, Inc. 16 Kent Sand &amp; Gravel Company, LLC is a wholly owned subsidiary of Bluegrass Materials Company, LLC.</w:t>
      </w:r>
    </w:p>
    <w:p>
      <w:pPr>
        <w:spacing w:after="0" w:line="3"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17   Mardell Trucking Company, Inc. is owned 50% by Bluegrass Materials Company, LLC and 50% by Petrillo Brothers, Inc.</w:t>
      </w:r>
    </w:p>
    <w:p>
      <w:pPr>
        <w:spacing w:after="0" w:line="6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18   Martn Marieta ALTN Aggregates, Inc. is a wholly owned subsidiary of Martn Marieta ALTN Holdings, Inc.</w:t>
      </w:r>
    </w:p>
    <w:p>
      <w:pPr>
        <w:spacing w:after="0" w:line="6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19   Martn Marieta ALTN Holdings, Inc. is a wholly owned subsidiary of Marlin Acquisiton Company 2, Inc.</w:t>
      </w:r>
    </w:p>
    <w:p>
      <w:pPr>
        <w:spacing w:after="0" w:line="6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20   Martn Marieta Arizona, LLC is a wholly owned subsidiary of Martn Marieta Materials West Division, LLC.</w:t>
      </w:r>
    </w:p>
    <w:p>
      <w:pPr>
        <w:spacing w:after="0" w:line="61"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21   Martn Marieta California A&amp;P, LLC is a wholly owned subsidiary of Martn Marieta Materials West Division, LLC.</w:t>
      </w:r>
    </w:p>
    <w:p>
      <w:pPr>
        <w:spacing w:after="0" w:line="62" w:lineRule="exact"/>
        <w:rPr>
          <w:rFonts w:ascii="Calibri" w:cs="Calibri" w:eastAsia="Calibri" w:hAnsi="Calibri"/>
          <w:sz w:val="16"/>
          <w:szCs w:val="16"/>
          <w:color w:val="auto"/>
        </w:rPr>
      </w:pPr>
    </w:p>
    <w:p>
      <w:pPr>
        <w:ind w:left="380" w:right="2400"/>
        <w:spacing w:after="0" w:line="312" w:lineRule="auto"/>
        <w:rPr>
          <w:rFonts w:ascii="Calibri" w:cs="Calibri" w:eastAsia="Calibri" w:hAnsi="Calibri"/>
          <w:sz w:val="16"/>
          <w:szCs w:val="16"/>
          <w:color w:val="auto"/>
        </w:rPr>
      </w:pPr>
      <w:r>
        <w:rPr>
          <w:rFonts w:ascii="Calibri" w:cs="Calibri" w:eastAsia="Calibri" w:hAnsi="Calibri"/>
          <w:sz w:val="16"/>
          <w:szCs w:val="16"/>
          <w:color w:val="auto"/>
        </w:rPr>
        <w:t>22 Martn Marieta California Ready-Mix, LLC is a wholly owned subsidiary of Martn Marieta Southern California Cement, LLC 23 Martn Marieta Fleet Management LLC, is a wholly owned subsidiary of Martn Marieta Texas Ready-Mix, LLC</w:t>
      </w:r>
    </w:p>
    <w:p>
      <w:pPr>
        <w:spacing w:after="0" w:line="5" w:lineRule="exact"/>
        <w:rPr>
          <w:rFonts w:ascii="Calibri" w:cs="Calibri" w:eastAsia="Calibri" w:hAnsi="Calibri"/>
          <w:sz w:val="16"/>
          <w:szCs w:val="16"/>
          <w:color w:val="auto"/>
        </w:rPr>
      </w:pPr>
    </w:p>
    <w:p>
      <w:pPr>
        <w:ind w:left="380" w:right="1600"/>
        <w:spacing w:after="0" w:line="312" w:lineRule="auto"/>
        <w:rPr>
          <w:rFonts w:ascii="Calibri" w:cs="Calibri" w:eastAsia="Calibri" w:hAnsi="Calibri"/>
          <w:sz w:val="16"/>
          <w:szCs w:val="16"/>
          <w:color w:val="auto"/>
        </w:rPr>
      </w:pPr>
      <w:r>
        <w:rPr>
          <w:rFonts w:ascii="Calibri" w:cs="Calibri" w:eastAsia="Calibri" w:hAnsi="Calibri"/>
          <w:sz w:val="16"/>
          <w:szCs w:val="16"/>
          <w:color w:val="auto"/>
        </w:rPr>
        <w:t>24 Martn Marieta Kansas City, LLC is owned 95% by Martn Marieta Materials, Inc. and 5% by Martn Marieta Materials of Missouri, Inc. 25 Martn Marieta Marine Finance, LLC is a wholly owned subsidiary of Martn Marieta Northern California Aggregates, LLC.</w:t>
      </w:r>
    </w:p>
    <w:p>
      <w:pPr>
        <w:spacing w:after="0" w:line="3"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26   Martn Marieta Marine Operatons, LLC is a wholly owned subsidiary of Martn Marieta Northern California Aggregates, LLC.</w:t>
      </w:r>
    </w:p>
    <w:p>
      <w:pPr>
        <w:spacing w:after="0" w:line="62" w:lineRule="exact"/>
        <w:rPr>
          <w:rFonts w:ascii="Calibri" w:cs="Calibri" w:eastAsia="Calibri" w:hAnsi="Calibri"/>
          <w:sz w:val="16"/>
          <w:szCs w:val="16"/>
          <w:color w:val="auto"/>
        </w:rPr>
      </w:pPr>
    </w:p>
    <w:p>
      <w:pPr>
        <w:ind w:left="380" w:right="1460"/>
        <w:spacing w:after="0" w:line="312" w:lineRule="auto"/>
        <w:rPr>
          <w:rFonts w:ascii="Calibri" w:cs="Calibri" w:eastAsia="Calibri" w:hAnsi="Calibri"/>
          <w:sz w:val="16"/>
          <w:szCs w:val="16"/>
          <w:color w:val="auto"/>
        </w:rPr>
      </w:pPr>
      <w:r>
        <w:rPr>
          <w:rFonts w:ascii="Calibri" w:cs="Calibri" w:eastAsia="Calibri" w:hAnsi="Calibri"/>
          <w:sz w:val="16"/>
          <w:szCs w:val="16"/>
          <w:color w:val="auto"/>
        </w:rPr>
        <w:t>27 Martn Marieta Northern California Aggregates, LLC is a wholly owned subsidiary of Martn Marieta Southern California Aggregates, LLC. 28 Martn Marieta Pacifc District Cement LLC is a wholly owned subsidiary of MMMW CMT, LLC.</w:t>
      </w:r>
    </w:p>
    <w:p>
      <w:pPr>
        <w:spacing w:after="0" w:line="5" w:lineRule="exact"/>
        <w:rPr>
          <w:rFonts w:ascii="Calibri" w:cs="Calibri" w:eastAsia="Calibri" w:hAnsi="Calibri"/>
          <w:sz w:val="16"/>
          <w:szCs w:val="16"/>
          <w:color w:val="auto"/>
        </w:rPr>
      </w:pPr>
    </w:p>
    <w:p>
      <w:pPr>
        <w:ind w:left="380" w:right="2120"/>
        <w:spacing w:after="0" w:line="312" w:lineRule="auto"/>
        <w:rPr>
          <w:rFonts w:ascii="Calibri" w:cs="Calibri" w:eastAsia="Calibri" w:hAnsi="Calibri"/>
          <w:sz w:val="16"/>
          <w:szCs w:val="16"/>
          <w:color w:val="auto"/>
        </w:rPr>
      </w:pPr>
      <w:r>
        <w:rPr>
          <w:rFonts w:ascii="Calibri" w:cs="Calibri" w:eastAsia="Calibri" w:hAnsi="Calibri"/>
          <w:sz w:val="16"/>
          <w:szCs w:val="16"/>
          <w:color w:val="auto"/>
        </w:rPr>
        <w:t>29 Martn Marieta San Diego Aggregates LLC is a wholly owned subsidiary of Martn Marieta Southern California Aggregates, LLC. 30 Martn Marieta Southern California Aggregates, LLC is a wholly owned subsidiary of MMMW AGG, LLC.</w:t>
      </w:r>
    </w:p>
    <w:p>
      <w:pPr>
        <w:spacing w:after="0" w:line="3" w:lineRule="exact"/>
        <w:rPr>
          <w:rFonts w:ascii="Calibri" w:cs="Calibri" w:eastAsia="Calibri" w:hAnsi="Calibri"/>
          <w:sz w:val="16"/>
          <w:szCs w:val="16"/>
          <w:color w:val="auto"/>
        </w:rPr>
      </w:pPr>
    </w:p>
    <w:p>
      <w:pPr>
        <w:ind w:left="380"/>
        <w:spacing w:after="0"/>
        <w:rPr>
          <w:rFonts w:ascii="Calibri" w:cs="Calibri" w:eastAsia="Calibri" w:hAnsi="Calibri"/>
          <w:sz w:val="16"/>
          <w:szCs w:val="16"/>
          <w:color w:val="auto"/>
        </w:rPr>
      </w:pPr>
      <w:r>
        <w:rPr>
          <w:rFonts w:ascii="Calibri" w:cs="Calibri" w:eastAsia="Calibri" w:hAnsi="Calibri"/>
          <w:sz w:val="16"/>
          <w:szCs w:val="16"/>
          <w:color w:val="auto"/>
        </w:rPr>
        <w:t>31   Martn Marieta Texas Ready-Mix, LLC is a wholly owned subsidiary of Martn Marieta Southwest Ready-Mix,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29" w:name="page130"/>
    <w:bookmarkEnd w:id="129"/>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Martn Marieta Southeast AGG Operatons, LLC is a wholly owned subsidiary of Martn Marieta Southeast Aggregates, Inc.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Martn Marieta Stockton, LLC is a wholly owned subsidiary of Martn Marieta Southern California Cement,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Material Producers, Inc. is a wholly owned subsidiary of Martn Marieta Materials Southwest,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Maryland Materials, Inc. is owned 50% by Bluegrass Materials Company, LLC and 50% by Petrillo Brothers, Inc.</w:t>
      </w:r>
    </w:p>
    <w:p>
      <w:pPr>
        <w:spacing w:after="0" w:line="63" w:lineRule="exact"/>
        <w:rPr>
          <w:rFonts w:ascii="Calibri" w:cs="Calibri" w:eastAsia="Calibri" w:hAnsi="Calibri"/>
          <w:sz w:val="16"/>
          <w:szCs w:val="16"/>
          <w:color w:val="auto"/>
        </w:rPr>
      </w:pPr>
    </w:p>
    <w:p>
      <w:pPr>
        <w:ind w:left="378" w:hanging="378"/>
        <w:spacing w:after="0" w:line="246" w:lineRule="auto"/>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Meridian Aggregates Company, a Limited Partnership, is owned 98% by Meridian Aggregates Investments, LLC. The remaining 2% is owned by Martn Marieta Materials, Inc.</w:t>
      </w:r>
    </w:p>
    <w:p>
      <w:pPr>
        <w:spacing w:after="0" w:line="56"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Meridian Aggregates Investments, LLC is owned 99% by Martn Marieta Materials, Inc. and 1% by Martn Marieta Materials Real Estate Investments, Inc.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Meridian Granite Company is a wholly owned subsidiary of Meridian Aggregates Company, a Limited Partnership.</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Mission Valley Rock Co., LLC is a wholly owned subsidiary of Martn Marieta Northern California Aggregates,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MMM Mexico I, LLC is a wholly owned subsidiary of Martn Marieta Materials West Division,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MMM Mexico, LLC is a wholly owned subsidiary of Martn Marieta Materials West Division,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MMMW AGG, LLC is a wholly owned subsidiary of Martn Marieta Materials West Division,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MMMW CMT, LLC is a wholly owned subsidiary of Martn Marieta Materials West Division,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Martn Marieta Magnesia Specialtes, LLC, a wholly owned subsidiary of Martn Marieta Materials, Inc., owns a 50% interest in MTD Pipeline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Mystc Valley LLC is a wholly owned subsidiary of AR &amp; MJ Frei Limited Partnership.</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Northeast Land and Material Company, Inc. is a wholly owned subsidiary of Maryland Materials, Inc.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Palmeto Sand Company Inc. is a wholly owned subsidiary of Martn Marieta Southeast AGG Operatons,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Panadero Midco, LLC is a wholly owned subsidiary of Martn Marieta Bluegrass,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PCAz Leasing, LLC is a wholly owned subsidiary of Martn Marieta Arizona,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Petrillo Brothers, Inc. is a wholly owned subsidiary of Bluegrass Materials Company,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Piedras y Arenas Baja, S. De R.L. de C.V. is owned 99.9999% by MMM Mexico, LLC and 0.0001% by MMM Mexico I,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Powderly Transportaton, Inc. is a wholly owned subsidiary of Meridian Aggregates Company, a Limited Partnership.</w:t>
      </w:r>
    </w:p>
    <w:p>
      <w:pPr>
        <w:spacing w:after="0" w:line="63" w:lineRule="exact"/>
        <w:rPr>
          <w:rFonts w:ascii="Calibri" w:cs="Calibri" w:eastAsia="Calibri" w:hAnsi="Calibri"/>
          <w:sz w:val="16"/>
          <w:szCs w:val="16"/>
          <w:color w:val="auto"/>
        </w:rPr>
      </w:pPr>
    </w:p>
    <w:p>
      <w:pPr>
        <w:ind w:left="378" w:hanging="378"/>
        <w:spacing w:after="0" w:line="246" w:lineRule="auto"/>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Martn Marieta Materials, Inc. is the manager of and owns a 90% interest in R&amp;S Sand &amp; Gravel, LLC. The other 10% is owned by Harding Street Corporaton, a wholly owned subsidiary of Martn Marieta Materials, Inc.</w:t>
      </w:r>
    </w:p>
    <w:p>
      <w:pPr>
        <w:spacing w:after="0" w:line="56"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Riverside Cement Company is owned 49% by TXI California, LLC. and 51% by TXI Riverside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Rocky Mountain Ready Mix Concrete, Inc. is a wholly owned subsidiary of Campbell’s C-Ment Contractng, Inc.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Rock &amp; Rail LLC, a wholly owned subsidiary of Martn Marieta Materials, Inc., owns a 50% interest in Royal Gorge Express,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St. Marys Sand Company, LLC is a wholly owned subsidiary of Bluegrass-St. Marys,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Martn Marieta Materials, Inc. is the manager of and owns a 60.7% interest in Theodore Holdings, LLC.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TXI Aviaton, Inc. is a wholly owned subsidiary of Martn Marieta Southwest Ready-Mix, Inc.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TXI California, LLC is a wholly owned subsidiary of Martn Marieta Southwest Ready-Mix, Inc.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TXI Riverside, LLC is a wholly owned subsidiary of Martn Marieta Southwest Ready-Mix, Inc.</w:t>
      </w:r>
    </w:p>
    <w:p>
      <w:pPr>
        <w:spacing w:after="0" w:line="61" w:lineRule="exact"/>
        <w:rPr>
          <w:rFonts w:ascii="Calibri" w:cs="Calibri" w:eastAsia="Calibri" w:hAnsi="Calibri"/>
          <w:sz w:val="16"/>
          <w:szCs w:val="16"/>
          <w:color w:val="auto"/>
        </w:rPr>
      </w:pPr>
    </w:p>
    <w:p>
      <w:pPr>
        <w:ind w:left="378" w:hanging="378"/>
        <w:spacing w:after="0"/>
        <w:tabs>
          <w:tab w:leader="none" w:pos="378" w:val="left"/>
        </w:tabs>
        <w:numPr>
          <w:ilvl w:val="0"/>
          <w:numId w:val="47"/>
        </w:numPr>
        <w:rPr>
          <w:rFonts w:ascii="Calibri" w:cs="Calibri" w:eastAsia="Calibri" w:hAnsi="Calibri"/>
          <w:sz w:val="16"/>
          <w:szCs w:val="16"/>
          <w:color w:val="auto"/>
        </w:rPr>
      </w:pPr>
      <w:r>
        <w:rPr>
          <w:rFonts w:ascii="Calibri" w:cs="Calibri" w:eastAsia="Calibri" w:hAnsi="Calibri"/>
          <w:sz w:val="16"/>
          <w:szCs w:val="16"/>
          <w:color w:val="auto"/>
        </w:rPr>
        <w:t>Martn Marieta Materials, Inc. is the manager of and owns a 50% interest in Valley Stone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519430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67" w:right="339" w:bottom="1440" w:gutter="0" w:footer="0" w:header="0"/>
        </w:sectPr>
      </w:pPr>
    </w:p>
    <w:bookmarkStart w:id="130" w:name="page131"/>
    <w:bookmarkEnd w:id="130"/>
    <w:p>
      <w:pPr>
        <w:jc w:val="right"/>
        <w:spacing w:after="0"/>
        <w:rPr>
          <w:sz w:val="20"/>
          <w:szCs w:val="20"/>
          <w:color w:val="auto"/>
        </w:rPr>
      </w:pPr>
      <w:r>
        <w:rPr>
          <w:rFonts w:ascii="Calibri" w:cs="Calibri" w:eastAsia="Calibri" w:hAnsi="Calibri"/>
          <w:sz w:val="20"/>
          <w:szCs w:val="20"/>
          <w:b w:val="1"/>
          <w:bCs w:val="1"/>
          <w:color w:val="auto"/>
        </w:rPr>
        <w:t>EXHIBIT 23.01</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CONSENT OF INDEPENDENT REGISTERED PUBLIC ACCOUNTING FIRM</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We hereby consent to the incorporaton by reference in the Registraton Statements on Form S-3 (No. 333-271686) and Form S-8 (Nos. 33-83516, 333-37886, 333-79039, 333-115918, 333-85608, 333-15429, 333-211735 and 333-197201) of Martn Marieta Materials, Inc. of our report dated February 21, 2025 relatng to the fnancial statements, fnancial statement schedule and the efectveness of internal control over fnancial reportng, which appears in this Form 10-K.</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20"/>
          <w:szCs w:val="20"/>
          <w:color w:val="auto"/>
        </w:rPr>
        <w:t>/s/ PricewaterhouseCoopers LLP</w:t>
      </w:r>
    </w:p>
    <w:p>
      <w:pPr>
        <w:spacing w:after="0" w:line="238" w:lineRule="auto"/>
        <w:rPr>
          <w:sz w:val="20"/>
          <w:szCs w:val="20"/>
          <w:color w:val="auto"/>
        </w:rPr>
      </w:pPr>
      <w:r>
        <w:rPr>
          <w:rFonts w:ascii="Calibri" w:cs="Calibri" w:eastAsia="Calibri" w:hAnsi="Calibri"/>
          <w:sz w:val="20"/>
          <w:szCs w:val="20"/>
          <w:color w:val="auto"/>
        </w:rPr>
        <w:t>Raleigh, North Carolina</w:t>
      </w:r>
    </w:p>
    <w:p>
      <w:pPr>
        <w:spacing w:after="0"/>
        <w:rPr>
          <w:sz w:val="20"/>
          <w:szCs w:val="20"/>
          <w:color w:val="auto"/>
        </w:rPr>
      </w:pPr>
      <w:r>
        <w:rPr>
          <w:rFonts w:ascii="Calibri" w:cs="Calibri" w:eastAsia="Calibri" w:hAnsi="Calibri"/>
          <w:sz w:val="20"/>
          <w:szCs w:val="20"/>
          <w:color w:val="auto"/>
        </w:rPr>
        <w:t>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1191260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1" w:name="page132"/>
    <w:bookmarkEnd w:id="131"/>
    <w:p>
      <w:pPr>
        <w:ind w:left="10080"/>
        <w:spacing w:after="0"/>
        <w:rPr>
          <w:sz w:val="20"/>
          <w:szCs w:val="20"/>
          <w:color w:val="auto"/>
        </w:rPr>
      </w:pPr>
      <w:r>
        <w:rPr>
          <w:rFonts w:ascii="Calibri" w:cs="Calibri" w:eastAsia="Calibri" w:hAnsi="Calibri"/>
          <w:sz w:val="20"/>
          <w:szCs w:val="20"/>
          <w:b w:val="1"/>
          <w:bCs w:val="1"/>
          <w:color w:val="auto"/>
        </w:rPr>
        <w:t>EXHIBIT 31.01</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 PURSUANT TO SECURITIES AND EXCHANGE ACT OF 1934</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RULE 13a-14 AS ADOPTED PURSUANT TO SECTION 302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I, C. Howard Nye, certfy that:</w:t>
      </w:r>
    </w:p>
    <w:p>
      <w:pPr>
        <w:spacing w:after="0" w:line="201" w:lineRule="exact"/>
        <w:rPr>
          <w:sz w:val="20"/>
          <w:szCs w:val="20"/>
          <w:color w:val="auto"/>
        </w:rPr>
      </w:pPr>
    </w:p>
    <w:p>
      <w:pPr>
        <w:ind w:left="1140" w:hanging="383"/>
        <w:spacing w:after="0"/>
        <w:tabs>
          <w:tab w:leader="none" w:pos="1140"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I have reviewed this Form 10-K of Martn Marieta Materials, Inc.;</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8"/>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9" w:lineRule="exact"/>
        <w:rPr>
          <w:rFonts w:ascii="Calibri" w:cs="Calibri" w:eastAsia="Calibri" w:hAnsi="Calibri"/>
          <w:sz w:val="20"/>
          <w:szCs w:val="20"/>
          <w:color w:val="auto"/>
        </w:rPr>
      </w:pPr>
    </w:p>
    <w:p>
      <w:pPr>
        <w:jc w:val="both"/>
        <w:ind w:left="1840" w:right="20" w:hanging="751"/>
        <w:spacing w:after="0" w:line="236" w:lineRule="auto"/>
        <w:tabs>
          <w:tab w:leader="none" w:pos="1840" w:val="left"/>
        </w:tabs>
        <w:numPr>
          <w:ilvl w:val="1"/>
          <w:numId w:val="48"/>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9"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8"/>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48"/>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2" w:name="page133"/>
    <w:bookmarkEnd w:id="132"/>
    <w:p>
      <w:pPr>
        <w:spacing w:after="0" w:line="174" w:lineRule="exact"/>
        <w:rPr>
          <w:sz w:val="20"/>
          <w:szCs w:val="20"/>
          <w:color w:val="auto"/>
        </w:rPr>
      </w:pPr>
    </w:p>
    <w:p>
      <w:pPr>
        <w:jc w:val="both"/>
        <w:ind w:left="1140" w:right="20" w:hanging="383"/>
        <w:spacing w:after="0" w:line="236" w:lineRule="auto"/>
        <w:tabs>
          <w:tab w:leader="none" w:pos="1140" w:val="left"/>
        </w:tabs>
        <w:numPr>
          <w:ilvl w:val="0"/>
          <w:numId w:val="49"/>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16" w:lineRule="exact"/>
        <w:rPr>
          <w:rFonts w:ascii="Calibri" w:cs="Calibri" w:eastAsia="Calibri" w:hAnsi="Calibri"/>
          <w:sz w:val="20"/>
          <w:szCs w:val="20"/>
          <w:color w:val="auto"/>
        </w:rPr>
      </w:pPr>
    </w:p>
    <w:p>
      <w:pPr>
        <w:jc w:val="both"/>
        <w:ind w:left="1840" w:right="20" w:hanging="751"/>
        <w:spacing w:after="0" w:line="236" w:lineRule="auto"/>
        <w:tabs>
          <w:tab w:leader="none" w:pos="1840" w:val="left"/>
        </w:tabs>
        <w:numPr>
          <w:ilvl w:val="1"/>
          <w:numId w:val="49"/>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16" w:lineRule="exact"/>
        <w:rPr>
          <w:rFonts w:ascii="Calibri" w:cs="Calibri" w:eastAsia="Calibri" w:hAnsi="Calibri"/>
          <w:sz w:val="20"/>
          <w:szCs w:val="20"/>
          <w:color w:val="auto"/>
        </w:rPr>
      </w:pPr>
    </w:p>
    <w:p>
      <w:pPr>
        <w:ind w:left="1840" w:right="20" w:hanging="751"/>
        <w:spacing w:after="0" w:line="234" w:lineRule="auto"/>
        <w:tabs>
          <w:tab w:leader="none" w:pos="1840" w:val="left"/>
        </w:tabs>
        <w:numPr>
          <w:ilvl w:val="1"/>
          <w:numId w:val="49"/>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80" w:type="dxa"/>
            <w:vAlign w:val="bottom"/>
          </w:tcPr>
          <w:p>
            <w:pPr>
              <w:ind w:left="20"/>
              <w:spacing w:after="0"/>
              <w:rPr>
                <w:sz w:val="20"/>
                <w:szCs w:val="20"/>
                <w:color w:val="auto"/>
              </w:rPr>
            </w:pPr>
            <w:r>
              <w:rPr>
                <w:rFonts w:ascii="Calibri" w:cs="Calibri" w:eastAsia="Calibri" w:hAnsi="Calibri"/>
                <w:sz w:val="20"/>
                <w:szCs w:val="20"/>
                <w:color w:val="auto"/>
              </w:rPr>
              <w:t>Date:   February 21, 2025</w:t>
            </w:r>
          </w:p>
        </w:tc>
        <w:tc>
          <w:tcPr>
            <w:tcW w:w="4260" w:type="dxa"/>
            <w:vAlign w:val="bottom"/>
          </w:tcPr>
          <w:p>
            <w:pPr>
              <w:spacing w:after="0"/>
              <w:rPr>
                <w:sz w:val="20"/>
                <w:szCs w:val="20"/>
                <w:color w:val="auto"/>
              </w:rPr>
            </w:pPr>
            <w:r>
              <w:rPr>
                <w:rFonts w:ascii="Calibri" w:cs="Calibri" w:eastAsia="Calibri" w:hAnsi="Calibri"/>
                <w:sz w:val="20"/>
                <w:szCs w:val="20"/>
                <w:color w:val="auto"/>
              </w:rPr>
              <w:t>By:  /s/   C. Howard Nye</w:t>
            </w:r>
          </w:p>
        </w:tc>
      </w:tr>
      <w:tr>
        <w:trPr>
          <w:trHeight w:val="33"/>
        </w:trPr>
        <w:tc>
          <w:tcPr>
            <w:tcW w:w="698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12"/>
        </w:trPr>
        <w:tc>
          <w:tcPr>
            <w:tcW w:w="6980" w:type="dxa"/>
            <w:vAlign w:val="bottom"/>
          </w:tcPr>
          <w:p>
            <w:pPr>
              <w:spacing w:after="0"/>
              <w:rPr>
                <w:sz w:val="18"/>
                <w:szCs w:val="18"/>
                <w:color w:val="auto"/>
              </w:rPr>
            </w:pPr>
          </w:p>
        </w:tc>
        <w:tc>
          <w:tcPr>
            <w:tcW w:w="4260" w:type="dxa"/>
            <w:vAlign w:val="bottom"/>
          </w:tcPr>
          <w:p>
            <w:pPr>
              <w:ind w:left="960"/>
              <w:spacing w:after="0" w:line="212" w:lineRule="exact"/>
              <w:rPr>
                <w:sz w:val="20"/>
                <w:szCs w:val="20"/>
                <w:color w:val="auto"/>
              </w:rPr>
            </w:pPr>
            <w:r>
              <w:rPr>
                <w:rFonts w:ascii="Calibri" w:cs="Calibri" w:eastAsia="Calibri" w:hAnsi="Calibri"/>
                <w:sz w:val="20"/>
                <w:szCs w:val="20"/>
                <w:color w:val="auto"/>
              </w:rPr>
              <w:t>C. Howard Nye</w:t>
            </w:r>
          </w:p>
        </w:tc>
      </w:tr>
      <w:tr>
        <w:trPr>
          <w:trHeight w:val="234"/>
        </w:trPr>
        <w:tc>
          <w:tcPr>
            <w:tcW w:w="6980" w:type="dxa"/>
            <w:vAlign w:val="bottom"/>
          </w:tcPr>
          <w:p>
            <w:pPr>
              <w:spacing w:after="0"/>
              <w:rPr>
                <w:sz w:val="20"/>
                <w:szCs w:val="20"/>
                <w:color w:val="auto"/>
              </w:rPr>
            </w:pPr>
          </w:p>
        </w:tc>
        <w:tc>
          <w:tcPr>
            <w:tcW w:w="4260" w:type="dxa"/>
            <w:vAlign w:val="bottom"/>
          </w:tcPr>
          <w:p>
            <w:pPr>
              <w:ind w:left="960"/>
              <w:spacing w:after="0" w:line="234" w:lineRule="exact"/>
              <w:rPr>
                <w:sz w:val="20"/>
                <w:szCs w:val="20"/>
                <w:color w:val="auto"/>
              </w:rPr>
            </w:pPr>
            <w:r>
              <w:rPr>
                <w:rFonts w:ascii="Calibri" w:cs="Calibri" w:eastAsia="Calibri" w:hAnsi="Calibri"/>
                <w:sz w:val="20"/>
                <w:szCs w:val="20"/>
                <w:color w:val="auto"/>
              </w:rPr>
              <w:t>Chair, President and</w:t>
            </w:r>
          </w:p>
        </w:tc>
      </w:tr>
      <w:tr>
        <w:trPr>
          <w:trHeight w:val="243"/>
        </w:trPr>
        <w:tc>
          <w:tcPr>
            <w:tcW w:w="6980" w:type="dxa"/>
            <w:vAlign w:val="bottom"/>
          </w:tcPr>
          <w:p>
            <w:pPr>
              <w:spacing w:after="0"/>
              <w:rPr>
                <w:sz w:val="21"/>
                <w:szCs w:val="21"/>
                <w:color w:val="auto"/>
              </w:rPr>
            </w:pPr>
          </w:p>
        </w:tc>
        <w:tc>
          <w:tcPr>
            <w:tcW w:w="4260" w:type="dxa"/>
            <w:vAlign w:val="bottom"/>
          </w:tcPr>
          <w:p>
            <w:pPr>
              <w:ind w:left="960"/>
              <w:spacing w:after="0" w:line="243" w:lineRule="exact"/>
              <w:rPr>
                <w:sz w:val="20"/>
                <w:szCs w:val="20"/>
                <w:color w:val="auto"/>
              </w:rPr>
            </w:pPr>
            <w:r>
              <w:rPr>
                <w:rFonts w:ascii="Calibri" w:cs="Calibri" w:eastAsia="Calibri" w:hAnsi="Calibri"/>
                <w:sz w:val="20"/>
                <w:szCs w:val="20"/>
                <w:color w:val="auto"/>
              </w:rPr>
              <w:t>Chief Executve Ofcer</w:t>
            </w:r>
          </w:p>
        </w:tc>
      </w:tr>
      <w:tr>
        <w:trPr>
          <w:trHeight w:val="1660"/>
        </w:trPr>
        <w:tc>
          <w:tcPr>
            <w:tcW w:w="69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ind w:left="10080"/>
        <w:spacing w:after="0"/>
        <w:rPr>
          <w:sz w:val="20"/>
          <w:szCs w:val="20"/>
          <w:color w:val="auto"/>
        </w:rPr>
      </w:pPr>
      <w:r>
        <w:rPr>
          <w:rFonts w:ascii="Calibri" w:cs="Calibri" w:eastAsia="Calibri" w:hAnsi="Calibri"/>
          <w:sz w:val="20"/>
          <w:szCs w:val="20"/>
          <w:b w:val="1"/>
          <w:bCs w:val="1"/>
          <w:color w:val="auto"/>
        </w:rPr>
        <w:t>EXHIBIT 31.02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 PURSUANT TO SECURITIES AND EXCHANGE ACT OF 1934</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RULE 13a-14 AS ADOPTED PURSUANT TO SECTION 302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I, James A. J. Nickolas, certfy that:</w:t>
      </w:r>
    </w:p>
    <w:p>
      <w:pPr>
        <w:spacing w:after="0" w:line="201" w:lineRule="exact"/>
        <w:rPr>
          <w:sz w:val="20"/>
          <w:szCs w:val="20"/>
          <w:color w:val="auto"/>
        </w:rPr>
      </w:pPr>
    </w:p>
    <w:p>
      <w:pPr>
        <w:ind w:left="1140" w:hanging="383"/>
        <w:spacing w:after="0"/>
        <w:tabs>
          <w:tab w:leader="none" w:pos="1140" w:val="left"/>
        </w:tabs>
        <w:numPr>
          <w:ilvl w:val="0"/>
          <w:numId w:val="50"/>
        </w:numPr>
        <w:rPr>
          <w:rFonts w:ascii="Calibri" w:cs="Calibri" w:eastAsia="Calibri" w:hAnsi="Calibri"/>
          <w:sz w:val="20"/>
          <w:szCs w:val="20"/>
          <w:color w:val="auto"/>
        </w:rPr>
      </w:pPr>
      <w:r>
        <w:rPr>
          <w:rFonts w:ascii="Calibri" w:cs="Calibri" w:eastAsia="Calibri" w:hAnsi="Calibri"/>
          <w:sz w:val="20"/>
          <w:szCs w:val="20"/>
          <w:color w:val="auto"/>
        </w:rPr>
        <w:t>I have reviewed this Form 10-K of Martn Marieta Materials, Inc.;</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50"/>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50"/>
        </w:numPr>
        <w:rPr>
          <w:rFonts w:ascii="Calibri" w:cs="Calibri" w:eastAsia="Calibri" w:hAnsi="Calibri"/>
          <w:sz w:val="20"/>
          <w:szCs w:val="20"/>
          <w:color w:val="auto"/>
        </w:rPr>
      </w:pPr>
      <w:r>
        <w:rPr>
          <w:rFonts w:ascii="Calibri" w:cs="Calibri" w:eastAsia="Calibri" w:hAnsi="Calibri"/>
          <w:sz w:val="20"/>
          <w:szCs w:val="20"/>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50"/>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9" w:lineRule="exact"/>
        <w:rPr>
          <w:rFonts w:ascii="Calibri" w:cs="Calibri" w:eastAsia="Calibri" w:hAnsi="Calibri"/>
          <w:sz w:val="20"/>
          <w:szCs w:val="20"/>
          <w:color w:val="auto"/>
        </w:rPr>
      </w:pPr>
    </w:p>
    <w:p>
      <w:pPr>
        <w:jc w:val="both"/>
        <w:ind w:left="1840" w:right="20" w:hanging="751"/>
        <w:spacing w:after="0" w:line="236" w:lineRule="auto"/>
        <w:tabs>
          <w:tab w:leader="none" w:pos="1840"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9"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4" w:name="page135"/>
    <w:bookmarkEnd w:id="134"/>
    <w:p>
      <w:pPr>
        <w:spacing w:after="0" w:line="174" w:lineRule="exact"/>
        <w:rPr>
          <w:sz w:val="20"/>
          <w:szCs w:val="20"/>
          <w:color w:val="auto"/>
        </w:rPr>
      </w:pPr>
    </w:p>
    <w:p>
      <w:pPr>
        <w:jc w:val="both"/>
        <w:ind w:left="1140" w:right="20" w:hanging="383"/>
        <w:spacing w:after="0" w:line="236" w:lineRule="auto"/>
        <w:tabs>
          <w:tab w:leader="none" w:pos="1140" w:val="left"/>
        </w:tabs>
        <w:numPr>
          <w:ilvl w:val="0"/>
          <w:numId w:val="51"/>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16" w:lineRule="exact"/>
        <w:rPr>
          <w:rFonts w:ascii="Calibri" w:cs="Calibri" w:eastAsia="Calibri" w:hAnsi="Calibri"/>
          <w:sz w:val="20"/>
          <w:szCs w:val="20"/>
          <w:color w:val="auto"/>
        </w:rPr>
      </w:pPr>
    </w:p>
    <w:p>
      <w:pPr>
        <w:jc w:val="both"/>
        <w:ind w:left="1840" w:right="20" w:hanging="751"/>
        <w:spacing w:after="0" w:line="236" w:lineRule="auto"/>
        <w:tabs>
          <w:tab w:leader="none" w:pos="1840" w:val="left"/>
        </w:tabs>
        <w:numPr>
          <w:ilvl w:val="1"/>
          <w:numId w:val="51"/>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16" w:lineRule="exact"/>
        <w:rPr>
          <w:rFonts w:ascii="Calibri" w:cs="Calibri" w:eastAsia="Calibri" w:hAnsi="Calibri"/>
          <w:sz w:val="20"/>
          <w:szCs w:val="20"/>
          <w:color w:val="auto"/>
        </w:rPr>
      </w:pPr>
    </w:p>
    <w:p>
      <w:pPr>
        <w:ind w:left="1840" w:right="20" w:hanging="751"/>
        <w:spacing w:after="0" w:line="234" w:lineRule="auto"/>
        <w:tabs>
          <w:tab w:leader="none" w:pos="1840" w:val="left"/>
        </w:tabs>
        <w:numPr>
          <w:ilvl w:val="1"/>
          <w:numId w:val="51"/>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00" w:type="dxa"/>
            <w:vAlign w:val="bottom"/>
          </w:tcPr>
          <w:p>
            <w:pPr>
              <w:ind w:left="20"/>
              <w:spacing w:after="0"/>
              <w:rPr>
                <w:sz w:val="20"/>
                <w:szCs w:val="20"/>
                <w:color w:val="auto"/>
              </w:rPr>
            </w:pPr>
            <w:r>
              <w:rPr>
                <w:rFonts w:ascii="Calibri" w:cs="Calibri" w:eastAsia="Calibri" w:hAnsi="Calibri"/>
                <w:sz w:val="20"/>
                <w:szCs w:val="20"/>
                <w:color w:val="auto"/>
              </w:rPr>
              <w:t>Date:   February 21, 2025</w:t>
            </w:r>
          </w:p>
        </w:tc>
        <w:tc>
          <w:tcPr>
            <w:tcW w:w="4140" w:type="dxa"/>
            <w:vAlign w:val="bottom"/>
          </w:tcPr>
          <w:p>
            <w:pPr>
              <w:jc w:val="right"/>
              <w:ind w:right="1601"/>
              <w:spacing w:after="0"/>
              <w:rPr>
                <w:sz w:val="20"/>
                <w:szCs w:val="20"/>
                <w:color w:val="auto"/>
              </w:rPr>
            </w:pPr>
            <w:r>
              <w:rPr>
                <w:rFonts w:ascii="Calibri" w:cs="Calibri" w:eastAsia="Calibri" w:hAnsi="Calibri"/>
                <w:sz w:val="20"/>
                <w:szCs w:val="20"/>
                <w:color w:val="auto"/>
              </w:rPr>
              <w:t>By:  /s/  James A. J. Nickolas</w:t>
            </w:r>
          </w:p>
        </w:tc>
      </w:tr>
      <w:tr>
        <w:trPr>
          <w:trHeight w:val="33"/>
        </w:trPr>
        <w:tc>
          <w:tcPr>
            <w:tcW w:w="7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12"/>
        </w:trPr>
        <w:tc>
          <w:tcPr>
            <w:tcW w:w="7100" w:type="dxa"/>
            <w:vAlign w:val="bottom"/>
          </w:tcPr>
          <w:p>
            <w:pPr>
              <w:spacing w:after="0"/>
              <w:rPr>
                <w:sz w:val="18"/>
                <w:szCs w:val="18"/>
                <w:color w:val="auto"/>
              </w:rPr>
            </w:pPr>
          </w:p>
        </w:tc>
        <w:tc>
          <w:tcPr>
            <w:tcW w:w="4140" w:type="dxa"/>
            <w:vAlign w:val="bottom"/>
          </w:tcPr>
          <w:p>
            <w:pPr>
              <w:jc w:val="right"/>
              <w:ind w:right="1601"/>
              <w:spacing w:after="0" w:line="212" w:lineRule="exact"/>
              <w:rPr>
                <w:sz w:val="20"/>
                <w:szCs w:val="20"/>
                <w:color w:val="auto"/>
              </w:rPr>
            </w:pPr>
            <w:r>
              <w:rPr>
                <w:rFonts w:ascii="Calibri" w:cs="Calibri" w:eastAsia="Calibri" w:hAnsi="Calibri"/>
                <w:sz w:val="20"/>
                <w:szCs w:val="20"/>
                <w:color w:val="auto"/>
              </w:rPr>
              <w:t>James A. J. Nickolas</w:t>
            </w:r>
          </w:p>
        </w:tc>
      </w:tr>
      <w:tr>
        <w:trPr>
          <w:trHeight w:val="234"/>
        </w:trPr>
        <w:tc>
          <w:tcPr>
            <w:tcW w:w="7100" w:type="dxa"/>
            <w:vAlign w:val="bottom"/>
          </w:tcPr>
          <w:p>
            <w:pPr>
              <w:spacing w:after="0"/>
              <w:rPr>
                <w:sz w:val="20"/>
                <w:szCs w:val="20"/>
                <w:color w:val="auto"/>
              </w:rPr>
            </w:pPr>
          </w:p>
        </w:tc>
        <w:tc>
          <w:tcPr>
            <w:tcW w:w="4140" w:type="dxa"/>
            <w:vAlign w:val="bottom"/>
          </w:tcPr>
          <w:p>
            <w:pPr>
              <w:jc w:val="right"/>
              <w:ind w:right="841"/>
              <w:spacing w:after="0" w:line="234" w:lineRule="exact"/>
              <w:rPr>
                <w:sz w:val="20"/>
                <w:szCs w:val="20"/>
                <w:color w:val="auto"/>
              </w:rPr>
            </w:pPr>
            <w:r>
              <w:rPr>
                <w:rFonts w:ascii="Calibri" w:cs="Calibri" w:eastAsia="Calibri" w:hAnsi="Calibri"/>
                <w:sz w:val="20"/>
                <w:szCs w:val="20"/>
                <w:color w:val="auto"/>
              </w:rPr>
              <w:t>Executve Vice President and</w:t>
            </w:r>
          </w:p>
        </w:tc>
      </w:tr>
      <w:tr>
        <w:trPr>
          <w:trHeight w:val="243"/>
        </w:trPr>
        <w:tc>
          <w:tcPr>
            <w:tcW w:w="7100" w:type="dxa"/>
            <w:vAlign w:val="bottom"/>
          </w:tcPr>
          <w:p>
            <w:pPr>
              <w:spacing w:after="0"/>
              <w:rPr>
                <w:sz w:val="21"/>
                <w:szCs w:val="21"/>
                <w:color w:val="auto"/>
              </w:rPr>
            </w:pPr>
          </w:p>
        </w:tc>
        <w:tc>
          <w:tcPr>
            <w:tcW w:w="4140" w:type="dxa"/>
            <w:vAlign w:val="bottom"/>
          </w:tcPr>
          <w:p>
            <w:pPr>
              <w:jc w:val="right"/>
              <w:ind w:right="1281"/>
              <w:spacing w:after="0" w:line="243" w:lineRule="exact"/>
              <w:rPr>
                <w:sz w:val="20"/>
                <w:szCs w:val="20"/>
                <w:color w:val="auto"/>
              </w:rPr>
            </w:pPr>
            <w:r>
              <w:rPr>
                <w:rFonts w:ascii="Calibri" w:cs="Calibri" w:eastAsia="Calibri" w:hAnsi="Calibri"/>
                <w:sz w:val="20"/>
                <w:szCs w:val="20"/>
                <w:color w:val="auto"/>
              </w:rPr>
              <w:t>Chief Financial Ofcer</w:t>
            </w:r>
          </w:p>
        </w:tc>
      </w:tr>
      <w:tr>
        <w:trPr>
          <w:trHeight w:val="1660"/>
        </w:trPr>
        <w:tc>
          <w:tcPr>
            <w:tcW w:w="7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ind w:left="10080"/>
        <w:spacing w:after="0"/>
        <w:rPr>
          <w:sz w:val="20"/>
          <w:szCs w:val="20"/>
          <w:color w:val="auto"/>
        </w:rPr>
      </w:pPr>
      <w:r>
        <w:rPr>
          <w:rFonts w:ascii="Calibri" w:cs="Calibri" w:eastAsia="Calibri" w:hAnsi="Calibri"/>
          <w:sz w:val="20"/>
          <w:szCs w:val="20"/>
          <w:b w:val="1"/>
          <w:bCs w:val="1"/>
          <w:color w:val="auto"/>
        </w:rPr>
        <w:t>EXHIBIT 32.01</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WRITTEN STATEMENT PURSUANT TO 18 U.S.C. 1350,</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AS ADOPTED PURSUANT TO SECTION 906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11" w:lineRule="exact"/>
        <w:rPr>
          <w:sz w:val="20"/>
          <w:szCs w:val="20"/>
          <w:color w:val="auto"/>
        </w:rPr>
      </w:pPr>
    </w:p>
    <w:p>
      <w:pPr>
        <w:ind w:right="20" w:firstLine="509"/>
        <w:spacing w:after="0" w:line="234" w:lineRule="auto"/>
        <w:rPr>
          <w:sz w:val="20"/>
          <w:szCs w:val="20"/>
          <w:color w:val="auto"/>
        </w:rPr>
      </w:pPr>
      <w:r>
        <w:rPr>
          <w:rFonts w:ascii="Calibri" w:cs="Calibri" w:eastAsia="Calibri" w:hAnsi="Calibri"/>
          <w:sz w:val="20"/>
          <w:szCs w:val="20"/>
          <w:color w:val="auto"/>
        </w:rPr>
        <w:t>In connecton with the 2024 Annual Report on Form 10-K (the Report) of Martn Marieta Materials, Inc. (the Registrant), as fled with the Securites and Exchange Commission, I, C. Howard Nye, the Chief Executve Ofcer of the Registrant, certfy that:</w:t>
      </w:r>
    </w:p>
    <w:p>
      <w:pPr>
        <w:spacing w:after="0" w:line="118" w:lineRule="exact"/>
        <w:rPr>
          <w:sz w:val="20"/>
          <w:szCs w:val="20"/>
          <w:color w:val="auto"/>
        </w:rPr>
      </w:pPr>
    </w:p>
    <w:p>
      <w:pPr>
        <w:ind w:left="1020" w:hanging="503"/>
        <w:spacing w:after="0" w:line="234" w:lineRule="auto"/>
        <w:tabs>
          <w:tab w:leader="none" w:pos="1020" w:val="left"/>
        </w:tabs>
        <w:numPr>
          <w:ilvl w:val="0"/>
          <w:numId w:val="52"/>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117" w:lineRule="exact"/>
        <w:rPr>
          <w:rFonts w:ascii="Calibri" w:cs="Calibri" w:eastAsia="Calibri" w:hAnsi="Calibri"/>
          <w:sz w:val="20"/>
          <w:szCs w:val="20"/>
          <w:color w:val="auto"/>
        </w:rPr>
      </w:pPr>
    </w:p>
    <w:p>
      <w:pPr>
        <w:ind w:left="1020" w:hanging="503"/>
        <w:spacing w:after="0" w:line="234" w:lineRule="auto"/>
        <w:tabs>
          <w:tab w:leader="none" w:pos="1020" w:val="left"/>
        </w:tabs>
        <w:numPr>
          <w:ilvl w:val="0"/>
          <w:numId w:val="52"/>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43"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C. Howard Nye</w:t>
      </w:r>
    </w:p>
    <w:p>
      <w:pPr>
        <w:spacing w:after="0" w:line="12"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-141605</wp:posOffset>
            </wp:positionV>
            <wp:extent cx="284607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line="238" w:lineRule="auto"/>
        <w:rPr>
          <w:sz w:val="20"/>
          <w:szCs w:val="20"/>
          <w:color w:val="auto"/>
        </w:rPr>
      </w:pPr>
      <w:r>
        <w:rPr>
          <w:rFonts w:ascii="Calibri" w:cs="Calibri" w:eastAsia="Calibri" w:hAnsi="Calibri"/>
          <w:sz w:val="20"/>
          <w:szCs w:val="20"/>
          <w:color w:val="auto"/>
        </w:rPr>
        <w:t>Chief Executve Ofcer</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Date:  February 21, 2025</w:t>
      </w:r>
    </w:p>
    <w:p>
      <w:pPr>
        <w:spacing w:after="0" w:line="198" w:lineRule="exact"/>
        <w:rPr>
          <w:sz w:val="20"/>
          <w:szCs w:val="20"/>
          <w:color w:val="auto"/>
        </w:rPr>
      </w:pPr>
    </w:p>
    <w:p>
      <w:pPr>
        <w:ind w:firstLine="509"/>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1449070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6" w:name="page137"/>
    <w:bookmarkEnd w:id="136"/>
    <w:p>
      <w:pPr>
        <w:ind w:left="10080"/>
        <w:spacing w:after="0"/>
        <w:rPr>
          <w:sz w:val="20"/>
          <w:szCs w:val="20"/>
          <w:color w:val="auto"/>
        </w:rPr>
      </w:pPr>
      <w:r>
        <w:rPr>
          <w:rFonts w:ascii="Calibri" w:cs="Calibri" w:eastAsia="Calibri" w:hAnsi="Calibri"/>
          <w:sz w:val="20"/>
          <w:szCs w:val="20"/>
          <w:b w:val="1"/>
          <w:bCs w:val="1"/>
          <w:color w:val="auto"/>
        </w:rPr>
        <w:t>EXHIBIT 32.02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WRITTEN STATEMENT PURSUANT TO 18 U.S.C. 1350,</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AS ADOPTED PURSUANT TO SECTION 906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11" w:lineRule="exact"/>
        <w:rPr>
          <w:sz w:val="20"/>
          <w:szCs w:val="20"/>
          <w:color w:val="auto"/>
        </w:rPr>
      </w:pPr>
    </w:p>
    <w:p>
      <w:pPr>
        <w:ind w:right="20" w:firstLine="509"/>
        <w:spacing w:after="0" w:line="234" w:lineRule="auto"/>
        <w:rPr>
          <w:sz w:val="20"/>
          <w:szCs w:val="20"/>
          <w:color w:val="auto"/>
        </w:rPr>
      </w:pPr>
      <w:r>
        <w:rPr>
          <w:rFonts w:ascii="Calibri" w:cs="Calibri" w:eastAsia="Calibri" w:hAnsi="Calibri"/>
          <w:sz w:val="20"/>
          <w:szCs w:val="20"/>
          <w:color w:val="auto"/>
        </w:rPr>
        <w:t>In connecton with the 2024 Annual Report on Form 10-K (the Report) of Martn Marieta Materials, Inc. (the Registrant), as fled with the Securites and Exchange Commission, I, James A. J. Nickolas, the Chief Financial Ofcer of the Registrant, certfy that:</w:t>
      </w:r>
    </w:p>
    <w:p>
      <w:pPr>
        <w:spacing w:after="0" w:line="118" w:lineRule="exact"/>
        <w:rPr>
          <w:sz w:val="20"/>
          <w:szCs w:val="20"/>
          <w:color w:val="auto"/>
        </w:rPr>
      </w:pPr>
    </w:p>
    <w:p>
      <w:pPr>
        <w:ind w:left="1020" w:hanging="503"/>
        <w:spacing w:after="0" w:line="234" w:lineRule="auto"/>
        <w:tabs>
          <w:tab w:leader="none" w:pos="1020" w:val="left"/>
        </w:tabs>
        <w:numPr>
          <w:ilvl w:val="0"/>
          <w:numId w:val="53"/>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117" w:lineRule="exact"/>
        <w:rPr>
          <w:rFonts w:ascii="Calibri" w:cs="Calibri" w:eastAsia="Calibri" w:hAnsi="Calibri"/>
          <w:sz w:val="20"/>
          <w:szCs w:val="20"/>
          <w:color w:val="auto"/>
        </w:rPr>
      </w:pPr>
    </w:p>
    <w:p>
      <w:pPr>
        <w:ind w:left="1020" w:hanging="503"/>
        <w:spacing w:after="0" w:line="234" w:lineRule="auto"/>
        <w:tabs>
          <w:tab w:leader="none" w:pos="1020" w:val="left"/>
        </w:tabs>
        <w:numPr>
          <w:ilvl w:val="0"/>
          <w:numId w:val="53"/>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43"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James A. J. Nickolas</w:t>
      </w:r>
    </w:p>
    <w:p>
      <w:pPr>
        <w:spacing w:after="0" w:line="12"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-141605</wp:posOffset>
            </wp:positionV>
            <wp:extent cx="284607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8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line="238" w:lineRule="auto"/>
        <w:rPr>
          <w:sz w:val="20"/>
          <w:szCs w:val="20"/>
          <w:color w:val="auto"/>
        </w:rPr>
      </w:pPr>
      <w:r>
        <w:rPr>
          <w:rFonts w:ascii="Calibri" w:cs="Calibri" w:eastAsia="Calibri" w:hAnsi="Calibri"/>
          <w:sz w:val="20"/>
          <w:szCs w:val="20"/>
          <w:color w:val="auto"/>
        </w:rPr>
        <w:t>Chief Financial Ofcer</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Date: February 21, 2025</w:t>
      </w:r>
    </w:p>
    <w:p>
      <w:pPr>
        <w:spacing w:after="0" w:line="198" w:lineRule="exact"/>
        <w:rPr>
          <w:sz w:val="20"/>
          <w:szCs w:val="20"/>
          <w:color w:val="auto"/>
        </w:rPr>
      </w:pPr>
    </w:p>
    <w:p>
      <w:pPr>
        <w:ind w:firstLine="509"/>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1449070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7" w:name="page138"/>
    <w:bookmarkEnd w:id="137"/>
    <w:p>
      <w:pPr>
        <w:jc w:val="right"/>
        <w:spacing w:after="0"/>
        <w:rPr>
          <w:sz w:val="20"/>
          <w:szCs w:val="20"/>
          <w:color w:val="auto"/>
        </w:rPr>
      </w:pPr>
      <w:r>
        <w:rPr>
          <w:rFonts w:ascii="Calibri" w:cs="Calibri" w:eastAsia="Calibri" w:hAnsi="Calibri"/>
          <w:sz w:val="18"/>
          <w:szCs w:val="18"/>
          <w:b w:val="1"/>
          <w:bCs w:val="1"/>
          <w:color w:val="auto"/>
        </w:rPr>
        <w:t>EXHIBIT 95</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MINE SAFETY DISCLOSURE EXHIBIT</w:t>
      </w:r>
    </w:p>
    <w:p>
      <w:pPr>
        <w:spacing w:after="0" w:line="325"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operaton of the Company’s U.S. aggregate quarries and mines (including the mining operatons of the cement product line) is subject to regulaton by the federal Mine Safety and Health Administraton (MSHA) under the Federal Mine Safety and Health Act of 1977 (the Mine Act). MSHA inspects the Company’s quarries and mines (and cement plants) on a regular basis and issues various citatons and orders when it believes a violaton has occurred under the Mine Act. Whenever MSHA issues a citaton or order, it also generally proposes a civil penalty, or fne, related to the alleged violaton. Citatons or orders can be contested and appealed, and as part of that process, are ofen reduced in severity and amount, and are sometmes dismissed.</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Under the Dodd-Frank Wall Street Reform and Consumer Protecton Act (the Dodd-Frank Act), the Company is required to present informaton regarding certain mining safety and health citatons which MSHA has issued with respect to its aggregates mining operatons in its periodic reports fled with the Securites and Exchange Commission (the SEC). In evaluatng this informaton, consideraton should be given to factors such as: (i) the number of citatons and orders will vary depending on the size of the quarry or mine and type of operatons (underground or surface), (ii) the number of citatons issued will vary from inspector to inspector and locaton to locaton, and (iii) citatons and orders can be contested and appealed, and in that process, may be reduced in severity and amount, and are sometmes dismissed.</w:t>
      </w:r>
    </w:p>
    <w:p>
      <w:pPr>
        <w:spacing w:after="0" w:line="22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have provided informaton below in response to the rules and regulatons of the SEC issued under Secton 1503(a) of the Dodd-Frank Act. The disclosures refect U.S. mining operatons only, as the requirements of the Dodd-Frank Act and the SEC rules and regulatons thereunder do not apply to our quarries and mines operated outside the United States.</w:t>
      </w:r>
    </w:p>
    <w:p>
      <w:pPr>
        <w:spacing w:after="0" w:line="21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Company presents the following items regarding certain mining safety and health maters for the year ended December 31, 2024 (Appendix 1):</w:t>
      </w:r>
    </w:p>
    <w:p>
      <w:pPr>
        <w:spacing w:after="0" w:line="123" w:lineRule="exact"/>
        <w:rPr>
          <w:sz w:val="20"/>
          <w:szCs w:val="20"/>
          <w:color w:val="auto"/>
        </w:rPr>
      </w:pPr>
    </w:p>
    <w:p>
      <w:pPr>
        <w:jc w:val="both"/>
        <w:ind w:left="1020" w:hanging="503"/>
        <w:spacing w:after="0" w:line="235" w:lineRule="auto"/>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violatons of mandatory health or safety standards that could signifcantly and substantally contribute to the cause and efect of a mine safety or health hazard under secton 104 of the Mine Act for which the Company received a citaton from MSHA (hereinafer, “Secton 104 S&amp;S Citatons”). If MSHA determines that a violaton of a mandatory health or safety standard is reasonably likely to result in a reasonably serious injury or illness under the unique circumstance contributed to by the violaton, MSHA will classify the violaton as a “signifcant and substantal” violaton (commonly referred to as a “S&amp;S” violaton). MSHA inspectors will classify each citaton or order writen as a S&amp;S violaton or not.</w:t>
      </w:r>
    </w:p>
    <w:p>
      <w:pPr>
        <w:spacing w:after="0" w:line="126"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orders issued under secton 104(b) of the Mine Act (hereinafer, “Secton 104(b) Orders”). These orders are issued for situatons in which MSHA determines a previous violaton covered by a Secton 104(a) citaton has not been totally abated within the prescribed tme period, so a further order is needed to require the mine operator to immediately withdraw all persons (except certain authorized persons) from the afected area of a quarry or mine.</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citatons and orders for unwarrantable failure of the mine operator to comply with mandatory health or safety standards under Secton 104(d) of the Mine Act (hereinafer, “Secton 104(d) Citatons and Orders”). These violatons are similar to those described above, but the standard is that the violaton could signifcantly and substantally contribute to the cause and efect of a safety or health hazard, but the conditons do not cause imminent danger, and the MSHA inspector fnds that the violaton is caused by an unwarranted failure of the operator to comply with the health and safety standards.</w:t>
      </w:r>
    </w:p>
    <w:p>
      <w:pPr>
        <w:spacing w:after="0" w:line="125"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fagrant violatons under secton 110(b)(2) of the Mine Act (hereinafer, “Secton 110(b)(2) Violatons”). These violatons are penalty violatons issued if MSHA determines that violatons are “fagrant”, for which civil penaltes may be assessed. A “fagrant” violaton means a reckless or repeated failure to make reasonable eforts to eliminate a known violaton of a mandatory health or safety standard that substantally and proximately caused, or reasonably could have been expected to cause, death or serious bodily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spacing w:after="0" w:line="95" w:lineRule="exact"/>
        <w:rPr>
          <w:sz w:val="20"/>
          <w:szCs w:val="20"/>
          <w:color w:val="auto"/>
        </w:rPr>
      </w:pPr>
    </w:p>
    <w:p>
      <w:pPr>
        <w:jc w:val="both"/>
        <w:ind w:left="1020" w:hanging="503"/>
        <w:spacing w:after="0" w:line="235" w:lineRule="auto"/>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imminent danger orders issued under secton 107(a) of the Mine Act (hereinafer, “Secton 107(a) Orders”). These orders are issued for situatons in which MSHA determines an imminent danger exists in the quarry or mine and results in orders of immediate withdrawal of all persons (except certain authorized persons) from the area of the quarry or mine afected by its conditon untl the imminent danger and the underlying conditons causing the imminent danger no longer exist.</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Dollar Value of MSHA Assessments Proposed. These are the amounts of proposed assessments issued by MSHA with each citaton or order for the tme period covered by the report. Penaltes are assessed by MSHA according to a formula that considers a number of factors, including the mine operator’s history, size, negligence, gravity of the violaton, good faith in trying to correct the violaton promptly, and the efect of the penalty on the operator’s ability to contnue in business.</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Mining-Related Fatalites. Mines subject to the Mine Act are required to report all fatalites occurring at their facilites unless the fatality is determined to be “non-chargeable” to the mining industry. The fnal rules of the SEC require disclosure of mining-related fatalites at mines subject to the Mine Act. Only fatalites determined by MSHA not to be mining-related may be excluded.</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Receipt of writen notce from MSHA of a patern (or a potental to have such a patern) of violatons of mandatory health or safety standards that are of such nature as could have signifcantly and substantally contributed to the cause and efect of other mine health or safety hazards under secton 104(e) of the Mine Act. If MHSA determines that a mine has a “patern” of these types of violatons, or the potental to have such a patern, MSHA is required to notfy the mine operator of the existence of such a thing.</w:t>
      </w:r>
    </w:p>
    <w:p>
      <w:pPr>
        <w:spacing w:after="0" w:line="12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Legal Actons Pending as of the Last Day of Period.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Legal Actons Initated During Period.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Legal Actons Resolved During Period.</w:t>
      </w:r>
    </w:p>
    <w:p>
      <w:pPr>
        <w:spacing w:after="0" w:line="217" w:lineRule="exact"/>
        <w:rPr>
          <w:sz w:val="20"/>
          <w:szCs w:val="20"/>
          <w:color w:val="auto"/>
        </w:rPr>
      </w:pPr>
    </w:p>
    <w:p>
      <w:pPr>
        <w:jc w:val="both"/>
        <w:ind w:firstLine="509"/>
        <w:spacing w:after="0" w:line="251" w:lineRule="auto"/>
        <w:rPr>
          <w:sz w:val="20"/>
          <w:szCs w:val="20"/>
          <w:color w:val="auto"/>
        </w:rPr>
      </w:pPr>
      <w:r>
        <w:rPr>
          <w:rFonts w:ascii="Calibri" w:cs="Calibri" w:eastAsia="Calibri" w:hAnsi="Calibri"/>
          <w:sz w:val="17"/>
          <w:szCs w:val="17"/>
          <w:color w:val="auto"/>
        </w:rPr>
        <w:t>The Federal Mine Safety and Health Review Commission (the Commission) is an independent adjudicatve agency that provides administratve trial and appellate review of legal disputes arising under the Mine Act. The cases may involve, among other questons, challenges by operators to citatons, orders and penaltes they have received from MSHA, or complaints of discriminaton by miners under Secton 105 of the Mine Act. Appendix 1 shows, for each of the Company’s quarries and mines identfed, as of December 31, 2024, the number of legal actons pending before the Commission, along with the number of legal actons initated before the Commission during the year as well as resolved during the year. In additon, Appendix 1 includes a footnote to the column for legal actons before the Commission pending as of the last day of the period, which footnote breaks down that total number of legal actons pending by categories according to the type of proceeding in accordance with various categories established by the Procedural Rules of the Commission.</w:t>
      </w: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color w:val="auto"/>
        </w:rPr>
        <w:t>Appendix 1 atached.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1373505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20"/>
        </w:trPr>
        <w:tc>
          <w:tcPr>
            <w:tcW w:w="2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Calibri" w:cs="Calibri" w:eastAsia="Calibri" w:hAnsi="Calibri"/>
                <w:sz w:val="18"/>
                <w:szCs w:val="18"/>
                <w:color w:val="auto"/>
                <w:w w:val="97"/>
              </w:rPr>
              <w:t>Appendix 1</w:t>
            </w:r>
          </w:p>
        </w:tc>
      </w:tr>
      <w:tr>
        <w:trPr>
          <w:trHeight w:val="648"/>
        </w:trPr>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Received</w:t>
            </w:r>
          </w:p>
        </w:tc>
        <w:tc>
          <w:tcPr>
            <w:tcW w:w="78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Received</w:t>
            </w:r>
          </w:p>
        </w:tc>
        <w:tc>
          <w:tcPr>
            <w:tcW w:w="60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Legal</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Notce of</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Notce of</w:t>
            </w:r>
          </w:p>
        </w:tc>
        <w:tc>
          <w:tcPr>
            <w:tcW w:w="600" w:type="dxa"/>
            <w:vAlign w:val="bottom"/>
          </w:tcPr>
          <w:p>
            <w:pPr>
              <w:ind w:left="80"/>
              <w:spacing w:after="0" w:line="216" w:lineRule="exact"/>
              <w:rPr>
                <w:sz w:val="20"/>
                <w:szCs w:val="20"/>
                <w:color w:val="auto"/>
              </w:rPr>
            </w:pPr>
            <w:r>
              <w:rPr>
                <w:rFonts w:ascii="Calibri" w:cs="Calibri" w:eastAsia="Calibri" w:hAnsi="Calibri"/>
                <w:sz w:val="18"/>
                <w:szCs w:val="18"/>
                <w:b w:val="1"/>
                <w:bCs w:val="1"/>
                <w:color w:val="auto"/>
              </w:rPr>
              <w:t>Acton</w:t>
            </w:r>
          </w:p>
        </w:tc>
        <w:tc>
          <w:tcPr>
            <w:tcW w:w="5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Legal</w:t>
            </w:r>
          </w:p>
        </w:tc>
        <w:tc>
          <w:tcPr>
            <w:tcW w:w="82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150"/>
              <w:spacing w:after="0" w:line="216" w:lineRule="exact"/>
              <w:rPr>
                <w:sz w:val="20"/>
                <w:szCs w:val="20"/>
                <w:color w:val="auto"/>
              </w:rPr>
            </w:pPr>
            <w:r>
              <w:rPr>
                <w:rFonts w:ascii="Calibri" w:cs="Calibri" w:eastAsia="Calibri" w:hAnsi="Calibri"/>
                <w:sz w:val="18"/>
                <w:szCs w:val="18"/>
                <w:b w:val="1"/>
                <w:bCs w:val="1"/>
                <w:color w:val="auto"/>
                <w:w w:val="94"/>
              </w:rPr>
              <w:t>Total</w:t>
            </w:r>
          </w:p>
        </w:tc>
        <w:tc>
          <w:tcPr>
            <w:tcW w:w="1000" w:type="dxa"/>
            <w:vAlign w:val="bottom"/>
          </w:tcPr>
          <w:p>
            <w:pPr>
              <w:spacing w:after="0"/>
              <w:rPr>
                <w:sz w:val="18"/>
                <w:szCs w:val="18"/>
                <w:color w:val="auto"/>
              </w:rPr>
            </w:pPr>
          </w:p>
        </w:tc>
        <w:tc>
          <w:tcPr>
            <w:tcW w:w="7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Patern</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Potental</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82"/>
              </w:rPr>
              <w:t>s</w:t>
            </w:r>
          </w:p>
        </w:tc>
        <w:tc>
          <w:tcPr>
            <w:tcW w:w="5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Acton</w:t>
            </w:r>
          </w:p>
        </w:tc>
        <w:tc>
          <w:tcPr>
            <w:tcW w:w="82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Secton</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150"/>
              <w:spacing w:after="0" w:line="216" w:lineRule="exact"/>
              <w:rPr>
                <w:sz w:val="20"/>
                <w:szCs w:val="20"/>
                <w:color w:val="auto"/>
              </w:rPr>
            </w:pPr>
            <w:r>
              <w:rPr>
                <w:rFonts w:ascii="Calibri" w:cs="Calibri" w:eastAsia="Calibri" w:hAnsi="Calibri"/>
                <w:sz w:val="18"/>
                <w:szCs w:val="18"/>
                <w:b w:val="1"/>
                <w:bCs w:val="1"/>
                <w:color w:val="auto"/>
                <w:w w:val="97"/>
              </w:rPr>
              <w:t>Dollar</w:t>
            </w:r>
          </w:p>
        </w:tc>
        <w:tc>
          <w:tcPr>
            <w:tcW w:w="1000" w:type="dxa"/>
            <w:vAlign w:val="bottom"/>
          </w:tcPr>
          <w:p>
            <w:pPr>
              <w:spacing w:after="0"/>
              <w:rPr>
                <w:sz w:val="18"/>
                <w:szCs w:val="18"/>
                <w:color w:val="auto"/>
              </w:rPr>
            </w:pPr>
          </w:p>
        </w:tc>
        <w:tc>
          <w:tcPr>
            <w:tcW w:w="7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0"/>
              </w:rPr>
              <w:t>of</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to have</w:t>
            </w:r>
          </w:p>
        </w:tc>
        <w:tc>
          <w:tcPr>
            <w:tcW w:w="600" w:type="dxa"/>
            <w:vAlign w:val="bottom"/>
          </w:tcPr>
          <w:p>
            <w:pPr>
              <w:ind w:left="40"/>
              <w:spacing w:after="0" w:line="216" w:lineRule="exact"/>
              <w:rPr>
                <w:sz w:val="20"/>
                <w:szCs w:val="20"/>
                <w:color w:val="auto"/>
              </w:rPr>
            </w:pPr>
            <w:r>
              <w:rPr>
                <w:rFonts w:ascii="Calibri" w:cs="Calibri" w:eastAsia="Calibri" w:hAnsi="Calibri"/>
                <w:sz w:val="18"/>
                <w:szCs w:val="18"/>
                <w:b w:val="1"/>
                <w:bCs w:val="1"/>
                <w:color w:val="auto"/>
              </w:rPr>
              <w:t>Pendin</w:t>
            </w:r>
          </w:p>
        </w:tc>
        <w:tc>
          <w:tcPr>
            <w:tcW w:w="5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82"/>
              </w:rPr>
              <w:t>s</w:t>
            </w:r>
          </w:p>
        </w:tc>
        <w:tc>
          <w:tcPr>
            <w:tcW w:w="82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w:t>
            </w: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104(d)</w:t>
            </w:r>
          </w:p>
        </w:tc>
        <w:tc>
          <w:tcPr>
            <w:tcW w:w="1120" w:type="dxa"/>
            <w:vAlign w:val="bottom"/>
            <w:gridSpan w:val="2"/>
          </w:tcPr>
          <w:p>
            <w:pPr>
              <w:ind w:left="40"/>
              <w:spacing w:after="0" w:line="216" w:lineRule="exact"/>
              <w:rPr>
                <w:sz w:val="20"/>
                <w:szCs w:val="20"/>
                <w:color w:val="auto"/>
              </w:rPr>
            </w:pPr>
            <w:r>
              <w:rPr>
                <w:rFonts w:ascii="Calibri" w:cs="Calibri" w:eastAsia="Calibri" w:hAnsi="Calibri"/>
                <w:sz w:val="18"/>
                <w:szCs w:val="18"/>
                <w:b w:val="1"/>
                <w:bCs w:val="1"/>
                <w:color w:val="auto"/>
              </w:rPr>
              <w:t>Secton Secto</w:t>
            </w:r>
          </w:p>
        </w:tc>
        <w:tc>
          <w:tcPr>
            <w:tcW w:w="900" w:type="dxa"/>
            <w:vAlign w:val="bottom"/>
            <w:gridSpan w:val="2"/>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6"/>
              </w:rPr>
              <w:t>Value of</w:t>
            </w:r>
          </w:p>
        </w:tc>
        <w:tc>
          <w:tcPr>
            <w:tcW w:w="10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Total</w:t>
            </w:r>
          </w:p>
        </w:tc>
        <w:tc>
          <w:tcPr>
            <w:tcW w:w="7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Violaton</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Patern</w:t>
            </w:r>
          </w:p>
        </w:tc>
        <w:tc>
          <w:tcPr>
            <w:tcW w:w="1140" w:type="dxa"/>
            <w:vAlign w:val="bottom"/>
            <w:gridSpan w:val="2"/>
          </w:tcPr>
          <w:p>
            <w:pPr>
              <w:ind w:left="60"/>
              <w:spacing w:after="0" w:line="216" w:lineRule="exact"/>
              <w:rPr>
                <w:sz w:val="20"/>
                <w:szCs w:val="20"/>
                <w:color w:val="auto"/>
              </w:rPr>
            </w:pPr>
            <w:r>
              <w:rPr>
                <w:rFonts w:ascii="Calibri" w:cs="Calibri" w:eastAsia="Calibri" w:hAnsi="Calibri"/>
                <w:sz w:val="18"/>
                <w:szCs w:val="18"/>
                <w:b w:val="1"/>
                <w:bCs w:val="1"/>
                <w:color w:val="auto"/>
              </w:rPr>
              <w:t>g as of Insttut</w:t>
            </w:r>
          </w:p>
        </w:tc>
        <w:tc>
          <w:tcPr>
            <w:tcW w:w="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Legal</w:t>
            </w:r>
          </w:p>
        </w:tc>
      </w:tr>
      <w:tr>
        <w:trPr>
          <w:trHeight w:val="216"/>
        </w:trPr>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Secton</w:t>
            </w:r>
          </w:p>
        </w:tc>
        <w:tc>
          <w:tcPr>
            <w:tcW w:w="5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n</w:t>
            </w: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Citatons</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110(b)</w:t>
            </w:r>
          </w:p>
        </w:tc>
        <w:tc>
          <w:tcPr>
            <w:tcW w:w="5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n</w:t>
            </w:r>
          </w:p>
        </w:tc>
        <w:tc>
          <w:tcPr>
            <w:tcW w:w="140" w:type="dxa"/>
            <w:vAlign w:val="bottom"/>
          </w:tcPr>
          <w:p>
            <w:pPr>
              <w:spacing w:after="0"/>
              <w:rPr>
                <w:sz w:val="18"/>
                <w:szCs w:val="18"/>
                <w:color w:val="auto"/>
              </w:rPr>
            </w:pPr>
          </w:p>
        </w:tc>
        <w:tc>
          <w:tcPr>
            <w:tcW w:w="760" w:type="dxa"/>
            <w:vAlign w:val="bottom"/>
          </w:tcPr>
          <w:p>
            <w:pPr>
              <w:jc w:val="center"/>
              <w:ind w:right="150"/>
              <w:spacing w:after="0" w:line="216" w:lineRule="exact"/>
              <w:rPr>
                <w:sz w:val="20"/>
                <w:szCs w:val="20"/>
                <w:color w:val="auto"/>
              </w:rPr>
            </w:pPr>
            <w:r>
              <w:rPr>
                <w:rFonts w:ascii="Calibri" w:cs="Calibri" w:eastAsia="Calibri" w:hAnsi="Calibri"/>
                <w:sz w:val="18"/>
                <w:szCs w:val="18"/>
                <w:b w:val="1"/>
                <w:bCs w:val="1"/>
                <w:color w:val="auto"/>
                <w:w w:val="94"/>
              </w:rPr>
              <w:t>MSHA</w:t>
            </w:r>
          </w:p>
        </w:tc>
        <w:tc>
          <w:tcPr>
            <w:tcW w:w="10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Number of</w:t>
            </w:r>
          </w:p>
        </w:tc>
        <w:tc>
          <w:tcPr>
            <w:tcW w:w="7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Under</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under</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Last</w:t>
            </w:r>
          </w:p>
        </w:tc>
        <w:tc>
          <w:tcPr>
            <w:tcW w:w="5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ed</w:t>
            </w:r>
          </w:p>
        </w:tc>
        <w:tc>
          <w:tcPr>
            <w:tcW w:w="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Actons</w:t>
            </w:r>
          </w:p>
        </w:tc>
      </w:tr>
      <w:tr>
        <w:trPr>
          <w:trHeight w:val="216"/>
        </w:trPr>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ind w:left="40"/>
              <w:spacing w:after="0" w:line="216" w:lineRule="exact"/>
              <w:rPr>
                <w:sz w:val="20"/>
                <w:szCs w:val="20"/>
                <w:color w:val="auto"/>
              </w:rPr>
            </w:pPr>
            <w:r>
              <w:rPr>
                <w:rFonts w:ascii="Calibri" w:cs="Calibri" w:eastAsia="Calibri" w:hAnsi="Calibri"/>
                <w:sz w:val="18"/>
                <w:szCs w:val="18"/>
                <w:b w:val="1"/>
                <w:bCs w:val="1"/>
                <w:color w:val="auto"/>
              </w:rPr>
              <w:t>104 S&amp;S 104(b)</w:t>
            </w: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and</w:t>
            </w:r>
          </w:p>
        </w:tc>
        <w:tc>
          <w:tcPr>
            <w:tcW w:w="600" w:type="dxa"/>
            <w:vAlign w:val="bottom"/>
          </w:tcPr>
          <w:p>
            <w:pPr>
              <w:jc w:val="right"/>
              <w:ind w:right="90"/>
              <w:spacing w:after="0" w:line="216" w:lineRule="exact"/>
              <w:rPr>
                <w:sz w:val="20"/>
                <w:szCs w:val="20"/>
                <w:color w:val="auto"/>
              </w:rPr>
            </w:pPr>
            <w:r>
              <w:rPr>
                <w:rFonts w:ascii="Calibri" w:cs="Calibri" w:eastAsia="Calibri" w:hAnsi="Calibri"/>
                <w:sz w:val="18"/>
                <w:szCs w:val="18"/>
                <w:b w:val="1"/>
                <w:bCs w:val="1"/>
                <w:color w:val="auto"/>
              </w:rPr>
              <w:t>(2)</w:t>
            </w:r>
          </w:p>
        </w:tc>
        <w:tc>
          <w:tcPr>
            <w:tcW w:w="1420" w:type="dxa"/>
            <w:vAlign w:val="bottom"/>
            <w:gridSpan w:val="3"/>
          </w:tcPr>
          <w:p>
            <w:pPr>
              <w:jc w:val="right"/>
              <w:ind w:right="30"/>
              <w:spacing w:after="0" w:line="216" w:lineRule="exact"/>
              <w:rPr>
                <w:sz w:val="20"/>
                <w:szCs w:val="20"/>
                <w:color w:val="auto"/>
              </w:rPr>
            </w:pPr>
            <w:r>
              <w:rPr>
                <w:rFonts w:ascii="Calibri" w:cs="Calibri" w:eastAsia="Calibri" w:hAnsi="Calibri"/>
                <w:sz w:val="18"/>
                <w:szCs w:val="18"/>
                <w:b w:val="1"/>
                <w:bCs w:val="1"/>
                <w:color w:val="auto"/>
              </w:rPr>
              <w:t>107(a) Assessme</w:t>
            </w:r>
          </w:p>
        </w:tc>
        <w:tc>
          <w:tcPr>
            <w:tcW w:w="10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Mining</w:t>
            </w:r>
          </w:p>
        </w:tc>
        <w:tc>
          <w:tcPr>
            <w:tcW w:w="7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Secton</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Secton</w:t>
            </w:r>
          </w:p>
        </w:tc>
        <w:tc>
          <w:tcPr>
            <w:tcW w:w="1140" w:type="dxa"/>
            <w:vAlign w:val="bottom"/>
            <w:gridSpan w:val="2"/>
          </w:tcPr>
          <w:p>
            <w:pPr>
              <w:ind w:left="60"/>
              <w:spacing w:after="0" w:line="216" w:lineRule="exact"/>
              <w:rPr>
                <w:sz w:val="20"/>
                <w:szCs w:val="20"/>
                <w:color w:val="auto"/>
              </w:rPr>
            </w:pPr>
            <w:r>
              <w:rPr>
                <w:rFonts w:ascii="Calibri" w:cs="Calibri" w:eastAsia="Calibri" w:hAnsi="Calibri"/>
                <w:sz w:val="18"/>
                <w:szCs w:val="18"/>
                <w:b w:val="1"/>
                <w:bCs w:val="1"/>
                <w:color w:val="auto"/>
              </w:rPr>
              <w:t>Day of During</w:t>
            </w:r>
          </w:p>
        </w:tc>
        <w:tc>
          <w:tcPr>
            <w:tcW w:w="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Resolved</w:t>
            </w:r>
          </w:p>
        </w:tc>
      </w:tr>
      <w:tr>
        <w:trPr>
          <w:trHeight w:val="216"/>
        </w:trPr>
        <w:tc>
          <w:tcPr>
            <w:tcW w:w="2100" w:type="dxa"/>
            <w:vAlign w:val="bottom"/>
          </w:tcPr>
          <w:p>
            <w:pPr>
              <w:spacing w:after="0"/>
              <w:rPr>
                <w:sz w:val="18"/>
                <w:szCs w:val="18"/>
                <w:color w:val="auto"/>
              </w:rPr>
            </w:pPr>
          </w:p>
        </w:tc>
        <w:tc>
          <w:tcPr>
            <w:tcW w:w="1920" w:type="dxa"/>
            <w:vAlign w:val="bottom"/>
            <w:gridSpan w:val="3"/>
          </w:tcPr>
          <w:p>
            <w:pPr>
              <w:jc w:val="center"/>
              <w:ind w:left="90"/>
              <w:spacing w:after="0" w:line="216" w:lineRule="exact"/>
              <w:rPr>
                <w:sz w:val="20"/>
                <w:szCs w:val="20"/>
                <w:color w:val="auto"/>
              </w:rPr>
            </w:pPr>
            <w:r>
              <w:rPr>
                <w:rFonts w:ascii="Calibri" w:cs="Calibri" w:eastAsia="Calibri" w:hAnsi="Calibri"/>
                <w:sz w:val="18"/>
                <w:szCs w:val="18"/>
                <w:b w:val="1"/>
                <w:bCs w:val="1"/>
                <w:color w:val="auto"/>
              </w:rPr>
              <w:t>MSHA Citatons Order</w:t>
            </w: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Orders</w:t>
            </w:r>
          </w:p>
        </w:tc>
        <w:tc>
          <w:tcPr>
            <w:tcW w:w="1120" w:type="dxa"/>
            <w:vAlign w:val="bottom"/>
            <w:gridSpan w:val="2"/>
          </w:tcPr>
          <w:p>
            <w:pPr>
              <w:ind w:left="40"/>
              <w:spacing w:after="0" w:line="216" w:lineRule="exact"/>
              <w:rPr>
                <w:sz w:val="20"/>
                <w:szCs w:val="20"/>
                <w:color w:val="auto"/>
              </w:rPr>
            </w:pPr>
            <w:r>
              <w:rPr>
                <w:rFonts w:ascii="Calibri" w:cs="Calibri" w:eastAsia="Calibri" w:hAnsi="Calibri"/>
                <w:sz w:val="18"/>
                <w:szCs w:val="18"/>
                <w:b w:val="1"/>
                <w:bCs w:val="1"/>
                <w:color w:val="auto"/>
              </w:rPr>
              <w:t>Violato Order</w:t>
            </w:r>
          </w:p>
        </w:tc>
        <w:tc>
          <w:tcPr>
            <w:tcW w:w="140" w:type="dxa"/>
            <w:vAlign w:val="bottom"/>
          </w:tcPr>
          <w:p>
            <w:pPr>
              <w:spacing w:after="0"/>
              <w:rPr>
                <w:sz w:val="18"/>
                <w:szCs w:val="18"/>
                <w:color w:val="auto"/>
              </w:rPr>
            </w:pPr>
          </w:p>
        </w:tc>
        <w:tc>
          <w:tcPr>
            <w:tcW w:w="760" w:type="dxa"/>
            <w:vAlign w:val="bottom"/>
          </w:tcPr>
          <w:p>
            <w:pPr>
              <w:jc w:val="center"/>
              <w:ind w:right="150"/>
              <w:spacing w:after="0" w:line="216" w:lineRule="exact"/>
              <w:rPr>
                <w:sz w:val="20"/>
                <w:szCs w:val="20"/>
                <w:color w:val="auto"/>
              </w:rPr>
            </w:pPr>
            <w:r>
              <w:rPr>
                <w:rFonts w:ascii="Calibri" w:cs="Calibri" w:eastAsia="Calibri" w:hAnsi="Calibri"/>
                <w:sz w:val="18"/>
                <w:szCs w:val="18"/>
                <w:b w:val="1"/>
                <w:bCs w:val="1"/>
                <w:color w:val="auto"/>
                <w:w w:val="97"/>
              </w:rPr>
              <w:t>nt/$</w:t>
            </w:r>
          </w:p>
        </w:tc>
        <w:tc>
          <w:tcPr>
            <w:tcW w:w="10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Related</w:t>
            </w:r>
          </w:p>
        </w:tc>
        <w:tc>
          <w:tcPr>
            <w:tcW w:w="7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104(e)</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104(e)</w:t>
            </w:r>
          </w:p>
        </w:tc>
        <w:tc>
          <w:tcPr>
            <w:tcW w:w="1140" w:type="dxa"/>
            <w:vAlign w:val="bottom"/>
            <w:gridSpan w:val="2"/>
          </w:tcPr>
          <w:p>
            <w:pPr>
              <w:ind w:left="40"/>
              <w:spacing w:after="0" w:line="216" w:lineRule="exact"/>
              <w:rPr>
                <w:sz w:val="20"/>
                <w:szCs w:val="20"/>
                <w:color w:val="auto"/>
              </w:rPr>
            </w:pPr>
            <w:r>
              <w:rPr>
                <w:rFonts w:ascii="Calibri" w:cs="Calibri" w:eastAsia="Calibri" w:hAnsi="Calibri"/>
                <w:sz w:val="18"/>
                <w:szCs w:val="18"/>
                <w:b w:val="1"/>
                <w:bCs w:val="1"/>
                <w:color w:val="auto"/>
              </w:rPr>
              <w:t>Period Period</w:t>
            </w:r>
          </w:p>
        </w:tc>
        <w:tc>
          <w:tcPr>
            <w:tcW w:w="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During</w:t>
            </w:r>
          </w:p>
        </w:tc>
      </w:tr>
      <w:tr>
        <w:trPr>
          <w:trHeight w:val="216"/>
        </w:trPr>
        <w:tc>
          <w:tcPr>
            <w:tcW w:w="2100" w:type="dxa"/>
            <w:vAlign w:val="bottom"/>
          </w:tcPr>
          <w:p>
            <w:pPr>
              <w:ind w:left="860"/>
              <w:spacing w:after="0" w:line="216" w:lineRule="exact"/>
              <w:rPr>
                <w:sz w:val="20"/>
                <w:szCs w:val="20"/>
                <w:color w:val="auto"/>
              </w:rPr>
            </w:pPr>
            <w:r>
              <w:rPr>
                <w:rFonts w:ascii="Calibri" w:cs="Calibri" w:eastAsia="Calibri" w:hAnsi="Calibri"/>
                <w:sz w:val="18"/>
                <w:szCs w:val="18"/>
                <w:b w:val="1"/>
                <w:bCs w:val="1"/>
                <w:color w:val="auto"/>
              </w:rPr>
              <w:t>Locaton</w:t>
            </w:r>
          </w:p>
        </w:tc>
        <w:tc>
          <w:tcPr>
            <w:tcW w:w="700" w:type="dxa"/>
            <w:vAlign w:val="bottom"/>
          </w:tcPr>
          <w:p>
            <w:pPr>
              <w:ind w:left="380"/>
              <w:spacing w:after="0" w:line="216" w:lineRule="exact"/>
              <w:rPr>
                <w:sz w:val="20"/>
                <w:szCs w:val="20"/>
                <w:color w:val="auto"/>
              </w:rPr>
            </w:pPr>
            <w:r>
              <w:rPr>
                <w:rFonts w:ascii="Calibri" w:cs="Calibri" w:eastAsia="Calibri" w:hAnsi="Calibri"/>
                <w:sz w:val="18"/>
                <w:szCs w:val="18"/>
                <w:b w:val="1"/>
                <w:bCs w:val="1"/>
                <w:color w:val="auto"/>
              </w:rPr>
              <w:t>ID</w:t>
            </w:r>
          </w:p>
        </w:tc>
        <w:tc>
          <w:tcPr>
            <w:tcW w:w="6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w:t>
            </w:r>
          </w:p>
        </w:tc>
        <w:tc>
          <w:tcPr>
            <w:tcW w:w="5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s (#)</w:t>
            </w: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ns (#)</w:t>
            </w:r>
          </w:p>
        </w:tc>
        <w:tc>
          <w:tcPr>
            <w:tcW w:w="5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s (#)</w:t>
            </w:r>
          </w:p>
        </w:tc>
        <w:tc>
          <w:tcPr>
            <w:tcW w:w="90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w w:val="95"/>
              </w:rPr>
              <w:t>Proposed</w:t>
            </w:r>
          </w:p>
        </w:tc>
        <w:tc>
          <w:tcPr>
            <w:tcW w:w="10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Fatalites (#)</w:t>
            </w:r>
          </w:p>
        </w:tc>
        <w:tc>
          <w:tcPr>
            <w:tcW w:w="7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(yes/no)</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(yes/no)</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w:t>
            </w:r>
          </w:p>
        </w:tc>
        <w:tc>
          <w:tcPr>
            <w:tcW w:w="5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w:t>
            </w:r>
          </w:p>
        </w:tc>
        <w:tc>
          <w:tcPr>
            <w:tcW w:w="8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Period (#)</w:t>
            </w:r>
          </w:p>
        </w:tc>
      </w:tr>
      <w:tr>
        <w:trPr>
          <w:trHeight w:val="216"/>
        </w:trPr>
        <w:tc>
          <w:tcPr>
            <w:tcW w:w="2100" w:type="dxa"/>
            <w:vAlign w:val="bottom"/>
          </w:tcPr>
          <w:p>
            <w:pPr>
              <w:spacing w:after="0"/>
              <w:rPr>
                <w:sz w:val="18"/>
                <w:szCs w:val="18"/>
                <w:color w:val="auto"/>
              </w:rPr>
            </w:pPr>
          </w:p>
        </w:tc>
        <w:tc>
          <w:tcPr>
            <w:tcW w:w="700" w:type="dxa"/>
            <w:vAlign w:val="bottom"/>
          </w:tcPr>
          <w:p>
            <w:pPr>
              <w:ind w:left="240"/>
              <w:spacing w:after="0" w:line="216" w:lineRule="exact"/>
              <w:rPr>
                <w:sz w:val="20"/>
                <w:szCs w:val="20"/>
                <w:color w:val="auto"/>
              </w:rPr>
            </w:pPr>
            <w:r>
              <w:rPr>
                <w:rFonts w:ascii="Calibri" w:cs="Calibri" w:eastAsia="Calibri" w:hAnsi="Calibri"/>
                <w:sz w:val="18"/>
                <w:szCs w:val="18"/>
                <w:color w:val="auto"/>
                <w:w w:val="96"/>
              </w:rPr>
              <w:t>44000</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100" w:type="dxa"/>
            <w:vAlign w:val="bottom"/>
          </w:tcPr>
          <w:p>
            <w:pPr>
              <w:ind w:left="20"/>
              <w:spacing w:after="0" w:line="216" w:lineRule="exact"/>
              <w:rPr>
                <w:sz w:val="20"/>
                <w:szCs w:val="20"/>
                <w:color w:val="auto"/>
              </w:rPr>
            </w:pPr>
            <w:r>
              <w:rPr>
                <w:rFonts w:ascii="Calibri" w:cs="Calibri" w:eastAsia="Calibri" w:hAnsi="Calibri"/>
                <w:sz w:val="18"/>
                <w:szCs w:val="18"/>
                <w:color w:val="auto"/>
              </w:rPr>
              <w:t>****Abingdon Quarry</w:t>
            </w:r>
          </w:p>
        </w:tc>
        <w:tc>
          <w:tcPr>
            <w:tcW w:w="700" w:type="dxa"/>
            <w:vAlign w:val="bottom"/>
          </w:tcPr>
          <w:p>
            <w:pPr>
              <w:ind w:left="240"/>
              <w:spacing w:after="0" w:line="216" w:lineRule="exact"/>
              <w:rPr>
                <w:sz w:val="20"/>
                <w:szCs w:val="20"/>
                <w:color w:val="auto"/>
              </w:rPr>
            </w:pPr>
            <w:r>
              <w:rPr>
                <w:rFonts w:ascii="Calibri" w:cs="Calibri" w:eastAsia="Calibri" w:hAnsi="Calibri"/>
                <w:sz w:val="18"/>
                <w:szCs w:val="18"/>
                <w:color w:val="auto"/>
              </w:rPr>
              <w:t>03</w:t>
            </w:r>
          </w:p>
        </w:tc>
        <w:tc>
          <w:tcPr>
            <w:tcW w:w="68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147</w:t>
            </w:r>
          </w:p>
        </w:tc>
        <w:tc>
          <w:tcPr>
            <w:tcW w:w="100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6"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0</w:t>
            </w:r>
          </w:p>
        </w:tc>
      </w:tr>
      <w:tr>
        <w:trPr>
          <w:trHeight w:val="23"/>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31016</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Alexander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36</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10201</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****Allsboro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4</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44073</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Amelia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72</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31001</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American Stone</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89</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44029</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Anderson Creek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63</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90108</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Appling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3</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204</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31000</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Arrowood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59</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3,357</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31000</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Asheboro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66</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10000</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Auburn Al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6</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90043</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Auburn GA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6</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90006</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Augusta GA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5</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1,029</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31000</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Bakers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71</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351</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90095</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Ball Ground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5</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31000</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Belgrade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64</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31019</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Benson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79</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147</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38000</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Berkeley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72</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1,066</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31011</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Bessemer City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05</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161</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31019</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Bonds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63</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204</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18000</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Boonesboro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24</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31000</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Burlington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42</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31018</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Caldwell Quarry</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69</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40033</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Calhoun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95</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147</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38007</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Calhoun Sand</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16</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31000</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Castle Hayne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63</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38000</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8"/>
        </w:trPr>
        <w:tc>
          <w:tcPr>
            <w:tcW w:w="21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Cayce</w:t>
            </w:r>
          </w:p>
        </w:tc>
        <w:tc>
          <w:tcPr>
            <w:tcW w:w="7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16</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1,533</w:t>
            </w:r>
          </w:p>
        </w:tc>
        <w:tc>
          <w:tcPr>
            <w:tcW w:w="10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00" w:type="dxa"/>
            <w:vAlign w:val="bottom"/>
          </w:tcPr>
          <w:p>
            <w:pPr>
              <w:spacing w:after="0"/>
              <w:rPr>
                <w:sz w:val="16"/>
                <w:szCs w:val="16"/>
                <w:color w:val="auto"/>
              </w:rPr>
            </w:pPr>
          </w:p>
        </w:tc>
        <w:tc>
          <w:tcPr>
            <w:tcW w:w="700" w:type="dxa"/>
            <w:vAlign w:val="bottom"/>
          </w:tcPr>
          <w:p>
            <w:pPr>
              <w:ind w:left="240"/>
              <w:spacing w:after="0" w:line="194" w:lineRule="exact"/>
              <w:rPr>
                <w:sz w:val="20"/>
                <w:szCs w:val="20"/>
                <w:color w:val="auto"/>
              </w:rPr>
            </w:pPr>
            <w:r>
              <w:rPr>
                <w:rFonts w:ascii="Calibri" w:cs="Calibri" w:eastAsia="Calibri" w:hAnsi="Calibri"/>
                <w:sz w:val="18"/>
                <w:szCs w:val="18"/>
                <w:color w:val="auto"/>
                <w:w w:val="96"/>
              </w:rPr>
              <w:t>31000</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100" w:type="dxa"/>
            <w:vAlign w:val="bottom"/>
          </w:tcPr>
          <w:p>
            <w:pPr>
              <w:ind w:left="20"/>
              <w:spacing w:after="0" w:line="215" w:lineRule="exact"/>
              <w:rPr>
                <w:sz w:val="20"/>
                <w:szCs w:val="20"/>
                <w:color w:val="auto"/>
              </w:rPr>
            </w:pPr>
            <w:r>
              <w:rPr>
                <w:rFonts w:ascii="Calibri" w:cs="Calibri" w:eastAsia="Calibri" w:hAnsi="Calibri"/>
                <w:sz w:val="18"/>
                <w:szCs w:val="18"/>
                <w:color w:val="auto"/>
              </w:rPr>
              <w:t>Central Rock Quarry</w:t>
            </w:r>
          </w:p>
        </w:tc>
        <w:tc>
          <w:tcPr>
            <w:tcW w:w="700" w:type="dxa"/>
            <w:vAlign w:val="bottom"/>
          </w:tcPr>
          <w:p>
            <w:pPr>
              <w:ind w:left="240"/>
              <w:spacing w:after="0" w:line="215" w:lineRule="exact"/>
              <w:rPr>
                <w:sz w:val="20"/>
                <w:szCs w:val="20"/>
                <w:color w:val="auto"/>
              </w:rPr>
            </w:pPr>
            <w:r>
              <w:rPr>
                <w:rFonts w:ascii="Calibri" w:cs="Calibri" w:eastAsia="Calibri" w:hAnsi="Calibri"/>
                <w:sz w:val="18"/>
                <w:szCs w:val="18"/>
                <w:color w:val="auto"/>
              </w:rPr>
              <w:t>50</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4"/>
        </w:trPr>
        <w:tc>
          <w:tcPr>
            <w:tcW w:w="2100" w:type="dxa"/>
            <w:vAlign w:val="bottom"/>
            <w:shd w:val="clear" w:color="auto" w:fill="E5F1F8"/>
          </w:tcPr>
          <w:p>
            <w:pPr>
              <w:spacing w:after="0"/>
              <w:rPr>
                <w:sz w:val="16"/>
                <w:szCs w:val="16"/>
                <w:color w:val="auto"/>
              </w:rPr>
            </w:pPr>
          </w:p>
        </w:tc>
        <w:tc>
          <w:tcPr>
            <w:tcW w:w="700" w:type="dxa"/>
            <w:vAlign w:val="bottom"/>
            <w:shd w:val="clear" w:color="auto" w:fill="E5F1F8"/>
          </w:tcPr>
          <w:p>
            <w:pPr>
              <w:ind w:left="240"/>
              <w:spacing w:after="0" w:line="194" w:lineRule="exact"/>
              <w:rPr>
                <w:sz w:val="20"/>
                <w:szCs w:val="20"/>
                <w:color w:val="auto"/>
              </w:rPr>
            </w:pPr>
            <w:r>
              <w:rPr>
                <w:rFonts w:ascii="Calibri" w:cs="Calibri" w:eastAsia="Calibri" w:hAnsi="Calibri"/>
                <w:sz w:val="18"/>
                <w:szCs w:val="18"/>
                <w:color w:val="auto"/>
                <w:w w:val="96"/>
              </w:rPr>
              <w:t>31023</w:t>
            </w:r>
          </w:p>
        </w:tc>
        <w:tc>
          <w:tcPr>
            <w:tcW w:w="68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70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540" w:type="dxa"/>
            <w:vAlign w:val="bottom"/>
            <w:shd w:val="clear" w:color="auto" w:fill="E5F1F8"/>
          </w:tcPr>
          <w:p>
            <w:pPr>
              <w:spacing w:after="0"/>
              <w:rPr>
                <w:sz w:val="16"/>
                <w:szCs w:val="16"/>
                <w:color w:val="auto"/>
              </w:rPr>
            </w:pPr>
          </w:p>
        </w:tc>
        <w:tc>
          <w:tcPr>
            <w:tcW w:w="820" w:type="dxa"/>
            <w:vAlign w:val="bottom"/>
            <w:shd w:val="clear" w:color="auto" w:fill="E5F1F8"/>
          </w:tcPr>
          <w:p>
            <w:pPr>
              <w:spacing w:after="0"/>
              <w:rPr>
                <w:sz w:val="16"/>
                <w:szCs w:val="16"/>
                <w:color w:val="auto"/>
              </w:rPr>
            </w:pPr>
          </w:p>
        </w:tc>
      </w:tr>
      <w:tr>
        <w:trPr>
          <w:trHeight w:val="215"/>
        </w:trPr>
        <w:tc>
          <w:tcPr>
            <w:tcW w:w="2100" w:type="dxa"/>
            <w:vAlign w:val="bottom"/>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Charlote Portable Plant 1</w:t>
            </w:r>
          </w:p>
        </w:tc>
        <w:tc>
          <w:tcPr>
            <w:tcW w:w="700" w:type="dxa"/>
            <w:vAlign w:val="bottom"/>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41</w:t>
            </w:r>
          </w:p>
        </w:tc>
        <w:tc>
          <w:tcPr>
            <w:tcW w:w="68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4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70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140" w:type="dxa"/>
            <w:vAlign w:val="bottom"/>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6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0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2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00" w:type="dxa"/>
            <w:vAlign w:val="bottom"/>
            <w:shd w:val="clear" w:color="auto" w:fill="E5F1F8"/>
          </w:tcPr>
          <w:p>
            <w:pPr>
              <w:spacing w:after="0"/>
              <w:rPr>
                <w:sz w:val="2"/>
                <w:szCs w:val="2"/>
                <w:color w:val="auto"/>
              </w:rPr>
            </w:pPr>
          </w:p>
        </w:tc>
        <w:tc>
          <w:tcPr>
            <w:tcW w:w="700" w:type="dxa"/>
            <w:vAlign w:val="bottom"/>
            <w:shd w:val="clear" w:color="auto" w:fill="E5F1F8"/>
          </w:tcPr>
          <w:p>
            <w:pPr>
              <w:spacing w:after="0"/>
              <w:rPr>
                <w:sz w:val="2"/>
                <w:szCs w:val="2"/>
                <w:color w:val="auto"/>
              </w:rPr>
            </w:pPr>
          </w:p>
        </w:tc>
        <w:tc>
          <w:tcPr>
            <w:tcW w:w="680" w:type="dxa"/>
            <w:vAlign w:val="bottom"/>
            <w:shd w:val="clear" w:color="auto" w:fill="E5F1F8"/>
          </w:tcPr>
          <w:p>
            <w:pPr>
              <w:spacing w:after="0"/>
              <w:rPr>
                <w:sz w:val="2"/>
                <w:szCs w:val="2"/>
                <w:color w:val="auto"/>
              </w:rPr>
            </w:pPr>
          </w:p>
        </w:tc>
        <w:tc>
          <w:tcPr>
            <w:tcW w:w="540" w:type="dxa"/>
            <w:vAlign w:val="bottom"/>
            <w:shd w:val="clear" w:color="auto" w:fill="E5F1F8"/>
          </w:tcPr>
          <w:p>
            <w:pPr>
              <w:spacing w:after="0"/>
              <w:rPr>
                <w:sz w:val="2"/>
                <w:szCs w:val="2"/>
                <w:color w:val="auto"/>
              </w:rPr>
            </w:pPr>
          </w:p>
        </w:tc>
        <w:tc>
          <w:tcPr>
            <w:tcW w:w="700" w:type="dxa"/>
            <w:vAlign w:val="bottom"/>
            <w:shd w:val="clear" w:color="auto" w:fill="E5F1F8"/>
          </w:tcPr>
          <w:p>
            <w:pPr>
              <w:spacing w:after="0"/>
              <w:rPr>
                <w:sz w:val="2"/>
                <w:szCs w:val="2"/>
                <w:color w:val="auto"/>
              </w:rPr>
            </w:pPr>
          </w:p>
        </w:tc>
        <w:tc>
          <w:tcPr>
            <w:tcW w:w="600" w:type="dxa"/>
            <w:vAlign w:val="bottom"/>
            <w:shd w:val="clear" w:color="auto" w:fill="E5F1F8"/>
          </w:tcPr>
          <w:p>
            <w:pPr>
              <w:spacing w:after="0"/>
              <w:rPr>
                <w:sz w:val="2"/>
                <w:szCs w:val="2"/>
                <w:color w:val="auto"/>
              </w:rPr>
            </w:pPr>
          </w:p>
        </w:tc>
        <w:tc>
          <w:tcPr>
            <w:tcW w:w="520" w:type="dxa"/>
            <w:vAlign w:val="bottom"/>
            <w:shd w:val="clear" w:color="auto" w:fill="E5F1F8"/>
          </w:tcPr>
          <w:p>
            <w:pPr>
              <w:spacing w:after="0"/>
              <w:rPr>
                <w:sz w:val="2"/>
                <w:szCs w:val="2"/>
                <w:color w:val="auto"/>
              </w:rPr>
            </w:pPr>
          </w:p>
        </w:tc>
        <w:tc>
          <w:tcPr>
            <w:tcW w:w="140" w:type="dxa"/>
            <w:vAlign w:val="bottom"/>
            <w:shd w:val="clear" w:color="auto" w:fill="E5F1F8"/>
          </w:tcPr>
          <w:p>
            <w:pPr>
              <w:spacing w:after="0"/>
              <w:rPr>
                <w:sz w:val="2"/>
                <w:szCs w:val="2"/>
                <w:color w:val="auto"/>
              </w:rPr>
            </w:pPr>
          </w:p>
        </w:tc>
        <w:tc>
          <w:tcPr>
            <w:tcW w:w="760" w:type="dxa"/>
            <w:vAlign w:val="bottom"/>
            <w:shd w:val="clear" w:color="auto" w:fill="E5F1F8"/>
          </w:tcPr>
          <w:p>
            <w:pPr>
              <w:spacing w:after="0"/>
              <w:rPr>
                <w:sz w:val="2"/>
                <w:szCs w:val="2"/>
                <w:color w:val="auto"/>
              </w:rPr>
            </w:pPr>
          </w:p>
        </w:tc>
        <w:tc>
          <w:tcPr>
            <w:tcW w:w="1000" w:type="dxa"/>
            <w:vAlign w:val="bottom"/>
            <w:shd w:val="clear" w:color="auto" w:fill="E5F1F8"/>
          </w:tcPr>
          <w:p>
            <w:pPr>
              <w:spacing w:after="0"/>
              <w:rPr>
                <w:sz w:val="2"/>
                <w:szCs w:val="2"/>
                <w:color w:val="auto"/>
              </w:rPr>
            </w:pPr>
          </w:p>
        </w:tc>
        <w:tc>
          <w:tcPr>
            <w:tcW w:w="760" w:type="dxa"/>
            <w:vAlign w:val="bottom"/>
            <w:shd w:val="clear" w:color="auto" w:fill="E5F1F8"/>
          </w:tcPr>
          <w:p>
            <w:pPr>
              <w:spacing w:after="0"/>
              <w:rPr>
                <w:sz w:val="2"/>
                <w:szCs w:val="2"/>
                <w:color w:val="auto"/>
              </w:rPr>
            </w:pPr>
          </w:p>
        </w:tc>
        <w:tc>
          <w:tcPr>
            <w:tcW w:w="780" w:type="dxa"/>
            <w:vAlign w:val="bottom"/>
            <w:shd w:val="clear" w:color="auto" w:fill="E5F1F8"/>
          </w:tcPr>
          <w:p>
            <w:pPr>
              <w:spacing w:after="0"/>
              <w:rPr>
                <w:sz w:val="2"/>
                <w:szCs w:val="2"/>
                <w:color w:val="auto"/>
              </w:rPr>
            </w:pPr>
          </w:p>
        </w:tc>
        <w:tc>
          <w:tcPr>
            <w:tcW w:w="600" w:type="dxa"/>
            <w:vAlign w:val="bottom"/>
            <w:shd w:val="clear" w:color="auto" w:fill="E5F1F8"/>
          </w:tcPr>
          <w:p>
            <w:pPr>
              <w:spacing w:after="0"/>
              <w:rPr>
                <w:sz w:val="2"/>
                <w:szCs w:val="2"/>
                <w:color w:val="auto"/>
              </w:rPr>
            </w:pPr>
          </w:p>
        </w:tc>
        <w:tc>
          <w:tcPr>
            <w:tcW w:w="540" w:type="dxa"/>
            <w:vAlign w:val="bottom"/>
            <w:shd w:val="clear" w:color="auto" w:fill="E5F1F8"/>
          </w:tcPr>
          <w:p>
            <w:pPr>
              <w:spacing w:after="0"/>
              <w:rPr>
                <w:sz w:val="2"/>
                <w:szCs w:val="2"/>
                <w:color w:val="auto"/>
              </w:rPr>
            </w:pPr>
          </w:p>
        </w:tc>
        <w:tc>
          <w:tcPr>
            <w:tcW w:w="820" w:type="dxa"/>
            <w:vAlign w:val="bottom"/>
            <w:shd w:val="clear" w:color="auto" w:fill="E5F1F8"/>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798" w:gutter="0" w:footer="0" w:header="0"/>
        </w:sectPr>
      </w:pPr>
    </w:p>
    <w:bookmarkStart w:id="140" w:name="page141"/>
    <w:bookmarkEnd w:id="14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center"/>
              <w:ind w:left="30"/>
              <w:spacing w:after="0"/>
              <w:rPr>
                <w:sz w:val="20"/>
                <w:szCs w:val="20"/>
                <w:color w:val="auto"/>
              </w:rPr>
            </w:pPr>
            <w:r>
              <w:rPr>
                <w:rFonts w:ascii="Calibri" w:cs="Calibri" w:eastAsia="Calibri" w:hAnsi="Calibri"/>
                <w:sz w:val="18"/>
                <w:szCs w:val="18"/>
                <w:color w:val="auto"/>
                <w:w w:val="97"/>
              </w:rPr>
              <w:t>Appendix 1</w:t>
            </w:r>
          </w:p>
        </w:tc>
      </w:tr>
      <w:tr>
        <w:trPr>
          <w:trHeight w:val="648"/>
        </w:trPr>
        <w:tc>
          <w:tcPr>
            <w:tcW w:w="226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alibri" w:cs="Calibri" w:eastAsia="Calibri" w:hAnsi="Calibri"/>
                <w:sz w:val="18"/>
                <w:szCs w:val="18"/>
                <w:color w:val="auto"/>
              </w:rPr>
              <w:t>31000</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260" w:type="dxa"/>
            <w:vAlign w:val="bottom"/>
          </w:tcPr>
          <w:p>
            <w:pPr>
              <w:ind w:left="20"/>
              <w:spacing w:after="0" w:line="216" w:lineRule="exact"/>
              <w:rPr>
                <w:sz w:val="20"/>
                <w:szCs w:val="20"/>
                <w:color w:val="auto"/>
              </w:rPr>
            </w:pPr>
            <w:r>
              <w:rPr>
                <w:rFonts w:ascii="Calibri" w:cs="Calibri" w:eastAsia="Calibri" w:hAnsi="Calibri"/>
                <w:sz w:val="18"/>
                <w:szCs w:val="18"/>
                <w:color w:val="auto"/>
              </w:rPr>
              <w:t>Charlote Quarry</w:t>
            </w:r>
          </w:p>
        </w:tc>
        <w:tc>
          <w:tcPr>
            <w:tcW w:w="680" w:type="dxa"/>
            <w:vAlign w:val="bottom"/>
          </w:tcPr>
          <w:p>
            <w:pPr>
              <w:ind w:left="80"/>
              <w:spacing w:after="0" w:line="216" w:lineRule="exact"/>
              <w:rPr>
                <w:sz w:val="20"/>
                <w:szCs w:val="20"/>
                <w:color w:val="auto"/>
              </w:rPr>
            </w:pPr>
            <w:r>
              <w:rPr>
                <w:rFonts w:ascii="Calibri" w:cs="Calibri" w:eastAsia="Calibri" w:hAnsi="Calibri"/>
                <w:sz w:val="18"/>
                <w:szCs w:val="18"/>
                <w:color w:val="auto"/>
              </w:rPr>
              <w:t>57</w:t>
            </w:r>
          </w:p>
        </w:tc>
        <w:tc>
          <w:tcPr>
            <w:tcW w:w="520" w:type="dxa"/>
            <w:vAlign w:val="bottom"/>
          </w:tcPr>
          <w:p>
            <w:pPr>
              <w:jc w:val="right"/>
              <w:ind w:right="170"/>
              <w:spacing w:after="0" w:line="216"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6"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6"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6"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6" w:lineRule="exact"/>
              <w:rPr>
                <w:sz w:val="20"/>
                <w:szCs w:val="20"/>
                <w:color w:val="auto"/>
              </w:rPr>
            </w:pPr>
            <w:r>
              <w:rPr>
                <w:rFonts w:ascii="Calibri" w:cs="Calibri" w:eastAsia="Calibri" w:hAnsi="Calibri"/>
                <w:sz w:val="18"/>
                <w:szCs w:val="18"/>
                <w:b w:val="1"/>
                <w:bCs w:val="1"/>
                <w:color w:val="auto"/>
              </w:rPr>
              <w:t>680</w:t>
            </w:r>
          </w:p>
        </w:tc>
        <w:tc>
          <w:tcPr>
            <w:tcW w:w="740" w:type="dxa"/>
            <w:vAlign w:val="bottom"/>
          </w:tcPr>
          <w:p>
            <w:pPr>
              <w:jc w:val="right"/>
              <w:ind w:right="270"/>
              <w:spacing w:after="0" w:line="216"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6"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6"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6"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40031</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Chatanooga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59</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18000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Churchville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12</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31020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Clarks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09</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40024</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****Coy Stone Plant</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65</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90046</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Cumming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31019</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Denver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71</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44000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Doswell Quarry VA</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45</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1,037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90002</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Douglasville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4</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31020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East Alamance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21</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38007</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Edgefeld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38</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1,770</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38006</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Edmund Sand</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62</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1,359</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40030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****Elizabethton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75</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40016</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****Forks of The River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10</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80120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******Fort Myers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3</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31000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Fountain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65</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625</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31021</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Franklin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30</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18000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Frederick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13</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31020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Fuquay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55</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31000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Garner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72</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1,721</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38005</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Georgetown II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25</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2</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2,547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40031</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****Grasselli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31</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40024</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****Greenback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88</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31023</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Greensboro Portable Plt</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36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31000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Hickory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43</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90095</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Homer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8</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10266</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****Huntsville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1,091</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40012</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****I-75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47</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1</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1</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31000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Jamestown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51</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90110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Jeferson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90102</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Juncton City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9</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735</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31000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Kannapolis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70</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952</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18007</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Kent Sand &amp; Gravel</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45</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31000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Kings Mountain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47</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4</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4,652</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31011</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Lemon Springs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04</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44"/>
        </w:trPr>
        <w:tc>
          <w:tcPr>
            <w:tcW w:w="2260" w:type="dxa"/>
            <w:vAlign w:val="bottom"/>
            <w:shd w:val="clear" w:color="auto" w:fill="E5F1F8"/>
          </w:tcPr>
          <w:p>
            <w:pPr>
              <w:spacing w:after="0"/>
              <w:rPr>
                <w:sz w:val="12"/>
                <w:szCs w:val="12"/>
                <w:color w:val="auto"/>
              </w:rPr>
            </w:pPr>
          </w:p>
        </w:tc>
        <w:tc>
          <w:tcPr>
            <w:tcW w:w="680" w:type="dxa"/>
            <w:vAlign w:val="bottom"/>
            <w:shd w:val="clear" w:color="auto" w:fill="E5F1F8"/>
          </w:tcPr>
          <w:p>
            <w:pPr>
              <w:spacing w:after="0"/>
              <w:rPr>
                <w:sz w:val="12"/>
                <w:szCs w:val="12"/>
                <w:color w:val="auto"/>
              </w:rPr>
            </w:pPr>
          </w:p>
        </w:tc>
        <w:tc>
          <w:tcPr>
            <w:tcW w:w="520" w:type="dxa"/>
            <w:vAlign w:val="bottom"/>
            <w:shd w:val="clear" w:color="auto" w:fill="E5F1F8"/>
          </w:tcPr>
          <w:p>
            <w:pPr>
              <w:spacing w:after="0"/>
              <w:rPr>
                <w:sz w:val="12"/>
                <w:szCs w:val="12"/>
                <w:color w:val="auto"/>
              </w:rPr>
            </w:pPr>
          </w:p>
        </w:tc>
        <w:tc>
          <w:tcPr>
            <w:tcW w:w="600" w:type="dxa"/>
            <w:vAlign w:val="bottom"/>
            <w:shd w:val="clear" w:color="auto" w:fill="E5F1F8"/>
          </w:tcPr>
          <w:p>
            <w:pPr>
              <w:spacing w:after="0"/>
              <w:rPr>
                <w:sz w:val="12"/>
                <w:szCs w:val="12"/>
                <w:color w:val="auto"/>
              </w:rPr>
            </w:pPr>
          </w:p>
        </w:tc>
        <w:tc>
          <w:tcPr>
            <w:tcW w:w="660" w:type="dxa"/>
            <w:vAlign w:val="bottom"/>
            <w:shd w:val="clear" w:color="auto" w:fill="E5F1F8"/>
          </w:tcPr>
          <w:p>
            <w:pPr>
              <w:spacing w:after="0"/>
              <w:rPr>
                <w:sz w:val="12"/>
                <w:szCs w:val="12"/>
                <w:color w:val="auto"/>
              </w:rPr>
            </w:pPr>
          </w:p>
        </w:tc>
        <w:tc>
          <w:tcPr>
            <w:tcW w:w="600" w:type="dxa"/>
            <w:vAlign w:val="bottom"/>
            <w:shd w:val="clear" w:color="auto" w:fill="E5F1F8"/>
          </w:tcPr>
          <w:p>
            <w:pPr>
              <w:spacing w:after="0"/>
              <w:rPr>
                <w:sz w:val="12"/>
                <w:szCs w:val="12"/>
                <w:color w:val="auto"/>
              </w:rPr>
            </w:pPr>
          </w:p>
        </w:tc>
        <w:tc>
          <w:tcPr>
            <w:tcW w:w="440" w:type="dxa"/>
            <w:vAlign w:val="bottom"/>
            <w:shd w:val="clear" w:color="auto" w:fill="E5F1F8"/>
          </w:tcPr>
          <w:p>
            <w:pPr>
              <w:spacing w:after="0"/>
              <w:rPr>
                <w:sz w:val="12"/>
                <w:szCs w:val="12"/>
                <w:color w:val="auto"/>
              </w:rPr>
            </w:pPr>
          </w:p>
        </w:tc>
        <w:tc>
          <w:tcPr>
            <w:tcW w:w="340" w:type="dxa"/>
            <w:vAlign w:val="bottom"/>
            <w:shd w:val="clear" w:color="auto" w:fill="E5F1F8"/>
          </w:tcPr>
          <w:p>
            <w:pPr>
              <w:spacing w:after="0"/>
              <w:rPr>
                <w:sz w:val="12"/>
                <w:szCs w:val="12"/>
                <w:color w:val="auto"/>
              </w:rPr>
            </w:pPr>
          </w:p>
        </w:tc>
        <w:tc>
          <w:tcPr>
            <w:tcW w:w="840" w:type="dxa"/>
            <w:vAlign w:val="bottom"/>
            <w:shd w:val="clear" w:color="auto" w:fill="E5F1F8"/>
          </w:tcPr>
          <w:p>
            <w:pPr>
              <w:spacing w:after="0"/>
              <w:rPr>
                <w:sz w:val="12"/>
                <w:szCs w:val="12"/>
                <w:color w:val="auto"/>
              </w:rPr>
            </w:pPr>
          </w:p>
        </w:tc>
        <w:tc>
          <w:tcPr>
            <w:tcW w:w="740" w:type="dxa"/>
            <w:vAlign w:val="bottom"/>
            <w:shd w:val="clear" w:color="auto" w:fill="E5F1F8"/>
          </w:tcPr>
          <w:p>
            <w:pPr>
              <w:spacing w:after="0"/>
              <w:rPr>
                <w:sz w:val="12"/>
                <w:szCs w:val="12"/>
                <w:color w:val="auto"/>
              </w:rPr>
            </w:pPr>
          </w:p>
        </w:tc>
        <w:tc>
          <w:tcPr>
            <w:tcW w:w="840" w:type="dxa"/>
            <w:vAlign w:val="bottom"/>
            <w:shd w:val="clear" w:color="auto" w:fill="E5F1F8"/>
          </w:tcPr>
          <w:p>
            <w:pPr>
              <w:spacing w:after="0"/>
              <w:rPr>
                <w:sz w:val="12"/>
                <w:szCs w:val="12"/>
                <w:color w:val="auto"/>
              </w:rPr>
            </w:pPr>
          </w:p>
        </w:tc>
        <w:tc>
          <w:tcPr>
            <w:tcW w:w="760" w:type="dxa"/>
            <w:vAlign w:val="bottom"/>
            <w:shd w:val="clear" w:color="auto" w:fill="E5F1F8"/>
          </w:tcPr>
          <w:p>
            <w:pPr>
              <w:spacing w:after="0"/>
              <w:rPr>
                <w:sz w:val="12"/>
                <w:szCs w:val="12"/>
                <w:color w:val="auto"/>
              </w:rPr>
            </w:pPr>
          </w:p>
        </w:tc>
        <w:tc>
          <w:tcPr>
            <w:tcW w:w="580" w:type="dxa"/>
            <w:vAlign w:val="bottom"/>
            <w:shd w:val="clear" w:color="auto" w:fill="E5F1F8"/>
          </w:tcPr>
          <w:p>
            <w:pPr>
              <w:spacing w:after="0"/>
              <w:rPr>
                <w:sz w:val="12"/>
                <w:szCs w:val="12"/>
                <w:color w:val="auto"/>
              </w:rPr>
            </w:pPr>
          </w:p>
        </w:tc>
        <w:tc>
          <w:tcPr>
            <w:tcW w:w="460" w:type="dxa"/>
            <w:vAlign w:val="bottom"/>
            <w:shd w:val="clear" w:color="auto" w:fill="E5F1F8"/>
          </w:tcPr>
          <w:p>
            <w:pPr>
              <w:spacing w:after="0"/>
              <w:rPr>
                <w:sz w:val="12"/>
                <w:szCs w:val="12"/>
                <w:color w:val="auto"/>
              </w:rPr>
            </w:pPr>
          </w:p>
        </w:tc>
        <w:tc>
          <w:tcPr>
            <w:tcW w:w="920" w:type="dxa"/>
            <w:vAlign w:val="bottom"/>
            <w:shd w:val="clear" w:color="auto" w:fill="E5F1F8"/>
          </w:tcPr>
          <w:p>
            <w:pPr>
              <w:spacing w:after="0"/>
              <w:rPr>
                <w:sz w:val="12"/>
                <w:szCs w:val="12"/>
                <w:color w:val="auto"/>
              </w:rPr>
            </w:pPr>
          </w:p>
        </w:tc>
      </w:tr>
    </w:tbl>
    <w:p>
      <w:pPr>
        <w:sectPr>
          <w:pgSz w:w="11900" w:h="16900" w:orient="portrait"/>
          <w:cols w:equalWidth="0" w:num="1">
            <w:col w:w="11240"/>
          </w:cols>
          <w:pgMar w:left="320" w:top="760" w:right="339" w:bottom="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2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Lithonia Quarry</w:t>
            </w:r>
          </w:p>
        </w:tc>
        <w:tc>
          <w:tcPr>
            <w:tcW w:w="50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90002</w:t>
            </w:r>
          </w:p>
        </w:tc>
        <w:tc>
          <w:tcPr>
            <w:tcW w:w="640" w:type="dxa"/>
            <w:vAlign w:val="bottom"/>
            <w:shd w:val="clear" w:color="auto" w:fill="E5F1F8"/>
          </w:tcPr>
          <w:p>
            <w:pPr>
              <w:jc w:val="right"/>
              <w:ind w:right="170"/>
              <w:spacing w:after="0"/>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Calibri" w:cs="Calibri" w:eastAsia="Calibri" w:hAnsi="Calibri"/>
                <w:sz w:val="18"/>
                <w:szCs w:val="18"/>
                <w:color w:val="auto"/>
              </w:rPr>
              <w:t>0</w:t>
            </w:r>
          </w:p>
        </w:tc>
        <w:tc>
          <w:tcPr>
            <w:tcW w:w="440" w:type="dxa"/>
            <w:vAlign w:val="bottom"/>
            <w:shd w:val="clear" w:color="auto" w:fill="E5F1F8"/>
          </w:tcPr>
          <w:p>
            <w:pPr>
              <w:jc w:val="right"/>
              <w:ind w:right="10"/>
              <w:spacing w:after="0"/>
              <w:rPr>
                <w:sz w:val="20"/>
                <w:szCs w:val="20"/>
                <w:color w:val="auto"/>
              </w:rPr>
            </w:pPr>
            <w:r>
              <w:rPr>
                <w:rFonts w:ascii="Calibri" w:cs="Calibri" w:eastAsia="Calibri" w:hAnsi="Calibri"/>
                <w:sz w:val="18"/>
                <w:szCs w:val="18"/>
                <w:color w:val="auto"/>
              </w:rPr>
              <w:t>0</w:t>
            </w:r>
          </w:p>
        </w:tc>
        <w:tc>
          <w:tcPr>
            <w:tcW w:w="520" w:type="dxa"/>
            <w:vAlign w:val="bottom"/>
            <w:shd w:val="clear" w:color="auto" w:fill="E5F1F8"/>
          </w:tcPr>
          <w:p>
            <w:pPr>
              <w:jc w:val="right"/>
              <w:ind w:right="230"/>
              <w:spacing w:after="0"/>
              <w:rPr>
                <w:sz w:val="20"/>
                <w:szCs w:val="20"/>
                <w:color w:val="auto"/>
              </w:rPr>
            </w:pPr>
            <w:r>
              <w:rPr>
                <w:rFonts w:ascii="Calibri" w:cs="Calibri" w:eastAsia="Calibri" w:hAnsi="Calibri"/>
                <w:sz w:val="18"/>
                <w:szCs w:val="18"/>
                <w:b w:val="1"/>
                <w:bCs w:val="1"/>
                <w:color w:val="auto"/>
              </w:rPr>
              <w:t>$</w:t>
            </w:r>
          </w:p>
        </w:tc>
        <w:tc>
          <w:tcPr>
            <w:tcW w:w="66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b w:val="1"/>
                <w:bCs w:val="1"/>
                <w:color w:val="auto"/>
              </w:rPr>
              <w:t>-</w:t>
            </w:r>
          </w:p>
        </w:tc>
        <w:tc>
          <w:tcPr>
            <w:tcW w:w="740" w:type="dxa"/>
            <w:vAlign w:val="bottom"/>
            <w:shd w:val="clear" w:color="auto" w:fill="E5F1F8"/>
          </w:tcPr>
          <w:p>
            <w:pPr>
              <w:jc w:val="right"/>
              <w:ind w:right="270"/>
              <w:spacing w:after="0"/>
              <w:rPr>
                <w:sz w:val="20"/>
                <w:szCs w:val="20"/>
                <w:color w:val="auto"/>
              </w:rPr>
            </w:pPr>
            <w:r>
              <w:rPr>
                <w:rFonts w:ascii="Calibri" w:cs="Calibri" w:eastAsia="Calibri" w:hAnsi="Calibri"/>
                <w:sz w:val="18"/>
                <w:szCs w:val="18"/>
                <w:color w:val="auto"/>
              </w:rPr>
              <w:t>0</w:t>
            </w:r>
          </w:p>
        </w:tc>
        <w:tc>
          <w:tcPr>
            <w:tcW w:w="840" w:type="dxa"/>
            <w:vAlign w:val="bottom"/>
            <w:shd w:val="clear" w:color="auto" w:fill="E5F1F8"/>
          </w:tcPr>
          <w:p>
            <w:pPr>
              <w:ind w:left="360"/>
              <w:spacing w:after="0"/>
              <w:rPr>
                <w:sz w:val="20"/>
                <w:szCs w:val="20"/>
                <w:color w:val="auto"/>
              </w:rPr>
            </w:pPr>
            <w:r>
              <w:rPr>
                <w:rFonts w:ascii="Calibri" w:cs="Calibri" w:eastAsia="Calibri" w:hAnsi="Calibri"/>
                <w:sz w:val="18"/>
                <w:szCs w:val="18"/>
                <w:color w:val="auto"/>
              </w:rPr>
              <w:t>no</w:t>
            </w:r>
          </w:p>
        </w:tc>
        <w:tc>
          <w:tcPr>
            <w:tcW w:w="760" w:type="dxa"/>
            <w:vAlign w:val="bottom"/>
            <w:shd w:val="clear" w:color="auto" w:fill="E5F1F8"/>
          </w:tcPr>
          <w:p>
            <w:pPr>
              <w:ind w:left="300"/>
              <w:spacing w:after="0"/>
              <w:rPr>
                <w:sz w:val="20"/>
                <w:szCs w:val="20"/>
                <w:color w:val="auto"/>
              </w:rPr>
            </w:pPr>
            <w:r>
              <w:rPr>
                <w:rFonts w:ascii="Calibri" w:cs="Calibri" w:eastAsia="Calibri" w:hAnsi="Calibri"/>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Calibri" w:cs="Calibri" w:eastAsia="Calibri" w:hAnsi="Calibri"/>
                <w:sz w:val="18"/>
                <w:szCs w:val="18"/>
                <w:color w:val="auto"/>
              </w:rPr>
              <w:t>0</w:t>
            </w:r>
          </w:p>
        </w:tc>
        <w:tc>
          <w:tcPr>
            <w:tcW w:w="64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740" w:type="dxa"/>
            <w:vAlign w:val="bottom"/>
            <w:shd w:val="clear" w:color="auto" w:fill="E5F1F8"/>
          </w:tcPr>
          <w:p>
            <w:pPr>
              <w:jc w:val="right"/>
              <w:ind w:right="270"/>
              <w:spacing w:after="0"/>
              <w:rPr>
                <w:sz w:val="20"/>
                <w:szCs w:val="20"/>
                <w:color w:val="auto"/>
              </w:rPr>
            </w:pPr>
            <w:r>
              <w:rPr>
                <w:rFonts w:ascii="Calibri" w:cs="Calibri" w:eastAsia="Calibri" w:hAnsi="Calibri"/>
                <w:sz w:val="18"/>
                <w:szCs w:val="18"/>
                <w:color w:val="auto"/>
              </w:rPr>
              <w:t>0</w:t>
            </w:r>
          </w:p>
        </w:tc>
      </w:tr>
      <w:tr>
        <w:trPr>
          <w:trHeight w:val="245"/>
        </w:trPr>
        <w:tc>
          <w:tcPr>
            <w:tcW w:w="2320" w:type="dxa"/>
            <w:vAlign w:val="bottom"/>
            <w:tcBorders>
              <w:bottom w:val="single" w:sz="8" w:color="E5F1F8"/>
            </w:tcBorders>
            <w:shd w:val="clear" w:color="auto" w:fill="E5F1F8"/>
          </w:tcPr>
          <w:p>
            <w:pPr>
              <w:spacing w:after="0"/>
              <w:rPr>
                <w:sz w:val="21"/>
                <w:szCs w:val="21"/>
                <w:color w:val="auto"/>
              </w:rPr>
            </w:pPr>
          </w:p>
        </w:tc>
        <w:tc>
          <w:tcPr>
            <w:tcW w:w="5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3</w:t>
            </w:r>
          </w:p>
        </w:tc>
        <w:tc>
          <w:tcPr>
            <w:tcW w:w="640" w:type="dxa"/>
            <w:vAlign w:val="bottom"/>
            <w:tcBorders>
              <w:bottom w:val="single" w:sz="8" w:color="E5F1F8"/>
            </w:tcBorders>
            <w:shd w:val="clear" w:color="auto" w:fill="E5F1F8"/>
          </w:tcPr>
          <w:p>
            <w:pPr>
              <w:spacing w:after="0"/>
              <w:rPr>
                <w:sz w:val="21"/>
                <w:szCs w:val="21"/>
                <w:color w:val="auto"/>
              </w:rPr>
            </w:pPr>
          </w:p>
        </w:tc>
        <w:tc>
          <w:tcPr>
            <w:tcW w:w="600" w:type="dxa"/>
            <w:vAlign w:val="bottom"/>
            <w:tcBorders>
              <w:bottom w:val="single" w:sz="8" w:color="E5F1F8"/>
            </w:tcBorders>
            <w:shd w:val="clear" w:color="auto" w:fill="E5F1F8"/>
          </w:tcPr>
          <w:p>
            <w:pPr>
              <w:spacing w:after="0"/>
              <w:rPr>
                <w:sz w:val="21"/>
                <w:szCs w:val="21"/>
                <w:color w:val="auto"/>
              </w:rPr>
            </w:pPr>
          </w:p>
        </w:tc>
        <w:tc>
          <w:tcPr>
            <w:tcW w:w="660" w:type="dxa"/>
            <w:vAlign w:val="bottom"/>
            <w:tcBorders>
              <w:bottom w:val="single" w:sz="8" w:color="E5F1F8"/>
            </w:tcBorders>
            <w:shd w:val="clear" w:color="auto" w:fill="E5F1F8"/>
          </w:tcPr>
          <w:p>
            <w:pPr>
              <w:spacing w:after="0"/>
              <w:rPr>
                <w:sz w:val="21"/>
                <w:szCs w:val="21"/>
                <w:color w:val="auto"/>
              </w:rPr>
            </w:pPr>
          </w:p>
        </w:tc>
        <w:tc>
          <w:tcPr>
            <w:tcW w:w="600" w:type="dxa"/>
            <w:vAlign w:val="bottom"/>
            <w:tcBorders>
              <w:bottom w:val="single" w:sz="8" w:color="E5F1F8"/>
            </w:tcBorders>
            <w:shd w:val="clear" w:color="auto" w:fill="E5F1F8"/>
          </w:tcPr>
          <w:p>
            <w:pPr>
              <w:spacing w:after="0"/>
              <w:rPr>
                <w:sz w:val="21"/>
                <w:szCs w:val="21"/>
                <w:color w:val="auto"/>
              </w:rPr>
            </w:pPr>
          </w:p>
        </w:tc>
        <w:tc>
          <w:tcPr>
            <w:tcW w:w="440" w:type="dxa"/>
            <w:vAlign w:val="bottom"/>
            <w:tcBorders>
              <w:bottom w:val="single" w:sz="8" w:color="E5F1F8"/>
            </w:tcBorders>
            <w:shd w:val="clear" w:color="auto" w:fill="E5F1F8"/>
          </w:tcPr>
          <w:p>
            <w:pPr>
              <w:spacing w:after="0"/>
              <w:rPr>
                <w:sz w:val="21"/>
                <w:szCs w:val="21"/>
                <w:color w:val="auto"/>
              </w:rPr>
            </w:pPr>
          </w:p>
        </w:tc>
        <w:tc>
          <w:tcPr>
            <w:tcW w:w="520" w:type="dxa"/>
            <w:vAlign w:val="bottom"/>
            <w:tcBorders>
              <w:bottom w:val="single" w:sz="8" w:color="E5F1F8"/>
            </w:tcBorders>
            <w:shd w:val="clear" w:color="auto" w:fill="E5F1F8"/>
          </w:tcPr>
          <w:p>
            <w:pPr>
              <w:spacing w:after="0"/>
              <w:rPr>
                <w:sz w:val="21"/>
                <w:szCs w:val="21"/>
                <w:color w:val="auto"/>
              </w:rPr>
            </w:pPr>
          </w:p>
        </w:tc>
        <w:tc>
          <w:tcPr>
            <w:tcW w:w="660" w:type="dxa"/>
            <w:vAlign w:val="bottom"/>
            <w:tcBorders>
              <w:bottom w:val="single" w:sz="8" w:color="E5F1F8"/>
            </w:tcBorders>
            <w:shd w:val="clear" w:color="auto" w:fill="E5F1F8"/>
          </w:tcPr>
          <w:p>
            <w:pPr>
              <w:spacing w:after="0"/>
              <w:rPr>
                <w:sz w:val="21"/>
                <w:szCs w:val="21"/>
                <w:color w:val="auto"/>
              </w:rPr>
            </w:pPr>
          </w:p>
        </w:tc>
        <w:tc>
          <w:tcPr>
            <w:tcW w:w="740" w:type="dxa"/>
            <w:vAlign w:val="bottom"/>
            <w:tcBorders>
              <w:bottom w:val="single" w:sz="8" w:color="E5F1F8"/>
            </w:tcBorders>
            <w:shd w:val="clear" w:color="auto" w:fill="E5F1F8"/>
          </w:tcPr>
          <w:p>
            <w:pPr>
              <w:spacing w:after="0"/>
              <w:rPr>
                <w:sz w:val="21"/>
                <w:szCs w:val="21"/>
                <w:color w:val="auto"/>
              </w:rPr>
            </w:pPr>
          </w:p>
        </w:tc>
        <w:tc>
          <w:tcPr>
            <w:tcW w:w="840" w:type="dxa"/>
            <w:vAlign w:val="bottom"/>
            <w:tcBorders>
              <w:bottom w:val="single" w:sz="8" w:color="E5F1F8"/>
            </w:tcBorders>
            <w:shd w:val="clear" w:color="auto" w:fill="E5F1F8"/>
          </w:tcPr>
          <w:p>
            <w:pPr>
              <w:spacing w:after="0"/>
              <w:rPr>
                <w:sz w:val="21"/>
                <w:szCs w:val="21"/>
                <w:color w:val="auto"/>
              </w:rPr>
            </w:pPr>
          </w:p>
        </w:tc>
        <w:tc>
          <w:tcPr>
            <w:tcW w:w="760" w:type="dxa"/>
            <w:vAlign w:val="bottom"/>
            <w:tcBorders>
              <w:bottom w:val="single" w:sz="8" w:color="E5F1F8"/>
            </w:tcBorders>
            <w:shd w:val="clear" w:color="auto" w:fill="E5F1F8"/>
          </w:tcPr>
          <w:p>
            <w:pPr>
              <w:spacing w:after="0"/>
              <w:rPr>
                <w:sz w:val="21"/>
                <w:szCs w:val="21"/>
                <w:color w:val="auto"/>
              </w:rPr>
            </w:pPr>
          </w:p>
        </w:tc>
        <w:tc>
          <w:tcPr>
            <w:tcW w:w="580" w:type="dxa"/>
            <w:vAlign w:val="bottom"/>
            <w:tcBorders>
              <w:bottom w:val="single" w:sz="8" w:color="E5F1F8"/>
            </w:tcBorders>
            <w:shd w:val="clear" w:color="auto" w:fill="E5F1F8"/>
          </w:tcPr>
          <w:p>
            <w:pPr>
              <w:spacing w:after="0"/>
              <w:rPr>
                <w:sz w:val="21"/>
                <w:szCs w:val="21"/>
                <w:color w:val="auto"/>
              </w:rPr>
            </w:pPr>
          </w:p>
        </w:tc>
        <w:tc>
          <w:tcPr>
            <w:tcW w:w="640" w:type="dxa"/>
            <w:vAlign w:val="bottom"/>
            <w:tcBorders>
              <w:bottom w:val="single" w:sz="8" w:color="E5F1F8"/>
            </w:tcBorders>
            <w:shd w:val="clear" w:color="auto" w:fill="E5F1F8"/>
          </w:tcPr>
          <w:p>
            <w:pPr>
              <w:spacing w:after="0"/>
              <w:rPr>
                <w:sz w:val="21"/>
                <w:szCs w:val="21"/>
                <w:color w:val="auto"/>
              </w:rPr>
            </w:pPr>
          </w:p>
        </w:tc>
        <w:tc>
          <w:tcPr>
            <w:tcW w:w="740" w:type="dxa"/>
            <w:vAlign w:val="bottom"/>
            <w:tcBorders>
              <w:bottom w:val="single" w:sz="8" w:color="E5F1F8"/>
            </w:tcBorders>
            <w:shd w:val="clear" w:color="auto" w:fill="E5F1F8"/>
          </w:tcPr>
          <w:p>
            <w:pPr>
              <w:spacing w:after="0"/>
              <w:rPr>
                <w:sz w:val="21"/>
                <w:szCs w:val="21"/>
                <w:color w:val="auto"/>
              </w:rPr>
            </w:pPr>
          </w:p>
        </w:tc>
      </w:tr>
      <w:tr>
        <w:trPr>
          <w:trHeight w:val="167"/>
        </w:trPr>
        <w:tc>
          <w:tcPr>
            <w:tcW w:w="2320" w:type="dxa"/>
            <w:vAlign w:val="bottom"/>
          </w:tcPr>
          <w:p>
            <w:pPr>
              <w:spacing w:after="0"/>
              <w:rPr>
                <w:sz w:val="14"/>
                <w:szCs w:val="14"/>
                <w:color w:val="auto"/>
              </w:rPr>
            </w:pPr>
          </w:p>
        </w:tc>
        <w:tc>
          <w:tcPr>
            <w:tcW w:w="500" w:type="dxa"/>
            <w:vAlign w:val="bottom"/>
          </w:tcPr>
          <w:p>
            <w:pPr>
              <w:ind w:left="20"/>
              <w:spacing w:after="0" w:line="166" w:lineRule="exact"/>
              <w:rPr>
                <w:sz w:val="20"/>
                <w:szCs w:val="20"/>
                <w:color w:val="auto"/>
              </w:rPr>
            </w:pPr>
            <w:r>
              <w:rPr>
                <w:rFonts w:ascii="Calibri" w:cs="Calibri" w:eastAsia="Calibri" w:hAnsi="Calibri"/>
                <w:sz w:val="18"/>
                <w:szCs w:val="18"/>
                <w:color w:val="auto"/>
              </w:rPr>
              <w:t>38007</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5"/>
        </w:trPr>
        <w:tc>
          <w:tcPr>
            <w:tcW w:w="2320" w:type="dxa"/>
            <w:vAlign w:val="bottom"/>
          </w:tcPr>
          <w:p>
            <w:pPr>
              <w:ind w:left="20"/>
              <w:spacing w:after="0" w:line="215" w:lineRule="exact"/>
              <w:rPr>
                <w:sz w:val="20"/>
                <w:szCs w:val="20"/>
                <w:color w:val="auto"/>
              </w:rPr>
            </w:pPr>
            <w:r>
              <w:rPr>
                <w:rFonts w:ascii="Calibri" w:cs="Calibri" w:eastAsia="Calibri" w:hAnsi="Calibri"/>
                <w:sz w:val="18"/>
                <w:szCs w:val="18"/>
                <w:color w:val="auto"/>
              </w:rPr>
              <w:t>Loamy Sand Gravel</w:t>
            </w:r>
          </w:p>
        </w:tc>
        <w:tc>
          <w:tcPr>
            <w:tcW w:w="500" w:type="dxa"/>
            <w:vAlign w:val="bottom"/>
          </w:tcPr>
          <w:p>
            <w:pPr>
              <w:ind w:left="20"/>
              <w:spacing w:after="0" w:line="215" w:lineRule="exact"/>
              <w:rPr>
                <w:sz w:val="20"/>
                <w:szCs w:val="20"/>
                <w:color w:val="auto"/>
              </w:rPr>
            </w:pPr>
            <w:r>
              <w:rPr>
                <w:rFonts w:ascii="Calibri" w:cs="Calibri" w:eastAsia="Calibri" w:hAnsi="Calibri"/>
                <w:sz w:val="18"/>
                <w:szCs w:val="18"/>
                <w:color w:val="auto"/>
              </w:rPr>
              <w:t>21</w:t>
            </w:r>
          </w:p>
        </w:tc>
        <w:tc>
          <w:tcPr>
            <w:tcW w:w="64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right"/>
              <w:ind w:right="230"/>
              <w:spacing w:after="0" w:line="215" w:lineRule="exact"/>
              <w:rPr>
                <w:sz w:val="20"/>
                <w:szCs w:val="20"/>
                <w:color w:val="auto"/>
              </w:rPr>
            </w:pPr>
            <w:r>
              <w:rPr>
                <w:rFonts w:ascii="Calibri" w:cs="Calibri" w:eastAsia="Calibri" w:hAnsi="Calibri"/>
                <w:sz w:val="18"/>
                <w:szCs w:val="18"/>
                <w:b w:val="1"/>
                <w:bCs w:val="1"/>
                <w:color w:val="auto"/>
              </w:rPr>
              <w:t>$</w:t>
            </w:r>
          </w:p>
        </w:tc>
        <w:tc>
          <w:tcPr>
            <w:tcW w:w="66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r>
      <w:tr>
        <w:trPr>
          <w:trHeight w:val="1191"/>
        </w:trPr>
        <w:tc>
          <w:tcPr>
            <w:tcW w:w="2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2743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20"/>
        </w:trPr>
        <w:tc>
          <w:tcPr>
            <w:tcW w:w="2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center"/>
              <w:ind w:left="30"/>
              <w:spacing w:after="0"/>
              <w:rPr>
                <w:sz w:val="20"/>
                <w:szCs w:val="20"/>
                <w:color w:val="auto"/>
              </w:rPr>
            </w:pPr>
            <w:r>
              <w:rPr>
                <w:rFonts w:ascii="Calibri" w:cs="Calibri" w:eastAsia="Calibri" w:hAnsi="Calibri"/>
                <w:sz w:val="18"/>
                <w:szCs w:val="18"/>
                <w:color w:val="auto"/>
                <w:w w:val="97"/>
              </w:rPr>
              <w:t>Appendix 1</w:t>
            </w:r>
          </w:p>
        </w:tc>
      </w:tr>
      <w:tr>
        <w:trPr>
          <w:trHeight w:val="456"/>
        </w:trPr>
        <w:tc>
          <w:tcPr>
            <w:tcW w:w="2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40001</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****Locust Mount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22</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31021</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Maiden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25</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31020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Mallard Creek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06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939</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31020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Mathews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84</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1,402</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10063</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Maylene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4</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189</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18000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Medford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35</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44037</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Midlothian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67</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1,103</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40011</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****Midway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69</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00B86</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Misc Greensboro District</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11</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40007</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Monterey Sand</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98</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90112</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Morgan County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90089</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Newton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9</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38001</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North Columbia</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46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386</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18004</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North East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17</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386</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10307</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O'Neal Plant  Co 19</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38007</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Old Charleston Sand</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02</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31021</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Onslow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38007</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****Palmeto Sand Company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10</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351</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90110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Paulding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7</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80108</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Perry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3</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18000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Pinesburg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21</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31000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Pomona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52</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523</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31019</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Raleigh Durham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41</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442</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44000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Red Hill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72</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90006</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Red Oak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9</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441</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31000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Reidsville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68</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40032</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Riverbend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24</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38000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Rock Hill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26</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1,656</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31019</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Rocky Point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56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90007</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Ruby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4</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1,923</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38007</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****Salem Sand</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58</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576</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31020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Salem Stone</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38</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80133</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****SDI Quarry</w:t>
            </w:r>
          </w:p>
        </w:tc>
        <w:tc>
          <w:tcPr>
            <w:tcW w:w="7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20" w:type="dxa"/>
            <w:vAlign w:val="bottom"/>
          </w:tcPr>
          <w:p>
            <w:pPr>
              <w:spacing w:after="0"/>
              <w:rPr>
                <w:sz w:val="16"/>
                <w:szCs w:val="16"/>
                <w:color w:val="auto"/>
              </w:rPr>
            </w:pPr>
          </w:p>
        </w:tc>
        <w:tc>
          <w:tcPr>
            <w:tcW w:w="720" w:type="dxa"/>
            <w:vAlign w:val="bottom"/>
          </w:tcPr>
          <w:p>
            <w:pPr>
              <w:ind w:left="120"/>
              <w:spacing w:after="0" w:line="194" w:lineRule="exact"/>
              <w:rPr>
                <w:sz w:val="20"/>
                <w:szCs w:val="20"/>
                <w:color w:val="auto"/>
              </w:rPr>
            </w:pPr>
            <w:r>
              <w:rPr>
                <w:rFonts w:ascii="Calibri" w:cs="Calibri" w:eastAsia="Calibri" w:hAnsi="Calibri"/>
                <w:sz w:val="18"/>
                <w:szCs w:val="18"/>
                <w:color w:val="auto"/>
              </w:rPr>
              <w:t>90114</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20" w:type="dxa"/>
            <w:vAlign w:val="bottom"/>
          </w:tcPr>
          <w:p>
            <w:pPr>
              <w:ind w:left="20"/>
              <w:spacing w:after="0" w:line="215" w:lineRule="exact"/>
              <w:rPr>
                <w:sz w:val="20"/>
                <w:szCs w:val="20"/>
                <w:color w:val="auto"/>
              </w:rPr>
            </w:pPr>
            <w:r>
              <w:rPr>
                <w:rFonts w:ascii="Calibri" w:cs="Calibri" w:eastAsia="Calibri" w:hAnsi="Calibri"/>
                <w:sz w:val="18"/>
                <w:szCs w:val="18"/>
                <w:color w:val="auto"/>
              </w:rPr>
              <w:t>Six Mile Quarry</w:t>
            </w:r>
          </w:p>
        </w:tc>
        <w:tc>
          <w:tcPr>
            <w:tcW w:w="720" w:type="dxa"/>
            <w:vAlign w:val="bottom"/>
          </w:tcPr>
          <w:p>
            <w:pPr>
              <w:ind w:left="120"/>
              <w:spacing w:after="0" w:line="215" w:lineRule="exact"/>
              <w:rPr>
                <w:sz w:val="20"/>
                <w:szCs w:val="20"/>
                <w:color w:val="auto"/>
              </w:rPr>
            </w:pPr>
            <w:r>
              <w:rPr>
                <w:rFonts w:ascii="Calibri" w:cs="Calibri" w:eastAsia="Calibri" w:hAnsi="Calibri"/>
                <w:sz w:val="18"/>
                <w:szCs w:val="18"/>
                <w:color w:val="auto"/>
              </w:rPr>
              <w:t>4</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20" w:type="dxa"/>
            <w:vAlign w:val="bottom"/>
            <w:shd w:val="clear" w:color="auto" w:fill="E5F1F8"/>
          </w:tcPr>
          <w:p>
            <w:pPr>
              <w:spacing w:after="0"/>
              <w:rPr>
                <w:sz w:val="16"/>
                <w:szCs w:val="16"/>
                <w:color w:val="auto"/>
              </w:rPr>
            </w:pPr>
          </w:p>
        </w:tc>
        <w:tc>
          <w:tcPr>
            <w:tcW w:w="720" w:type="dxa"/>
            <w:vAlign w:val="bottom"/>
            <w:shd w:val="clear" w:color="auto" w:fill="E5F1F8"/>
          </w:tcPr>
          <w:p>
            <w:pPr>
              <w:ind w:left="120"/>
              <w:spacing w:after="0" w:line="194" w:lineRule="exact"/>
              <w:rPr>
                <w:sz w:val="20"/>
                <w:szCs w:val="20"/>
                <w:color w:val="auto"/>
              </w:rPr>
            </w:pPr>
            <w:r>
              <w:rPr>
                <w:rFonts w:ascii="Calibri" w:cs="Calibri" w:eastAsia="Calibri" w:hAnsi="Calibri"/>
                <w:sz w:val="18"/>
                <w:szCs w:val="18"/>
                <w:color w:val="auto"/>
              </w:rPr>
              <w:t>90119</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5"/>
        </w:trPr>
        <w:tc>
          <w:tcPr>
            <w:tcW w:w="2220" w:type="dxa"/>
            <w:vAlign w:val="bottom"/>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St. Marys Sand Company</w:t>
            </w:r>
          </w:p>
        </w:tc>
        <w:tc>
          <w:tcPr>
            <w:tcW w:w="720" w:type="dxa"/>
            <w:vAlign w:val="bottom"/>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9</w:t>
            </w:r>
          </w:p>
        </w:tc>
        <w:tc>
          <w:tcPr>
            <w:tcW w:w="520" w:type="dxa"/>
            <w:vAlign w:val="bottom"/>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20" w:type="dxa"/>
            <w:vAlign w:val="bottom"/>
            <w:shd w:val="clear" w:color="auto" w:fill="E5F1F8"/>
          </w:tcPr>
          <w:p>
            <w:pPr>
              <w:spacing w:after="0"/>
              <w:rPr>
                <w:sz w:val="2"/>
                <w:szCs w:val="2"/>
                <w:color w:val="auto"/>
              </w:rPr>
            </w:pPr>
          </w:p>
        </w:tc>
        <w:tc>
          <w:tcPr>
            <w:tcW w:w="720" w:type="dxa"/>
            <w:vAlign w:val="bottom"/>
            <w:shd w:val="clear" w:color="auto" w:fill="E5F1F8"/>
          </w:tcPr>
          <w:p>
            <w:pPr>
              <w:spacing w:after="0"/>
              <w:rPr>
                <w:sz w:val="2"/>
                <w:szCs w:val="2"/>
                <w:color w:val="auto"/>
              </w:rPr>
            </w:pPr>
          </w:p>
        </w:tc>
        <w:tc>
          <w:tcPr>
            <w:tcW w:w="520" w:type="dxa"/>
            <w:vAlign w:val="bottom"/>
            <w:shd w:val="clear" w:color="auto" w:fill="E5F1F8"/>
          </w:tcPr>
          <w:p>
            <w:pPr>
              <w:spacing w:after="0"/>
              <w:rPr>
                <w:sz w:val="2"/>
                <w:szCs w:val="2"/>
                <w:color w:val="auto"/>
              </w:rPr>
            </w:pPr>
          </w:p>
        </w:tc>
        <w:tc>
          <w:tcPr>
            <w:tcW w:w="600" w:type="dxa"/>
            <w:vAlign w:val="bottom"/>
            <w:shd w:val="clear" w:color="auto" w:fill="E5F1F8"/>
          </w:tcPr>
          <w:p>
            <w:pPr>
              <w:spacing w:after="0"/>
              <w:rPr>
                <w:sz w:val="2"/>
                <w:szCs w:val="2"/>
                <w:color w:val="auto"/>
              </w:rPr>
            </w:pPr>
          </w:p>
        </w:tc>
        <w:tc>
          <w:tcPr>
            <w:tcW w:w="660" w:type="dxa"/>
            <w:vAlign w:val="bottom"/>
            <w:shd w:val="clear" w:color="auto" w:fill="E5F1F8"/>
          </w:tcPr>
          <w:p>
            <w:pPr>
              <w:spacing w:after="0"/>
              <w:rPr>
                <w:sz w:val="2"/>
                <w:szCs w:val="2"/>
                <w:color w:val="auto"/>
              </w:rPr>
            </w:pPr>
          </w:p>
        </w:tc>
        <w:tc>
          <w:tcPr>
            <w:tcW w:w="600" w:type="dxa"/>
            <w:vAlign w:val="bottom"/>
            <w:shd w:val="clear" w:color="auto" w:fill="E5F1F8"/>
          </w:tcPr>
          <w:p>
            <w:pPr>
              <w:spacing w:after="0"/>
              <w:rPr>
                <w:sz w:val="2"/>
                <w:szCs w:val="2"/>
                <w:color w:val="auto"/>
              </w:rPr>
            </w:pPr>
          </w:p>
        </w:tc>
        <w:tc>
          <w:tcPr>
            <w:tcW w:w="440" w:type="dxa"/>
            <w:vAlign w:val="bottom"/>
            <w:shd w:val="clear" w:color="auto" w:fill="E5F1F8"/>
          </w:tcPr>
          <w:p>
            <w:pPr>
              <w:spacing w:after="0"/>
              <w:rPr>
                <w:sz w:val="2"/>
                <w:szCs w:val="2"/>
                <w:color w:val="auto"/>
              </w:rPr>
            </w:pPr>
          </w:p>
        </w:tc>
        <w:tc>
          <w:tcPr>
            <w:tcW w:w="340" w:type="dxa"/>
            <w:vAlign w:val="bottom"/>
            <w:shd w:val="clear" w:color="auto" w:fill="E5F1F8"/>
          </w:tcPr>
          <w:p>
            <w:pPr>
              <w:spacing w:after="0"/>
              <w:rPr>
                <w:sz w:val="2"/>
                <w:szCs w:val="2"/>
                <w:color w:val="auto"/>
              </w:rPr>
            </w:pPr>
          </w:p>
        </w:tc>
        <w:tc>
          <w:tcPr>
            <w:tcW w:w="840" w:type="dxa"/>
            <w:vAlign w:val="bottom"/>
            <w:shd w:val="clear" w:color="auto" w:fill="E5F1F8"/>
          </w:tcPr>
          <w:p>
            <w:pPr>
              <w:spacing w:after="0"/>
              <w:rPr>
                <w:sz w:val="2"/>
                <w:szCs w:val="2"/>
                <w:color w:val="auto"/>
              </w:rPr>
            </w:pPr>
          </w:p>
        </w:tc>
        <w:tc>
          <w:tcPr>
            <w:tcW w:w="740" w:type="dxa"/>
            <w:vAlign w:val="bottom"/>
            <w:shd w:val="clear" w:color="auto" w:fill="E5F1F8"/>
          </w:tcPr>
          <w:p>
            <w:pPr>
              <w:spacing w:after="0"/>
              <w:rPr>
                <w:sz w:val="2"/>
                <w:szCs w:val="2"/>
                <w:color w:val="auto"/>
              </w:rPr>
            </w:pPr>
          </w:p>
        </w:tc>
        <w:tc>
          <w:tcPr>
            <w:tcW w:w="840" w:type="dxa"/>
            <w:vAlign w:val="bottom"/>
            <w:shd w:val="clear" w:color="auto" w:fill="E5F1F8"/>
          </w:tcPr>
          <w:p>
            <w:pPr>
              <w:spacing w:after="0"/>
              <w:rPr>
                <w:sz w:val="2"/>
                <w:szCs w:val="2"/>
                <w:color w:val="auto"/>
              </w:rPr>
            </w:pPr>
          </w:p>
        </w:tc>
        <w:tc>
          <w:tcPr>
            <w:tcW w:w="760" w:type="dxa"/>
            <w:vAlign w:val="bottom"/>
            <w:shd w:val="clear" w:color="auto" w:fill="E5F1F8"/>
          </w:tcPr>
          <w:p>
            <w:pPr>
              <w:spacing w:after="0"/>
              <w:rPr>
                <w:sz w:val="2"/>
                <w:szCs w:val="2"/>
                <w:color w:val="auto"/>
              </w:rPr>
            </w:pPr>
          </w:p>
        </w:tc>
        <w:tc>
          <w:tcPr>
            <w:tcW w:w="580" w:type="dxa"/>
            <w:vAlign w:val="bottom"/>
            <w:shd w:val="clear" w:color="auto" w:fill="E5F1F8"/>
          </w:tcPr>
          <w:p>
            <w:pPr>
              <w:spacing w:after="0"/>
              <w:rPr>
                <w:sz w:val="2"/>
                <w:szCs w:val="2"/>
                <w:color w:val="auto"/>
              </w:rPr>
            </w:pPr>
          </w:p>
        </w:tc>
        <w:tc>
          <w:tcPr>
            <w:tcW w:w="460" w:type="dxa"/>
            <w:vAlign w:val="bottom"/>
            <w:shd w:val="clear" w:color="auto" w:fill="E5F1F8"/>
          </w:tcPr>
          <w:p>
            <w:pPr>
              <w:spacing w:after="0"/>
              <w:rPr>
                <w:sz w:val="2"/>
                <w:szCs w:val="2"/>
                <w:color w:val="auto"/>
              </w:rPr>
            </w:pPr>
          </w:p>
        </w:tc>
        <w:tc>
          <w:tcPr>
            <w:tcW w:w="920" w:type="dxa"/>
            <w:vAlign w:val="bottom"/>
            <w:shd w:val="clear" w:color="auto" w:fill="E5F1F8"/>
          </w:tcPr>
          <w:p>
            <w:pPr>
              <w:spacing w:after="0"/>
              <w:rPr>
                <w:sz w:val="2"/>
                <w:szCs w:val="2"/>
                <w:color w:val="auto"/>
              </w:rPr>
            </w:pPr>
          </w:p>
        </w:tc>
      </w:tr>
    </w:tbl>
    <w:p>
      <w:pPr>
        <w:sectPr>
          <w:pgSz w:w="11900" w:h="16838" w:orient="portrait"/>
          <w:cols w:equalWidth="0" w:num="1">
            <w:col w:w="11240"/>
          </w:cols>
          <w:pgMar w:left="320" w:top="760" w:right="339" w:bottom="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00" w:type="dxa"/>
            <w:vAlign w:val="bottom"/>
          </w:tcPr>
          <w:p>
            <w:pPr>
              <w:ind w:left="20"/>
              <w:spacing w:after="0"/>
              <w:rPr>
                <w:sz w:val="20"/>
                <w:szCs w:val="20"/>
                <w:color w:val="auto"/>
              </w:rPr>
            </w:pPr>
            <w:r>
              <w:rPr>
                <w:rFonts w:ascii="Calibri" w:cs="Calibri" w:eastAsia="Calibri" w:hAnsi="Calibri"/>
                <w:sz w:val="18"/>
                <w:szCs w:val="18"/>
                <w:color w:val="auto"/>
              </w:rPr>
              <w:t>Statesville Quarry</w:t>
            </w:r>
          </w:p>
        </w:tc>
        <w:tc>
          <w:tcPr>
            <w:tcW w:w="1140" w:type="dxa"/>
            <w:vAlign w:val="bottom"/>
          </w:tcPr>
          <w:p>
            <w:pPr>
              <w:ind w:left="540"/>
              <w:spacing w:after="0"/>
              <w:rPr>
                <w:sz w:val="20"/>
                <w:szCs w:val="20"/>
                <w:color w:val="auto"/>
              </w:rPr>
            </w:pPr>
            <w:r>
              <w:rPr>
                <w:rFonts w:ascii="Calibri" w:cs="Calibri" w:eastAsia="Calibri" w:hAnsi="Calibri"/>
                <w:sz w:val="18"/>
                <w:szCs w:val="18"/>
                <w:color w:val="auto"/>
              </w:rPr>
              <w:t>31000</w:t>
            </w:r>
          </w:p>
        </w:tc>
        <w:tc>
          <w:tcPr>
            <w:tcW w:w="520" w:type="dxa"/>
            <w:vAlign w:val="bottom"/>
          </w:tcPr>
          <w:p>
            <w:pPr>
              <w:jc w:val="right"/>
              <w:ind w:right="170"/>
              <w:spacing w:after="0"/>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rPr>
                <w:sz w:val="20"/>
                <w:szCs w:val="20"/>
                <w:color w:val="auto"/>
              </w:rPr>
            </w:pPr>
            <w:r>
              <w:rPr>
                <w:rFonts w:ascii="Calibri" w:cs="Calibri" w:eastAsia="Calibri" w:hAnsi="Calibri"/>
                <w:sz w:val="18"/>
                <w:szCs w:val="18"/>
                <w:color w:val="auto"/>
              </w:rPr>
              <w:t>0</w:t>
            </w:r>
          </w:p>
        </w:tc>
        <w:tc>
          <w:tcPr>
            <w:tcW w:w="420" w:type="dxa"/>
            <w:vAlign w:val="bottom"/>
          </w:tcPr>
          <w:p>
            <w:pPr>
              <w:jc w:val="right"/>
              <w:ind w:right="130"/>
              <w:spacing w:after="0"/>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ind w:right="190"/>
              <w:spacing w:after="0"/>
              <w:rPr>
                <w:sz w:val="20"/>
                <w:szCs w:val="20"/>
                <w:color w:val="auto"/>
              </w:rPr>
            </w:pPr>
            <w:r>
              <w:rPr>
                <w:rFonts w:ascii="Calibri" w:cs="Calibri" w:eastAsia="Calibri" w:hAnsi="Calibri"/>
                <w:sz w:val="18"/>
                <w:szCs w:val="18"/>
                <w:b w:val="1"/>
                <w:bCs w:val="1"/>
                <w:color w:val="auto"/>
              </w:rPr>
              <w:t>515</w:t>
            </w:r>
          </w:p>
        </w:tc>
        <w:tc>
          <w:tcPr>
            <w:tcW w:w="740" w:type="dxa"/>
            <w:vAlign w:val="bottom"/>
          </w:tcPr>
          <w:p>
            <w:pPr>
              <w:jc w:val="right"/>
              <w:ind w:right="270"/>
              <w:spacing w:after="0"/>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rPr>
                <w:sz w:val="20"/>
                <w:szCs w:val="20"/>
                <w:color w:val="auto"/>
              </w:rPr>
            </w:pPr>
            <w:r>
              <w:rPr>
                <w:rFonts w:ascii="Calibri" w:cs="Calibri" w:eastAsia="Calibri" w:hAnsi="Calibri"/>
                <w:sz w:val="18"/>
                <w:szCs w:val="18"/>
                <w:color w:val="auto"/>
              </w:rPr>
              <w:t>0</w:t>
            </w:r>
          </w:p>
        </w:tc>
        <w:tc>
          <w:tcPr>
            <w:tcW w:w="640" w:type="dxa"/>
            <w:vAlign w:val="bottom"/>
          </w:tcPr>
          <w:p>
            <w:pPr>
              <w:jc w:val="right"/>
              <w:ind w:right="210"/>
              <w:spacing w:after="0"/>
              <w:rPr>
                <w:sz w:val="20"/>
                <w:szCs w:val="20"/>
                <w:color w:val="auto"/>
              </w:rPr>
            </w:pPr>
            <w:r>
              <w:rPr>
                <w:rFonts w:ascii="Calibri" w:cs="Calibri" w:eastAsia="Calibri" w:hAnsi="Calibri"/>
                <w:sz w:val="18"/>
                <w:szCs w:val="18"/>
                <w:color w:val="auto"/>
              </w:rPr>
              <w:t>0</w:t>
            </w:r>
          </w:p>
        </w:tc>
        <w:tc>
          <w:tcPr>
            <w:tcW w:w="740" w:type="dxa"/>
            <w:vAlign w:val="bottom"/>
          </w:tcPr>
          <w:p>
            <w:pPr>
              <w:jc w:val="right"/>
              <w:ind w:right="270"/>
              <w:spacing w:after="0"/>
              <w:rPr>
                <w:sz w:val="20"/>
                <w:szCs w:val="20"/>
                <w:color w:val="auto"/>
              </w:rPr>
            </w:pPr>
            <w:r>
              <w:rPr>
                <w:rFonts w:ascii="Calibri" w:cs="Calibri" w:eastAsia="Calibri" w:hAnsi="Calibri"/>
                <w:sz w:val="18"/>
                <w:szCs w:val="18"/>
                <w:color w:val="auto"/>
              </w:rPr>
              <w:t>0</w:t>
            </w:r>
          </w:p>
        </w:tc>
      </w:tr>
      <w:tr>
        <w:trPr>
          <w:trHeight w:val="215"/>
        </w:trPr>
        <w:tc>
          <w:tcPr>
            <w:tcW w:w="1800" w:type="dxa"/>
            <w:vAlign w:val="bottom"/>
          </w:tcPr>
          <w:p>
            <w:pPr>
              <w:spacing w:after="0"/>
              <w:rPr>
                <w:sz w:val="18"/>
                <w:szCs w:val="18"/>
                <w:color w:val="auto"/>
              </w:rPr>
            </w:pPr>
          </w:p>
        </w:tc>
        <w:tc>
          <w:tcPr>
            <w:tcW w:w="1140" w:type="dxa"/>
            <w:vAlign w:val="bottom"/>
          </w:tcPr>
          <w:p>
            <w:pPr>
              <w:ind w:left="540"/>
              <w:spacing w:after="0" w:line="215" w:lineRule="exact"/>
              <w:rPr>
                <w:sz w:val="20"/>
                <w:szCs w:val="20"/>
                <w:color w:val="auto"/>
              </w:rPr>
            </w:pPr>
            <w:r>
              <w:rPr>
                <w:rFonts w:ascii="Calibri" w:cs="Calibri" w:eastAsia="Calibri" w:hAnsi="Calibri"/>
                <w:sz w:val="18"/>
                <w:szCs w:val="18"/>
                <w:color w:val="auto"/>
              </w:rPr>
              <w:t>55</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
        </w:trPr>
        <w:tc>
          <w:tcPr>
            <w:tcW w:w="1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4"/>
        </w:trPr>
        <w:tc>
          <w:tcPr>
            <w:tcW w:w="1800" w:type="dxa"/>
            <w:vAlign w:val="bottom"/>
            <w:shd w:val="clear" w:color="auto" w:fill="E5F1F8"/>
          </w:tcPr>
          <w:p>
            <w:pPr>
              <w:spacing w:after="0"/>
              <w:rPr>
                <w:sz w:val="16"/>
                <w:szCs w:val="16"/>
                <w:color w:val="auto"/>
              </w:rPr>
            </w:pPr>
          </w:p>
        </w:tc>
        <w:tc>
          <w:tcPr>
            <w:tcW w:w="1140" w:type="dxa"/>
            <w:vAlign w:val="bottom"/>
            <w:shd w:val="clear" w:color="auto" w:fill="E5F1F8"/>
          </w:tcPr>
          <w:p>
            <w:pPr>
              <w:ind w:left="540"/>
              <w:spacing w:after="0" w:line="194" w:lineRule="exact"/>
              <w:rPr>
                <w:sz w:val="20"/>
                <w:szCs w:val="20"/>
                <w:color w:val="auto"/>
              </w:rPr>
            </w:pPr>
            <w:r>
              <w:rPr>
                <w:rFonts w:ascii="Calibri" w:cs="Calibri" w:eastAsia="Calibri" w:hAnsi="Calibri"/>
                <w:sz w:val="18"/>
                <w:szCs w:val="18"/>
                <w:color w:val="auto"/>
              </w:rPr>
              <w:t>18000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42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4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r>
      <w:tr>
        <w:trPr>
          <w:trHeight w:val="218"/>
        </w:trPr>
        <w:tc>
          <w:tcPr>
            <w:tcW w:w="18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Texas Quarry</w:t>
            </w:r>
          </w:p>
        </w:tc>
        <w:tc>
          <w:tcPr>
            <w:tcW w:w="1140" w:type="dxa"/>
            <w:vAlign w:val="bottom"/>
            <w:tcBorders>
              <w:bottom w:val="single" w:sz="8" w:color="E5F1F8"/>
            </w:tcBorders>
            <w:shd w:val="clear" w:color="auto" w:fill="E5F1F8"/>
          </w:tcPr>
          <w:p>
            <w:pPr>
              <w:ind w:left="540"/>
              <w:spacing w:after="0" w:line="215" w:lineRule="exact"/>
              <w:rPr>
                <w:sz w:val="20"/>
                <w:szCs w:val="20"/>
                <w:color w:val="auto"/>
              </w:rPr>
            </w:pPr>
            <w:r>
              <w:rPr>
                <w:rFonts w:ascii="Calibri" w:cs="Calibri" w:eastAsia="Calibri" w:hAnsi="Calibri"/>
                <w:sz w:val="18"/>
                <w:szCs w:val="18"/>
                <w:color w:val="auto"/>
              </w:rPr>
              <w:t>09</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42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645</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r>
      <w:tr>
        <w:trPr>
          <w:trHeight w:val="1168"/>
        </w:trPr>
        <w:tc>
          <w:tcPr>
            <w:tcW w:w="1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 w:right="339" w:bottom="1440" w:gutter="0" w:footer="0" w:header="0"/>
        </w:sectPr>
      </w:pPr>
    </w:p>
    <w:bookmarkStart w:id="144" w:name="page145"/>
    <w:bookmarkEnd w:id="14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center"/>
              <w:ind w:left="30"/>
              <w:spacing w:after="0"/>
              <w:rPr>
                <w:sz w:val="20"/>
                <w:szCs w:val="20"/>
                <w:color w:val="auto"/>
              </w:rPr>
            </w:pPr>
            <w:r>
              <w:rPr>
                <w:rFonts w:ascii="Calibri" w:cs="Calibri" w:eastAsia="Calibri" w:hAnsi="Calibri"/>
                <w:sz w:val="18"/>
                <w:szCs w:val="18"/>
                <w:color w:val="auto"/>
                <w:w w:val="97"/>
              </w:rPr>
              <w:t>Appendix 1</w:t>
            </w:r>
          </w:p>
        </w:tc>
      </w:tr>
      <w:tr>
        <w:trPr>
          <w:trHeight w:val="648"/>
        </w:trPr>
        <w:tc>
          <w:tcPr>
            <w:tcW w:w="228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Calibri" w:cs="Calibri" w:eastAsia="Calibri" w:hAnsi="Calibri"/>
                <w:sz w:val="18"/>
                <w:szCs w:val="18"/>
                <w:color w:val="auto"/>
              </w:rPr>
              <w:t>31014</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280" w:type="dxa"/>
            <w:vAlign w:val="bottom"/>
          </w:tcPr>
          <w:p>
            <w:pPr>
              <w:ind w:left="20"/>
              <w:spacing w:after="0" w:line="216" w:lineRule="exact"/>
              <w:rPr>
                <w:sz w:val="20"/>
                <w:szCs w:val="20"/>
                <w:color w:val="auto"/>
              </w:rPr>
            </w:pPr>
            <w:r>
              <w:rPr>
                <w:rFonts w:ascii="Calibri" w:cs="Calibri" w:eastAsia="Calibri" w:hAnsi="Calibri"/>
                <w:sz w:val="18"/>
                <w:szCs w:val="18"/>
                <w:color w:val="auto"/>
              </w:rPr>
              <w:t>Thomasville Quarry</w:t>
            </w:r>
          </w:p>
        </w:tc>
        <w:tc>
          <w:tcPr>
            <w:tcW w:w="640" w:type="dxa"/>
            <w:vAlign w:val="bottom"/>
          </w:tcPr>
          <w:p>
            <w:pPr>
              <w:ind w:left="60"/>
              <w:spacing w:after="0" w:line="216" w:lineRule="exact"/>
              <w:rPr>
                <w:sz w:val="20"/>
                <w:szCs w:val="20"/>
                <w:color w:val="auto"/>
              </w:rPr>
            </w:pPr>
            <w:r>
              <w:rPr>
                <w:rFonts w:ascii="Calibri" w:cs="Calibri" w:eastAsia="Calibri" w:hAnsi="Calibri"/>
                <w:sz w:val="18"/>
                <w:szCs w:val="18"/>
                <w:color w:val="auto"/>
              </w:rPr>
              <w:t>75</w:t>
            </w:r>
          </w:p>
        </w:tc>
        <w:tc>
          <w:tcPr>
            <w:tcW w:w="56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6"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6"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6"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6"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6"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6"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6"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40016</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****Tri Cites Airport Quarry</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57</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90030</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Tyrone Quarry</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6</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769</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40020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****Unicoi</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75</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10302</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Vance Quarry  Co 19</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2</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36001</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Warfordsburg Quarry</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68</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90058</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Warrenton Quarry</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40001</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****Watauga Quarry</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24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31013</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Wilmington Sand</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08</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31022</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Wilson Quarry</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31000</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Woodleaf Quarry</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69</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ind w:left="20"/>
              <w:spacing w:after="0" w:line="194" w:lineRule="exact"/>
              <w:rPr>
                <w:sz w:val="20"/>
                <w:szCs w:val="20"/>
                <w:color w:val="auto"/>
              </w:rPr>
            </w:pPr>
            <w:r>
              <w:rPr>
                <w:rFonts w:ascii="Calibri" w:cs="Calibri" w:eastAsia="Calibri" w:hAnsi="Calibri"/>
                <w:sz w:val="18"/>
                <w:szCs w:val="18"/>
                <w:color w:val="auto"/>
              </w:rPr>
              <w:t>(45) North Indianapolis</w:t>
            </w: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12000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SURFACE</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02</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8"/>
              </w:rPr>
              <w:t>29</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132,809</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3</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13020</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Alden Portable Plant #2</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33</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204</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13020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Alden Portable Sand</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37</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239</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13002</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Alden Quarry</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28</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1,545</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13000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Ames Mine</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14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1,176</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33016</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Apple Grove S G</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76</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12019</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Belmont Sand</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11</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5</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2,412</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15000</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Bowling Green North Quarry</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65</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15000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Bowling Green South Quarry</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25</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46088</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Burning Springs Mine</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62</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12021</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Carmel Sand</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24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2</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1,362</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13001</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Cedar Rapids Quarry</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22</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33040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Cedarville Quarry</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72</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747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12017</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Cloverdale Quarry</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44</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15000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w w:val="98"/>
              </w:rPr>
              <w:t>Cumberland Quarry (Kentucky)</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37</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13001</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Des Moines Portable</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50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ind w:left="20"/>
              <w:spacing w:after="0" w:line="194" w:lineRule="exact"/>
              <w:rPr>
                <w:sz w:val="20"/>
                <w:szCs w:val="20"/>
                <w:color w:val="auto"/>
              </w:rPr>
            </w:pPr>
            <w:r>
              <w:rPr>
                <w:rFonts w:ascii="Calibri" w:cs="Calibri" w:eastAsia="Calibri" w:hAnsi="Calibri"/>
                <w:sz w:val="18"/>
                <w:szCs w:val="18"/>
                <w:color w:val="auto"/>
              </w:rPr>
              <w:t>Des Moines Portable #2</w:t>
            </w: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13009</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Primary</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32</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308</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13025</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DES MOINES PORTABLE SAND</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04</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25010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Dubois Quarry</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46</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13012</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Durham Mine</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25</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596</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33042</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E Town Sand Gravel</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79</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13021</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Earlham Quarry</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23</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4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21012</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Elk River Wash Plant</w:t>
            </w:r>
          </w:p>
        </w:tc>
        <w:tc>
          <w:tcPr>
            <w:tcW w:w="64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18</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40" w:type="dxa"/>
            <w:vAlign w:val="bottom"/>
          </w:tcPr>
          <w:p>
            <w:pPr>
              <w:ind w:left="60"/>
              <w:spacing w:after="0" w:line="194" w:lineRule="exact"/>
              <w:rPr>
                <w:sz w:val="20"/>
                <w:szCs w:val="20"/>
                <w:color w:val="auto"/>
              </w:rPr>
            </w:pPr>
            <w:r>
              <w:rPr>
                <w:rFonts w:ascii="Calibri" w:cs="Calibri" w:eastAsia="Calibri" w:hAnsi="Calibri"/>
                <w:sz w:val="18"/>
                <w:szCs w:val="18"/>
                <w:color w:val="auto"/>
              </w:rPr>
              <w:t>33013</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Fairfeld Sand &amp; Gravel</w:t>
            </w:r>
          </w:p>
        </w:tc>
        <w:tc>
          <w:tcPr>
            <w:tcW w:w="640" w:type="dxa"/>
            <w:vAlign w:val="bottom"/>
          </w:tcPr>
          <w:p>
            <w:pPr>
              <w:ind w:left="60"/>
              <w:spacing w:after="0" w:line="215" w:lineRule="exact"/>
              <w:rPr>
                <w:sz w:val="20"/>
                <w:szCs w:val="20"/>
                <w:color w:val="auto"/>
              </w:rPr>
            </w:pPr>
            <w:r>
              <w:rPr>
                <w:rFonts w:ascii="Calibri" w:cs="Calibri" w:eastAsia="Calibri" w:hAnsi="Calibri"/>
                <w:sz w:val="18"/>
                <w:szCs w:val="18"/>
                <w:color w:val="auto"/>
              </w:rPr>
              <w:t>96</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44"/>
        </w:trPr>
        <w:tc>
          <w:tcPr>
            <w:tcW w:w="2280" w:type="dxa"/>
            <w:vAlign w:val="bottom"/>
            <w:shd w:val="clear" w:color="auto" w:fill="E5F1F8"/>
          </w:tcPr>
          <w:p>
            <w:pPr>
              <w:spacing w:after="0"/>
              <w:rPr>
                <w:sz w:val="12"/>
                <w:szCs w:val="12"/>
                <w:color w:val="auto"/>
              </w:rPr>
            </w:pPr>
          </w:p>
        </w:tc>
        <w:tc>
          <w:tcPr>
            <w:tcW w:w="640" w:type="dxa"/>
            <w:vAlign w:val="bottom"/>
            <w:shd w:val="clear" w:color="auto" w:fill="E5F1F8"/>
          </w:tcPr>
          <w:p>
            <w:pPr>
              <w:spacing w:after="0"/>
              <w:rPr>
                <w:sz w:val="12"/>
                <w:szCs w:val="12"/>
                <w:color w:val="auto"/>
              </w:rPr>
            </w:pPr>
          </w:p>
        </w:tc>
        <w:tc>
          <w:tcPr>
            <w:tcW w:w="560" w:type="dxa"/>
            <w:vAlign w:val="bottom"/>
            <w:shd w:val="clear" w:color="auto" w:fill="E5F1F8"/>
          </w:tcPr>
          <w:p>
            <w:pPr>
              <w:spacing w:after="0"/>
              <w:rPr>
                <w:sz w:val="12"/>
                <w:szCs w:val="12"/>
                <w:color w:val="auto"/>
              </w:rPr>
            </w:pPr>
          </w:p>
        </w:tc>
        <w:tc>
          <w:tcPr>
            <w:tcW w:w="580" w:type="dxa"/>
            <w:vAlign w:val="bottom"/>
            <w:shd w:val="clear" w:color="auto" w:fill="E5F1F8"/>
          </w:tcPr>
          <w:p>
            <w:pPr>
              <w:spacing w:after="0"/>
              <w:rPr>
                <w:sz w:val="12"/>
                <w:szCs w:val="12"/>
                <w:color w:val="auto"/>
              </w:rPr>
            </w:pPr>
          </w:p>
        </w:tc>
        <w:tc>
          <w:tcPr>
            <w:tcW w:w="660" w:type="dxa"/>
            <w:vAlign w:val="bottom"/>
            <w:shd w:val="clear" w:color="auto" w:fill="E5F1F8"/>
          </w:tcPr>
          <w:p>
            <w:pPr>
              <w:spacing w:after="0"/>
              <w:rPr>
                <w:sz w:val="12"/>
                <w:szCs w:val="12"/>
                <w:color w:val="auto"/>
              </w:rPr>
            </w:pPr>
          </w:p>
        </w:tc>
        <w:tc>
          <w:tcPr>
            <w:tcW w:w="600" w:type="dxa"/>
            <w:vAlign w:val="bottom"/>
            <w:shd w:val="clear" w:color="auto" w:fill="E5F1F8"/>
          </w:tcPr>
          <w:p>
            <w:pPr>
              <w:spacing w:after="0"/>
              <w:rPr>
                <w:sz w:val="12"/>
                <w:szCs w:val="12"/>
                <w:color w:val="auto"/>
              </w:rPr>
            </w:pPr>
          </w:p>
        </w:tc>
        <w:tc>
          <w:tcPr>
            <w:tcW w:w="440" w:type="dxa"/>
            <w:vAlign w:val="bottom"/>
            <w:shd w:val="clear" w:color="auto" w:fill="E5F1F8"/>
          </w:tcPr>
          <w:p>
            <w:pPr>
              <w:spacing w:after="0"/>
              <w:rPr>
                <w:sz w:val="12"/>
                <w:szCs w:val="12"/>
                <w:color w:val="auto"/>
              </w:rPr>
            </w:pPr>
          </w:p>
        </w:tc>
        <w:tc>
          <w:tcPr>
            <w:tcW w:w="260" w:type="dxa"/>
            <w:vAlign w:val="bottom"/>
            <w:shd w:val="clear" w:color="auto" w:fill="E5F1F8"/>
          </w:tcPr>
          <w:p>
            <w:pPr>
              <w:spacing w:after="0"/>
              <w:rPr>
                <w:sz w:val="12"/>
                <w:szCs w:val="12"/>
                <w:color w:val="auto"/>
              </w:rPr>
            </w:pPr>
          </w:p>
        </w:tc>
        <w:tc>
          <w:tcPr>
            <w:tcW w:w="920" w:type="dxa"/>
            <w:vAlign w:val="bottom"/>
            <w:shd w:val="clear" w:color="auto" w:fill="E5F1F8"/>
          </w:tcPr>
          <w:p>
            <w:pPr>
              <w:spacing w:after="0"/>
              <w:rPr>
                <w:sz w:val="12"/>
                <w:szCs w:val="12"/>
                <w:color w:val="auto"/>
              </w:rPr>
            </w:pPr>
          </w:p>
        </w:tc>
        <w:tc>
          <w:tcPr>
            <w:tcW w:w="740" w:type="dxa"/>
            <w:vAlign w:val="bottom"/>
            <w:shd w:val="clear" w:color="auto" w:fill="E5F1F8"/>
          </w:tcPr>
          <w:p>
            <w:pPr>
              <w:spacing w:after="0"/>
              <w:rPr>
                <w:sz w:val="12"/>
                <w:szCs w:val="12"/>
                <w:color w:val="auto"/>
              </w:rPr>
            </w:pPr>
          </w:p>
        </w:tc>
        <w:tc>
          <w:tcPr>
            <w:tcW w:w="840" w:type="dxa"/>
            <w:vAlign w:val="bottom"/>
            <w:shd w:val="clear" w:color="auto" w:fill="E5F1F8"/>
          </w:tcPr>
          <w:p>
            <w:pPr>
              <w:spacing w:after="0"/>
              <w:rPr>
                <w:sz w:val="12"/>
                <w:szCs w:val="12"/>
                <w:color w:val="auto"/>
              </w:rPr>
            </w:pPr>
          </w:p>
        </w:tc>
        <w:tc>
          <w:tcPr>
            <w:tcW w:w="760" w:type="dxa"/>
            <w:vAlign w:val="bottom"/>
            <w:shd w:val="clear" w:color="auto" w:fill="E5F1F8"/>
          </w:tcPr>
          <w:p>
            <w:pPr>
              <w:spacing w:after="0"/>
              <w:rPr>
                <w:sz w:val="12"/>
                <w:szCs w:val="12"/>
                <w:color w:val="auto"/>
              </w:rPr>
            </w:pPr>
          </w:p>
        </w:tc>
        <w:tc>
          <w:tcPr>
            <w:tcW w:w="580" w:type="dxa"/>
            <w:vAlign w:val="bottom"/>
            <w:shd w:val="clear" w:color="auto" w:fill="E5F1F8"/>
          </w:tcPr>
          <w:p>
            <w:pPr>
              <w:spacing w:after="0"/>
              <w:rPr>
                <w:sz w:val="12"/>
                <w:szCs w:val="12"/>
                <w:color w:val="auto"/>
              </w:rPr>
            </w:pPr>
          </w:p>
        </w:tc>
        <w:tc>
          <w:tcPr>
            <w:tcW w:w="460" w:type="dxa"/>
            <w:vAlign w:val="bottom"/>
            <w:shd w:val="clear" w:color="auto" w:fill="E5F1F8"/>
          </w:tcPr>
          <w:p>
            <w:pPr>
              <w:spacing w:after="0"/>
              <w:rPr>
                <w:sz w:val="12"/>
                <w:szCs w:val="12"/>
                <w:color w:val="auto"/>
              </w:rPr>
            </w:pPr>
          </w:p>
        </w:tc>
        <w:tc>
          <w:tcPr>
            <w:tcW w:w="920" w:type="dxa"/>
            <w:vAlign w:val="bottom"/>
            <w:shd w:val="clear" w:color="auto" w:fill="E5F1F8"/>
          </w:tcPr>
          <w:p>
            <w:pPr>
              <w:spacing w:after="0"/>
              <w:rPr>
                <w:sz w:val="12"/>
                <w:szCs w:val="12"/>
                <w:color w:val="auto"/>
              </w:rPr>
            </w:pPr>
          </w:p>
        </w:tc>
      </w:tr>
    </w:tbl>
    <w:p>
      <w:pPr>
        <w:sectPr>
          <w:pgSz w:w="11900" w:h="16900" w:orient="portrait"/>
          <w:cols w:equalWidth="0" w:num="1">
            <w:col w:w="11240"/>
          </w:cols>
          <w:pgMar w:left="320" w:top="760" w:right="339" w:bottom="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2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Ferguson Quarry</w:t>
            </w:r>
          </w:p>
        </w:tc>
        <w:tc>
          <w:tcPr>
            <w:tcW w:w="50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13001</w:t>
            </w:r>
          </w:p>
        </w:tc>
        <w:tc>
          <w:tcPr>
            <w:tcW w:w="640" w:type="dxa"/>
            <w:vAlign w:val="bottom"/>
            <w:shd w:val="clear" w:color="auto" w:fill="E5F1F8"/>
          </w:tcPr>
          <w:p>
            <w:pPr>
              <w:jc w:val="right"/>
              <w:ind w:right="170"/>
              <w:spacing w:after="0"/>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Calibri" w:cs="Calibri" w:eastAsia="Calibri" w:hAnsi="Calibri"/>
                <w:sz w:val="18"/>
                <w:szCs w:val="18"/>
                <w:color w:val="auto"/>
              </w:rPr>
              <w:t>0</w:t>
            </w:r>
          </w:p>
        </w:tc>
        <w:tc>
          <w:tcPr>
            <w:tcW w:w="440" w:type="dxa"/>
            <w:vAlign w:val="bottom"/>
            <w:shd w:val="clear" w:color="auto" w:fill="E5F1F8"/>
          </w:tcPr>
          <w:p>
            <w:pPr>
              <w:jc w:val="right"/>
              <w:ind w:right="10"/>
              <w:spacing w:after="0"/>
              <w:rPr>
                <w:sz w:val="20"/>
                <w:szCs w:val="20"/>
                <w:color w:val="auto"/>
              </w:rPr>
            </w:pPr>
            <w:r>
              <w:rPr>
                <w:rFonts w:ascii="Calibri" w:cs="Calibri" w:eastAsia="Calibri" w:hAnsi="Calibri"/>
                <w:sz w:val="18"/>
                <w:szCs w:val="18"/>
                <w:color w:val="auto"/>
              </w:rPr>
              <w:t>0</w:t>
            </w:r>
          </w:p>
        </w:tc>
        <w:tc>
          <w:tcPr>
            <w:tcW w:w="300" w:type="dxa"/>
            <w:vAlign w:val="bottom"/>
            <w:shd w:val="clear" w:color="auto" w:fill="E5F1F8"/>
          </w:tcPr>
          <w:p>
            <w:pPr>
              <w:jc w:val="right"/>
              <w:ind w:right="10"/>
              <w:spacing w:after="0"/>
              <w:rPr>
                <w:sz w:val="20"/>
                <w:szCs w:val="20"/>
                <w:color w:val="auto"/>
              </w:rPr>
            </w:pPr>
            <w:r>
              <w:rPr>
                <w:rFonts w:ascii="Calibri" w:cs="Calibri" w:eastAsia="Calibri" w:hAnsi="Calibri"/>
                <w:sz w:val="18"/>
                <w:szCs w:val="18"/>
                <w:b w:val="1"/>
                <w:bCs w:val="1"/>
                <w:color w:val="auto"/>
              </w:rPr>
              <w:t>$</w:t>
            </w:r>
          </w:p>
        </w:tc>
        <w:tc>
          <w:tcPr>
            <w:tcW w:w="88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b w:val="1"/>
                <w:bCs w:val="1"/>
                <w:color w:val="auto"/>
              </w:rPr>
              <w:t>294</w:t>
            </w:r>
          </w:p>
        </w:tc>
        <w:tc>
          <w:tcPr>
            <w:tcW w:w="740" w:type="dxa"/>
            <w:vAlign w:val="bottom"/>
            <w:shd w:val="clear" w:color="auto" w:fill="E5F1F8"/>
          </w:tcPr>
          <w:p>
            <w:pPr>
              <w:jc w:val="right"/>
              <w:ind w:right="270"/>
              <w:spacing w:after="0"/>
              <w:rPr>
                <w:sz w:val="20"/>
                <w:szCs w:val="20"/>
                <w:color w:val="auto"/>
              </w:rPr>
            </w:pPr>
            <w:r>
              <w:rPr>
                <w:rFonts w:ascii="Calibri" w:cs="Calibri" w:eastAsia="Calibri" w:hAnsi="Calibri"/>
                <w:sz w:val="18"/>
                <w:szCs w:val="18"/>
                <w:color w:val="auto"/>
              </w:rPr>
              <w:t>0</w:t>
            </w:r>
          </w:p>
        </w:tc>
        <w:tc>
          <w:tcPr>
            <w:tcW w:w="840" w:type="dxa"/>
            <w:vAlign w:val="bottom"/>
            <w:shd w:val="clear" w:color="auto" w:fill="E5F1F8"/>
          </w:tcPr>
          <w:p>
            <w:pPr>
              <w:ind w:left="360"/>
              <w:spacing w:after="0"/>
              <w:rPr>
                <w:sz w:val="20"/>
                <w:szCs w:val="20"/>
                <w:color w:val="auto"/>
              </w:rPr>
            </w:pPr>
            <w:r>
              <w:rPr>
                <w:rFonts w:ascii="Calibri" w:cs="Calibri" w:eastAsia="Calibri" w:hAnsi="Calibri"/>
                <w:sz w:val="18"/>
                <w:szCs w:val="18"/>
                <w:color w:val="auto"/>
              </w:rPr>
              <w:t>no</w:t>
            </w:r>
          </w:p>
        </w:tc>
        <w:tc>
          <w:tcPr>
            <w:tcW w:w="760" w:type="dxa"/>
            <w:vAlign w:val="bottom"/>
            <w:shd w:val="clear" w:color="auto" w:fill="E5F1F8"/>
          </w:tcPr>
          <w:p>
            <w:pPr>
              <w:ind w:left="300"/>
              <w:spacing w:after="0"/>
              <w:rPr>
                <w:sz w:val="20"/>
                <w:szCs w:val="20"/>
                <w:color w:val="auto"/>
              </w:rPr>
            </w:pPr>
            <w:r>
              <w:rPr>
                <w:rFonts w:ascii="Calibri" w:cs="Calibri" w:eastAsia="Calibri" w:hAnsi="Calibri"/>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Calibri" w:cs="Calibri" w:eastAsia="Calibri" w:hAnsi="Calibri"/>
                <w:sz w:val="18"/>
                <w:szCs w:val="18"/>
                <w:color w:val="auto"/>
              </w:rPr>
              <w:t>0</w:t>
            </w:r>
          </w:p>
        </w:tc>
        <w:tc>
          <w:tcPr>
            <w:tcW w:w="64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740" w:type="dxa"/>
            <w:vAlign w:val="bottom"/>
            <w:shd w:val="clear" w:color="auto" w:fill="E5F1F8"/>
          </w:tcPr>
          <w:p>
            <w:pPr>
              <w:jc w:val="right"/>
              <w:ind w:right="270"/>
              <w:spacing w:after="0"/>
              <w:rPr>
                <w:sz w:val="20"/>
                <w:szCs w:val="20"/>
                <w:color w:val="auto"/>
              </w:rPr>
            </w:pPr>
            <w:r>
              <w:rPr>
                <w:rFonts w:ascii="Calibri" w:cs="Calibri" w:eastAsia="Calibri" w:hAnsi="Calibri"/>
                <w:sz w:val="18"/>
                <w:szCs w:val="18"/>
                <w:color w:val="auto"/>
              </w:rPr>
              <w:t>0</w:t>
            </w:r>
          </w:p>
        </w:tc>
      </w:tr>
      <w:tr>
        <w:trPr>
          <w:trHeight w:val="245"/>
        </w:trPr>
        <w:tc>
          <w:tcPr>
            <w:tcW w:w="2320" w:type="dxa"/>
            <w:vAlign w:val="bottom"/>
            <w:tcBorders>
              <w:bottom w:val="single" w:sz="8" w:color="E5F1F8"/>
            </w:tcBorders>
            <w:shd w:val="clear" w:color="auto" w:fill="E5F1F8"/>
          </w:tcPr>
          <w:p>
            <w:pPr>
              <w:spacing w:after="0"/>
              <w:rPr>
                <w:sz w:val="21"/>
                <w:szCs w:val="21"/>
                <w:color w:val="auto"/>
              </w:rPr>
            </w:pPr>
          </w:p>
        </w:tc>
        <w:tc>
          <w:tcPr>
            <w:tcW w:w="5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24</w:t>
            </w:r>
          </w:p>
        </w:tc>
        <w:tc>
          <w:tcPr>
            <w:tcW w:w="640" w:type="dxa"/>
            <w:vAlign w:val="bottom"/>
            <w:tcBorders>
              <w:bottom w:val="single" w:sz="8" w:color="E5F1F8"/>
            </w:tcBorders>
            <w:shd w:val="clear" w:color="auto" w:fill="E5F1F8"/>
          </w:tcPr>
          <w:p>
            <w:pPr>
              <w:spacing w:after="0"/>
              <w:rPr>
                <w:sz w:val="21"/>
                <w:szCs w:val="21"/>
                <w:color w:val="auto"/>
              </w:rPr>
            </w:pPr>
          </w:p>
        </w:tc>
        <w:tc>
          <w:tcPr>
            <w:tcW w:w="600" w:type="dxa"/>
            <w:vAlign w:val="bottom"/>
            <w:tcBorders>
              <w:bottom w:val="single" w:sz="8" w:color="E5F1F8"/>
            </w:tcBorders>
            <w:shd w:val="clear" w:color="auto" w:fill="E5F1F8"/>
          </w:tcPr>
          <w:p>
            <w:pPr>
              <w:spacing w:after="0"/>
              <w:rPr>
                <w:sz w:val="21"/>
                <w:szCs w:val="21"/>
                <w:color w:val="auto"/>
              </w:rPr>
            </w:pPr>
          </w:p>
        </w:tc>
        <w:tc>
          <w:tcPr>
            <w:tcW w:w="660" w:type="dxa"/>
            <w:vAlign w:val="bottom"/>
            <w:tcBorders>
              <w:bottom w:val="single" w:sz="8" w:color="E5F1F8"/>
            </w:tcBorders>
            <w:shd w:val="clear" w:color="auto" w:fill="E5F1F8"/>
          </w:tcPr>
          <w:p>
            <w:pPr>
              <w:spacing w:after="0"/>
              <w:rPr>
                <w:sz w:val="21"/>
                <w:szCs w:val="21"/>
                <w:color w:val="auto"/>
              </w:rPr>
            </w:pPr>
          </w:p>
        </w:tc>
        <w:tc>
          <w:tcPr>
            <w:tcW w:w="600" w:type="dxa"/>
            <w:vAlign w:val="bottom"/>
            <w:tcBorders>
              <w:bottom w:val="single" w:sz="8" w:color="E5F1F8"/>
            </w:tcBorders>
            <w:shd w:val="clear" w:color="auto" w:fill="E5F1F8"/>
          </w:tcPr>
          <w:p>
            <w:pPr>
              <w:spacing w:after="0"/>
              <w:rPr>
                <w:sz w:val="21"/>
                <w:szCs w:val="21"/>
                <w:color w:val="auto"/>
              </w:rPr>
            </w:pPr>
          </w:p>
        </w:tc>
        <w:tc>
          <w:tcPr>
            <w:tcW w:w="440" w:type="dxa"/>
            <w:vAlign w:val="bottom"/>
            <w:tcBorders>
              <w:bottom w:val="single" w:sz="8" w:color="E5F1F8"/>
            </w:tcBorders>
            <w:shd w:val="clear" w:color="auto" w:fill="E5F1F8"/>
          </w:tcPr>
          <w:p>
            <w:pPr>
              <w:spacing w:after="0"/>
              <w:rPr>
                <w:sz w:val="21"/>
                <w:szCs w:val="21"/>
                <w:color w:val="auto"/>
              </w:rPr>
            </w:pPr>
          </w:p>
        </w:tc>
        <w:tc>
          <w:tcPr>
            <w:tcW w:w="300" w:type="dxa"/>
            <w:vAlign w:val="bottom"/>
            <w:tcBorders>
              <w:bottom w:val="single" w:sz="8" w:color="E5F1F8"/>
            </w:tcBorders>
            <w:shd w:val="clear" w:color="auto" w:fill="E5F1F8"/>
          </w:tcPr>
          <w:p>
            <w:pPr>
              <w:spacing w:after="0"/>
              <w:rPr>
                <w:sz w:val="21"/>
                <w:szCs w:val="21"/>
                <w:color w:val="auto"/>
              </w:rPr>
            </w:pPr>
          </w:p>
        </w:tc>
        <w:tc>
          <w:tcPr>
            <w:tcW w:w="880" w:type="dxa"/>
            <w:vAlign w:val="bottom"/>
            <w:tcBorders>
              <w:bottom w:val="single" w:sz="8" w:color="E5F1F8"/>
            </w:tcBorders>
            <w:shd w:val="clear" w:color="auto" w:fill="E5F1F8"/>
          </w:tcPr>
          <w:p>
            <w:pPr>
              <w:spacing w:after="0"/>
              <w:rPr>
                <w:sz w:val="21"/>
                <w:szCs w:val="21"/>
                <w:color w:val="auto"/>
              </w:rPr>
            </w:pPr>
          </w:p>
        </w:tc>
        <w:tc>
          <w:tcPr>
            <w:tcW w:w="740" w:type="dxa"/>
            <w:vAlign w:val="bottom"/>
            <w:tcBorders>
              <w:bottom w:val="single" w:sz="8" w:color="E5F1F8"/>
            </w:tcBorders>
            <w:shd w:val="clear" w:color="auto" w:fill="E5F1F8"/>
          </w:tcPr>
          <w:p>
            <w:pPr>
              <w:spacing w:after="0"/>
              <w:rPr>
                <w:sz w:val="21"/>
                <w:szCs w:val="21"/>
                <w:color w:val="auto"/>
              </w:rPr>
            </w:pPr>
          </w:p>
        </w:tc>
        <w:tc>
          <w:tcPr>
            <w:tcW w:w="840" w:type="dxa"/>
            <w:vAlign w:val="bottom"/>
            <w:tcBorders>
              <w:bottom w:val="single" w:sz="8" w:color="E5F1F8"/>
            </w:tcBorders>
            <w:shd w:val="clear" w:color="auto" w:fill="E5F1F8"/>
          </w:tcPr>
          <w:p>
            <w:pPr>
              <w:spacing w:after="0"/>
              <w:rPr>
                <w:sz w:val="21"/>
                <w:szCs w:val="21"/>
                <w:color w:val="auto"/>
              </w:rPr>
            </w:pPr>
          </w:p>
        </w:tc>
        <w:tc>
          <w:tcPr>
            <w:tcW w:w="760" w:type="dxa"/>
            <w:vAlign w:val="bottom"/>
            <w:tcBorders>
              <w:bottom w:val="single" w:sz="8" w:color="E5F1F8"/>
            </w:tcBorders>
            <w:shd w:val="clear" w:color="auto" w:fill="E5F1F8"/>
          </w:tcPr>
          <w:p>
            <w:pPr>
              <w:spacing w:after="0"/>
              <w:rPr>
                <w:sz w:val="21"/>
                <w:szCs w:val="21"/>
                <w:color w:val="auto"/>
              </w:rPr>
            </w:pPr>
          </w:p>
        </w:tc>
        <w:tc>
          <w:tcPr>
            <w:tcW w:w="580" w:type="dxa"/>
            <w:vAlign w:val="bottom"/>
            <w:tcBorders>
              <w:bottom w:val="single" w:sz="8" w:color="E5F1F8"/>
            </w:tcBorders>
            <w:shd w:val="clear" w:color="auto" w:fill="E5F1F8"/>
          </w:tcPr>
          <w:p>
            <w:pPr>
              <w:spacing w:after="0"/>
              <w:rPr>
                <w:sz w:val="21"/>
                <w:szCs w:val="21"/>
                <w:color w:val="auto"/>
              </w:rPr>
            </w:pPr>
          </w:p>
        </w:tc>
        <w:tc>
          <w:tcPr>
            <w:tcW w:w="640" w:type="dxa"/>
            <w:vAlign w:val="bottom"/>
            <w:tcBorders>
              <w:bottom w:val="single" w:sz="8" w:color="E5F1F8"/>
            </w:tcBorders>
            <w:shd w:val="clear" w:color="auto" w:fill="E5F1F8"/>
          </w:tcPr>
          <w:p>
            <w:pPr>
              <w:spacing w:after="0"/>
              <w:rPr>
                <w:sz w:val="21"/>
                <w:szCs w:val="21"/>
                <w:color w:val="auto"/>
              </w:rPr>
            </w:pPr>
          </w:p>
        </w:tc>
        <w:tc>
          <w:tcPr>
            <w:tcW w:w="740" w:type="dxa"/>
            <w:vAlign w:val="bottom"/>
            <w:tcBorders>
              <w:bottom w:val="single" w:sz="8" w:color="E5F1F8"/>
            </w:tcBorders>
            <w:shd w:val="clear" w:color="auto" w:fill="E5F1F8"/>
          </w:tcPr>
          <w:p>
            <w:pPr>
              <w:spacing w:after="0"/>
              <w:rPr>
                <w:sz w:val="21"/>
                <w:szCs w:val="21"/>
                <w:color w:val="auto"/>
              </w:rPr>
            </w:pPr>
          </w:p>
        </w:tc>
      </w:tr>
      <w:tr>
        <w:trPr>
          <w:trHeight w:val="167"/>
        </w:trPr>
        <w:tc>
          <w:tcPr>
            <w:tcW w:w="2320" w:type="dxa"/>
            <w:vAlign w:val="bottom"/>
          </w:tcPr>
          <w:p>
            <w:pPr>
              <w:spacing w:after="0"/>
              <w:rPr>
                <w:sz w:val="14"/>
                <w:szCs w:val="14"/>
                <w:color w:val="auto"/>
              </w:rPr>
            </w:pPr>
          </w:p>
        </w:tc>
        <w:tc>
          <w:tcPr>
            <w:tcW w:w="500" w:type="dxa"/>
            <w:vAlign w:val="bottom"/>
          </w:tcPr>
          <w:p>
            <w:pPr>
              <w:ind w:left="20"/>
              <w:spacing w:after="0" w:line="166" w:lineRule="exact"/>
              <w:rPr>
                <w:sz w:val="20"/>
                <w:szCs w:val="20"/>
                <w:color w:val="auto"/>
              </w:rPr>
            </w:pPr>
            <w:r>
              <w:rPr>
                <w:rFonts w:ascii="Calibri" w:cs="Calibri" w:eastAsia="Calibri" w:hAnsi="Calibri"/>
                <w:sz w:val="18"/>
                <w:szCs w:val="18"/>
                <w:color w:val="auto"/>
              </w:rPr>
              <w:t>25013</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5"/>
        </w:trPr>
        <w:tc>
          <w:tcPr>
            <w:tcW w:w="2320" w:type="dxa"/>
            <w:vAlign w:val="bottom"/>
          </w:tcPr>
          <w:p>
            <w:pPr>
              <w:ind w:left="20"/>
              <w:spacing w:after="0" w:line="215" w:lineRule="exact"/>
              <w:rPr>
                <w:sz w:val="20"/>
                <w:szCs w:val="20"/>
                <w:color w:val="auto"/>
              </w:rPr>
            </w:pPr>
            <w:r>
              <w:rPr>
                <w:rFonts w:ascii="Calibri" w:cs="Calibri" w:eastAsia="Calibri" w:hAnsi="Calibri"/>
                <w:sz w:val="18"/>
                <w:szCs w:val="18"/>
                <w:color w:val="auto"/>
              </w:rPr>
              <w:t>Fort Calhoun Mine UG</w:t>
            </w:r>
          </w:p>
        </w:tc>
        <w:tc>
          <w:tcPr>
            <w:tcW w:w="500" w:type="dxa"/>
            <w:vAlign w:val="bottom"/>
          </w:tcPr>
          <w:p>
            <w:pPr>
              <w:ind w:left="20"/>
              <w:spacing w:after="0" w:line="215" w:lineRule="exact"/>
              <w:rPr>
                <w:sz w:val="20"/>
                <w:szCs w:val="20"/>
                <w:color w:val="auto"/>
              </w:rPr>
            </w:pPr>
            <w:r>
              <w:rPr>
                <w:rFonts w:ascii="Calibri" w:cs="Calibri" w:eastAsia="Calibri" w:hAnsi="Calibri"/>
                <w:sz w:val="18"/>
                <w:szCs w:val="18"/>
                <w:color w:val="auto"/>
              </w:rPr>
              <w:t>00</w:t>
            </w:r>
          </w:p>
        </w:tc>
        <w:tc>
          <w:tcPr>
            <w:tcW w:w="64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4</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24,950</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2</w:t>
            </w:r>
          </w:p>
        </w:tc>
        <w:tc>
          <w:tcPr>
            <w:tcW w:w="64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2</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r>
      <w:tr>
        <w:trPr>
          <w:trHeight w:val="1192"/>
        </w:trPr>
        <w:tc>
          <w:tcPr>
            <w:tcW w:w="2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2743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0"/>
        </w:trPr>
        <w:tc>
          <w:tcPr>
            <w:tcW w:w="2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center"/>
              <w:ind w:left="30"/>
              <w:spacing w:after="0"/>
              <w:rPr>
                <w:sz w:val="20"/>
                <w:szCs w:val="20"/>
                <w:color w:val="auto"/>
              </w:rPr>
            </w:pPr>
            <w:r>
              <w:rPr>
                <w:rFonts w:ascii="Calibri" w:cs="Calibri" w:eastAsia="Calibri" w:hAnsi="Calibri"/>
                <w:sz w:val="18"/>
                <w:szCs w:val="18"/>
                <w:color w:val="auto"/>
                <w:w w:val="97"/>
              </w:rPr>
              <w:t>Appendix 1</w:t>
            </w:r>
          </w:p>
        </w:tc>
      </w:tr>
      <w:tr>
        <w:trPr>
          <w:trHeight w:val="455"/>
        </w:trPr>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13000</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Fort Dodge Mine</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32</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2,103</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23001</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Greenwood Quarry  New</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41</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15000</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Harlan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71</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15000</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Hartord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95</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427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13021</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Iowa Grading Plant 854</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26</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13023</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Iowa Grading 2</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16</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12025</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w w:val="99"/>
              </w:rPr>
              <w:t>Johnson County Sand &amp; Gravel</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06</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12017</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Kentucky Ave Mine</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62</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8</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92,011</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3</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12021</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Kokomo Mine UG</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05</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3</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1,642</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12022</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Kokomo Sand</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03</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701</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12001</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Kokomo Stone (Surface)</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42</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6</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4,536</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1</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40030</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****Lebanon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12</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13022</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Linn County Sand</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08</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13001</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Malcom Mine</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12</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336</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00A23</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Midwest Division OH</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54</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21011</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MN Portable # 1</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12</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21015</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MN Portable # 2</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93</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441</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21031</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MN Portable # 3</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47</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21032</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MN Portable # 4</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87</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21011</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MN Portable # 5</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10</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21031</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MN Portable # 6</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20</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21033</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MN Portable # 7</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55</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21018</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MN Portable # 8</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43</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21036</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MN Reclamaton</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90</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13021</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Moore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88</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40000</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****Murfreesboro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53</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33043</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New Miami Plant</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83</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164</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12019</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Noblesville Sand</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94</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826</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12021</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Noblesville Stone</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76</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7</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19,985</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1</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12019</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North Indianapolis Quarry</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93</w:t>
            </w:r>
          </w:p>
        </w:tc>
        <w:tc>
          <w:tcPr>
            <w:tcW w:w="54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12</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18,796</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25012</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North Valley Sand</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71</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14015</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Otawa Quarry New</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90</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13021</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Pedersen Quarry</w:t>
            </w:r>
          </w:p>
        </w:tc>
        <w:tc>
          <w:tcPr>
            <w:tcW w:w="680" w:type="dxa"/>
            <w:vAlign w:val="bottom"/>
            <w:tcBorders>
              <w:bottom w:val="single" w:sz="8" w:color="E5F1F8"/>
            </w:tcBorders>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92</w:t>
            </w:r>
          </w:p>
        </w:tc>
        <w:tc>
          <w:tcPr>
            <w:tcW w:w="540" w:type="dxa"/>
            <w:vAlign w:val="bottom"/>
            <w:tcBorders>
              <w:bottom w:val="single" w:sz="8" w:color="E5F1F8"/>
            </w:tcBorders>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60" w:type="dxa"/>
            <w:vAlign w:val="bottom"/>
          </w:tcPr>
          <w:p>
            <w:pPr>
              <w:spacing w:after="0"/>
              <w:rPr>
                <w:sz w:val="16"/>
                <w:szCs w:val="16"/>
                <w:color w:val="auto"/>
              </w:rPr>
            </w:pPr>
          </w:p>
        </w:tc>
        <w:tc>
          <w:tcPr>
            <w:tcW w:w="680" w:type="dxa"/>
            <w:vAlign w:val="bottom"/>
          </w:tcPr>
          <w:p>
            <w:pPr>
              <w:ind w:left="80"/>
              <w:spacing w:after="0" w:line="194" w:lineRule="exact"/>
              <w:rPr>
                <w:sz w:val="20"/>
                <w:szCs w:val="20"/>
                <w:color w:val="auto"/>
              </w:rPr>
            </w:pPr>
            <w:r>
              <w:rPr>
                <w:rFonts w:ascii="Calibri" w:cs="Calibri" w:eastAsia="Calibri" w:hAnsi="Calibri"/>
                <w:sz w:val="18"/>
                <w:szCs w:val="18"/>
                <w:color w:val="auto"/>
              </w:rPr>
              <w:t>12023</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60" w:type="dxa"/>
            <w:vAlign w:val="bottom"/>
          </w:tcPr>
          <w:p>
            <w:pPr>
              <w:ind w:left="20"/>
              <w:spacing w:after="0" w:line="215" w:lineRule="exact"/>
              <w:rPr>
                <w:sz w:val="20"/>
                <w:szCs w:val="20"/>
                <w:color w:val="auto"/>
              </w:rPr>
            </w:pPr>
            <w:r>
              <w:rPr>
                <w:rFonts w:ascii="Calibri" w:cs="Calibri" w:eastAsia="Calibri" w:hAnsi="Calibri"/>
                <w:sz w:val="18"/>
                <w:szCs w:val="18"/>
                <w:color w:val="auto"/>
              </w:rPr>
              <w:t>Perkinsville Sand &amp; Gravel</w:t>
            </w:r>
          </w:p>
        </w:tc>
        <w:tc>
          <w:tcPr>
            <w:tcW w:w="680" w:type="dxa"/>
            <w:vAlign w:val="bottom"/>
          </w:tcPr>
          <w:p>
            <w:pPr>
              <w:ind w:left="80"/>
              <w:spacing w:after="0" w:line="215" w:lineRule="exact"/>
              <w:rPr>
                <w:sz w:val="20"/>
                <w:szCs w:val="20"/>
                <w:color w:val="auto"/>
              </w:rPr>
            </w:pPr>
            <w:r>
              <w:rPr>
                <w:rFonts w:ascii="Calibri" w:cs="Calibri" w:eastAsia="Calibri" w:hAnsi="Calibri"/>
                <w:sz w:val="18"/>
                <w:szCs w:val="18"/>
                <w:color w:val="auto"/>
              </w:rPr>
              <w:t>78</w:t>
            </w:r>
          </w:p>
        </w:tc>
        <w:tc>
          <w:tcPr>
            <w:tcW w:w="540" w:type="dxa"/>
            <w:vAlign w:val="bottom"/>
          </w:tcPr>
          <w:p>
            <w:pPr>
              <w:jc w:val="center"/>
              <w:ind w:right="10"/>
              <w:spacing w:after="0" w:line="215" w:lineRule="exact"/>
              <w:rPr>
                <w:sz w:val="20"/>
                <w:szCs w:val="20"/>
                <w:color w:val="auto"/>
              </w:rPr>
            </w:pPr>
            <w:r>
              <w:rPr>
                <w:rFonts w:ascii="Calibri" w:cs="Calibri" w:eastAsia="Calibri" w:hAnsi="Calibri"/>
                <w:sz w:val="18"/>
                <w:szCs w:val="18"/>
                <w:color w:val="auto"/>
                <w:w w:val="87"/>
              </w:rPr>
              <w:t>2</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60" w:type="dxa"/>
            <w:vAlign w:val="bottom"/>
            <w:shd w:val="clear" w:color="auto" w:fill="E5F1F8"/>
          </w:tcPr>
          <w:p>
            <w:pPr>
              <w:spacing w:after="0"/>
              <w:rPr>
                <w:sz w:val="16"/>
                <w:szCs w:val="16"/>
                <w:color w:val="auto"/>
              </w:rPr>
            </w:pPr>
          </w:p>
        </w:tc>
        <w:tc>
          <w:tcPr>
            <w:tcW w:w="680" w:type="dxa"/>
            <w:vAlign w:val="bottom"/>
            <w:shd w:val="clear" w:color="auto" w:fill="E5F1F8"/>
          </w:tcPr>
          <w:p>
            <w:pPr>
              <w:ind w:left="80"/>
              <w:spacing w:after="0" w:line="194" w:lineRule="exact"/>
              <w:rPr>
                <w:sz w:val="20"/>
                <w:szCs w:val="20"/>
                <w:color w:val="auto"/>
              </w:rPr>
            </w:pPr>
            <w:r>
              <w:rPr>
                <w:rFonts w:ascii="Calibri" w:cs="Calibri" w:eastAsia="Calibri" w:hAnsi="Calibri"/>
                <w:sz w:val="18"/>
                <w:szCs w:val="18"/>
                <w:color w:val="auto"/>
              </w:rPr>
              <w:t>15168</w:t>
            </w:r>
          </w:p>
        </w:tc>
        <w:tc>
          <w:tcPr>
            <w:tcW w:w="54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5"/>
        </w:trPr>
        <w:tc>
          <w:tcPr>
            <w:tcW w:w="2260" w:type="dxa"/>
            <w:vAlign w:val="bottom"/>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Petersburg Ky Gravel</w:t>
            </w:r>
          </w:p>
        </w:tc>
        <w:tc>
          <w:tcPr>
            <w:tcW w:w="680" w:type="dxa"/>
            <w:vAlign w:val="bottom"/>
            <w:shd w:val="clear" w:color="auto" w:fill="E5F1F8"/>
          </w:tcPr>
          <w:p>
            <w:pPr>
              <w:ind w:left="80"/>
              <w:spacing w:after="0" w:line="215" w:lineRule="exact"/>
              <w:rPr>
                <w:sz w:val="20"/>
                <w:szCs w:val="20"/>
                <w:color w:val="auto"/>
              </w:rPr>
            </w:pPr>
            <w:r>
              <w:rPr>
                <w:rFonts w:ascii="Calibri" w:cs="Calibri" w:eastAsia="Calibri" w:hAnsi="Calibri"/>
                <w:sz w:val="18"/>
                <w:szCs w:val="18"/>
                <w:color w:val="auto"/>
              </w:rPr>
              <w:t>95</w:t>
            </w:r>
          </w:p>
        </w:tc>
        <w:tc>
          <w:tcPr>
            <w:tcW w:w="540" w:type="dxa"/>
            <w:vAlign w:val="bottom"/>
            <w:shd w:val="clear" w:color="auto" w:fill="E5F1F8"/>
          </w:tcPr>
          <w:p>
            <w:pPr>
              <w:jc w:val="center"/>
              <w:ind w:right="10"/>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60" w:type="dxa"/>
            <w:vAlign w:val="bottom"/>
            <w:shd w:val="clear" w:color="auto" w:fill="E5F1F8"/>
          </w:tcPr>
          <w:p>
            <w:pPr>
              <w:spacing w:after="0"/>
              <w:rPr>
                <w:sz w:val="2"/>
                <w:szCs w:val="2"/>
                <w:color w:val="auto"/>
              </w:rPr>
            </w:pPr>
          </w:p>
        </w:tc>
        <w:tc>
          <w:tcPr>
            <w:tcW w:w="680" w:type="dxa"/>
            <w:vAlign w:val="bottom"/>
            <w:shd w:val="clear" w:color="auto" w:fill="E5F1F8"/>
          </w:tcPr>
          <w:p>
            <w:pPr>
              <w:spacing w:after="0"/>
              <w:rPr>
                <w:sz w:val="2"/>
                <w:szCs w:val="2"/>
                <w:color w:val="auto"/>
              </w:rPr>
            </w:pPr>
          </w:p>
        </w:tc>
        <w:tc>
          <w:tcPr>
            <w:tcW w:w="540" w:type="dxa"/>
            <w:vAlign w:val="bottom"/>
            <w:shd w:val="clear" w:color="auto" w:fill="E5F1F8"/>
          </w:tcPr>
          <w:p>
            <w:pPr>
              <w:spacing w:after="0"/>
              <w:rPr>
                <w:sz w:val="2"/>
                <w:szCs w:val="2"/>
                <w:color w:val="auto"/>
              </w:rPr>
            </w:pPr>
          </w:p>
        </w:tc>
        <w:tc>
          <w:tcPr>
            <w:tcW w:w="580" w:type="dxa"/>
            <w:vAlign w:val="bottom"/>
            <w:shd w:val="clear" w:color="auto" w:fill="E5F1F8"/>
          </w:tcPr>
          <w:p>
            <w:pPr>
              <w:spacing w:after="0"/>
              <w:rPr>
                <w:sz w:val="2"/>
                <w:szCs w:val="2"/>
                <w:color w:val="auto"/>
              </w:rPr>
            </w:pPr>
          </w:p>
        </w:tc>
        <w:tc>
          <w:tcPr>
            <w:tcW w:w="660" w:type="dxa"/>
            <w:vAlign w:val="bottom"/>
            <w:shd w:val="clear" w:color="auto" w:fill="E5F1F8"/>
          </w:tcPr>
          <w:p>
            <w:pPr>
              <w:spacing w:after="0"/>
              <w:rPr>
                <w:sz w:val="2"/>
                <w:szCs w:val="2"/>
                <w:color w:val="auto"/>
              </w:rPr>
            </w:pPr>
          </w:p>
        </w:tc>
        <w:tc>
          <w:tcPr>
            <w:tcW w:w="600" w:type="dxa"/>
            <w:vAlign w:val="bottom"/>
            <w:shd w:val="clear" w:color="auto" w:fill="E5F1F8"/>
          </w:tcPr>
          <w:p>
            <w:pPr>
              <w:spacing w:after="0"/>
              <w:rPr>
                <w:sz w:val="2"/>
                <w:szCs w:val="2"/>
                <w:color w:val="auto"/>
              </w:rPr>
            </w:pPr>
          </w:p>
        </w:tc>
        <w:tc>
          <w:tcPr>
            <w:tcW w:w="440" w:type="dxa"/>
            <w:vAlign w:val="bottom"/>
            <w:shd w:val="clear" w:color="auto" w:fill="E5F1F8"/>
          </w:tcPr>
          <w:p>
            <w:pPr>
              <w:spacing w:after="0"/>
              <w:rPr>
                <w:sz w:val="2"/>
                <w:szCs w:val="2"/>
                <w:color w:val="auto"/>
              </w:rPr>
            </w:pPr>
          </w:p>
        </w:tc>
        <w:tc>
          <w:tcPr>
            <w:tcW w:w="300" w:type="dxa"/>
            <w:vAlign w:val="bottom"/>
            <w:shd w:val="clear" w:color="auto" w:fill="E5F1F8"/>
          </w:tcPr>
          <w:p>
            <w:pPr>
              <w:spacing w:after="0"/>
              <w:rPr>
                <w:sz w:val="2"/>
                <w:szCs w:val="2"/>
                <w:color w:val="auto"/>
              </w:rPr>
            </w:pPr>
          </w:p>
        </w:tc>
        <w:tc>
          <w:tcPr>
            <w:tcW w:w="880" w:type="dxa"/>
            <w:vAlign w:val="bottom"/>
            <w:shd w:val="clear" w:color="auto" w:fill="E5F1F8"/>
          </w:tcPr>
          <w:p>
            <w:pPr>
              <w:spacing w:after="0"/>
              <w:rPr>
                <w:sz w:val="2"/>
                <w:szCs w:val="2"/>
                <w:color w:val="auto"/>
              </w:rPr>
            </w:pPr>
          </w:p>
        </w:tc>
        <w:tc>
          <w:tcPr>
            <w:tcW w:w="740" w:type="dxa"/>
            <w:vAlign w:val="bottom"/>
            <w:shd w:val="clear" w:color="auto" w:fill="E5F1F8"/>
          </w:tcPr>
          <w:p>
            <w:pPr>
              <w:spacing w:after="0"/>
              <w:rPr>
                <w:sz w:val="2"/>
                <w:szCs w:val="2"/>
                <w:color w:val="auto"/>
              </w:rPr>
            </w:pPr>
          </w:p>
        </w:tc>
        <w:tc>
          <w:tcPr>
            <w:tcW w:w="840" w:type="dxa"/>
            <w:vAlign w:val="bottom"/>
            <w:shd w:val="clear" w:color="auto" w:fill="E5F1F8"/>
          </w:tcPr>
          <w:p>
            <w:pPr>
              <w:spacing w:after="0"/>
              <w:rPr>
                <w:sz w:val="2"/>
                <w:szCs w:val="2"/>
                <w:color w:val="auto"/>
              </w:rPr>
            </w:pPr>
          </w:p>
        </w:tc>
        <w:tc>
          <w:tcPr>
            <w:tcW w:w="760" w:type="dxa"/>
            <w:vAlign w:val="bottom"/>
            <w:shd w:val="clear" w:color="auto" w:fill="E5F1F8"/>
          </w:tcPr>
          <w:p>
            <w:pPr>
              <w:spacing w:after="0"/>
              <w:rPr>
                <w:sz w:val="2"/>
                <w:szCs w:val="2"/>
                <w:color w:val="auto"/>
              </w:rPr>
            </w:pPr>
          </w:p>
        </w:tc>
        <w:tc>
          <w:tcPr>
            <w:tcW w:w="580" w:type="dxa"/>
            <w:vAlign w:val="bottom"/>
            <w:shd w:val="clear" w:color="auto" w:fill="E5F1F8"/>
          </w:tcPr>
          <w:p>
            <w:pPr>
              <w:spacing w:after="0"/>
              <w:rPr>
                <w:sz w:val="2"/>
                <w:szCs w:val="2"/>
                <w:color w:val="auto"/>
              </w:rPr>
            </w:pPr>
          </w:p>
        </w:tc>
        <w:tc>
          <w:tcPr>
            <w:tcW w:w="460" w:type="dxa"/>
            <w:vAlign w:val="bottom"/>
            <w:shd w:val="clear" w:color="auto" w:fill="E5F1F8"/>
          </w:tcPr>
          <w:p>
            <w:pPr>
              <w:spacing w:after="0"/>
              <w:rPr>
                <w:sz w:val="2"/>
                <w:szCs w:val="2"/>
                <w:color w:val="auto"/>
              </w:rPr>
            </w:pPr>
          </w:p>
        </w:tc>
        <w:tc>
          <w:tcPr>
            <w:tcW w:w="920" w:type="dxa"/>
            <w:vAlign w:val="bottom"/>
            <w:shd w:val="clear" w:color="auto" w:fill="E5F1F8"/>
          </w:tcPr>
          <w:p>
            <w:pPr>
              <w:spacing w:after="0"/>
              <w:rPr>
                <w:sz w:val="2"/>
                <w:szCs w:val="2"/>
                <w:color w:val="auto"/>
              </w:rPr>
            </w:pPr>
          </w:p>
        </w:tc>
      </w:tr>
    </w:tbl>
    <w:p>
      <w:pPr>
        <w:sectPr>
          <w:pgSz w:w="11900" w:h="16838" w:orient="portrait"/>
          <w:cols w:equalWidth="0" w:num="1">
            <w:col w:w="11240"/>
          </w:cols>
          <w:pgMar w:left="320" w:top="760" w:right="339" w:bottom="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60" w:type="dxa"/>
            <w:vAlign w:val="bottom"/>
          </w:tcPr>
          <w:p>
            <w:pPr>
              <w:ind w:left="20"/>
              <w:spacing w:after="0"/>
              <w:rPr>
                <w:sz w:val="20"/>
                <w:szCs w:val="20"/>
                <w:color w:val="auto"/>
              </w:rPr>
            </w:pPr>
            <w:r>
              <w:rPr>
                <w:rFonts w:ascii="Calibri" w:cs="Calibri" w:eastAsia="Calibri" w:hAnsi="Calibri"/>
                <w:sz w:val="18"/>
                <w:szCs w:val="18"/>
                <w:color w:val="auto"/>
              </w:rPr>
              <w:t>Phillipsburg Quarry</w:t>
            </w:r>
          </w:p>
        </w:tc>
        <w:tc>
          <w:tcPr>
            <w:tcW w:w="1080" w:type="dxa"/>
            <w:vAlign w:val="bottom"/>
          </w:tcPr>
          <w:p>
            <w:pPr>
              <w:ind w:left="480"/>
              <w:spacing w:after="0"/>
              <w:rPr>
                <w:sz w:val="20"/>
                <w:szCs w:val="20"/>
                <w:color w:val="auto"/>
              </w:rPr>
            </w:pPr>
            <w:r>
              <w:rPr>
                <w:rFonts w:ascii="Calibri" w:cs="Calibri" w:eastAsia="Calibri" w:hAnsi="Calibri"/>
                <w:sz w:val="18"/>
                <w:szCs w:val="18"/>
                <w:color w:val="auto"/>
              </w:rPr>
              <w:t>33000</w:t>
            </w:r>
          </w:p>
        </w:tc>
        <w:tc>
          <w:tcPr>
            <w:tcW w:w="520" w:type="dxa"/>
            <w:vAlign w:val="bottom"/>
          </w:tcPr>
          <w:p>
            <w:pPr>
              <w:jc w:val="right"/>
              <w:ind w:right="170"/>
              <w:spacing w:after="0"/>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rPr>
                <w:sz w:val="20"/>
                <w:szCs w:val="20"/>
                <w:color w:val="auto"/>
              </w:rPr>
            </w:pPr>
            <w:r>
              <w:rPr>
                <w:rFonts w:ascii="Calibri" w:cs="Calibri" w:eastAsia="Calibri" w:hAnsi="Calibri"/>
                <w:sz w:val="18"/>
                <w:szCs w:val="18"/>
                <w:color w:val="auto"/>
              </w:rPr>
              <w:t>0</w:t>
            </w:r>
          </w:p>
        </w:tc>
        <w:tc>
          <w:tcPr>
            <w:tcW w:w="420" w:type="dxa"/>
            <w:vAlign w:val="bottom"/>
          </w:tcPr>
          <w:p>
            <w:pPr>
              <w:jc w:val="right"/>
              <w:ind w:right="130"/>
              <w:spacing w:after="0"/>
              <w:rPr>
                <w:sz w:val="20"/>
                <w:szCs w:val="20"/>
                <w:color w:val="auto"/>
              </w:rPr>
            </w:pPr>
            <w:r>
              <w:rPr>
                <w:rFonts w:ascii="Calibri" w:cs="Calibri" w:eastAsia="Calibri" w:hAnsi="Calibri"/>
                <w:sz w:val="18"/>
                <w:szCs w:val="18"/>
                <w:b w:val="1"/>
                <w:bCs w:val="1"/>
                <w:color w:val="auto"/>
              </w:rPr>
              <w:t>$</w:t>
            </w:r>
          </w:p>
        </w:tc>
        <w:tc>
          <w:tcPr>
            <w:tcW w:w="760" w:type="dxa"/>
            <w:vAlign w:val="bottom"/>
          </w:tcPr>
          <w:p>
            <w:pPr>
              <w:jc w:val="right"/>
              <w:ind w:right="190"/>
              <w:spacing w:after="0"/>
              <w:rPr>
                <w:sz w:val="20"/>
                <w:szCs w:val="20"/>
                <w:color w:val="auto"/>
              </w:rPr>
            </w:pPr>
            <w:r>
              <w:rPr>
                <w:rFonts w:ascii="Calibri" w:cs="Calibri" w:eastAsia="Calibri" w:hAnsi="Calibri"/>
                <w:sz w:val="18"/>
                <w:szCs w:val="18"/>
                <w:b w:val="1"/>
                <w:bCs w:val="1"/>
                <w:color w:val="auto"/>
              </w:rPr>
              <w:t>294</w:t>
            </w:r>
          </w:p>
        </w:tc>
        <w:tc>
          <w:tcPr>
            <w:tcW w:w="740" w:type="dxa"/>
            <w:vAlign w:val="bottom"/>
          </w:tcPr>
          <w:p>
            <w:pPr>
              <w:jc w:val="right"/>
              <w:ind w:right="270"/>
              <w:spacing w:after="0"/>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rPr>
                <w:sz w:val="20"/>
                <w:szCs w:val="20"/>
                <w:color w:val="auto"/>
              </w:rPr>
            </w:pPr>
            <w:r>
              <w:rPr>
                <w:rFonts w:ascii="Calibri" w:cs="Calibri" w:eastAsia="Calibri" w:hAnsi="Calibri"/>
                <w:sz w:val="18"/>
                <w:szCs w:val="18"/>
                <w:color w:val="auto"/>
              </w:rPr>
              <w:t>0</w:t>
            </w:r>
          </w:p>
        </w:tc>
        <w:tc>
          <w:tcPr>
            <w:tcW w:w="640" w:type="dxa"/>
            <w:vAlign w:val="bottom"/>
          </w:tcPr>
          <w:p>
            <w:pPr>
              <w:jc w:val="right"/>
              <w:ind w:right="210"/>
              <w:spacing w:after="0"/>
              <w:rPr>
                <w:sz w:val="20"/>
                <w:szCs w:val="20"/>
                <w:color w:val="auto"/>
              </w:rPr>
            </w:pPr>
            <w:r>
              <w:rPr>
                <w:rFonts w:ascii="Calibri" w:cs="Calibri" w:eastAsia="Calibri" w:hAnsi="Calibri"/>
                <w:sz w:val="18"/>
                <w:szCs w:val="18"/>
                <w:color w:val="auto"/>
              </w:rPr>
              <w:t>0</w:t>
            </w:r>
          </w:p>
        </w:tc>
        <w:tc>
          <w:tcPr>
            <w:tcW w:w="740" w:type="dxa"/>
            <w:vAlign w:val="bottom"/>
          </w:tcPr>
          <w:p>
            <w:pPr>
              <w:jc w:val="right"/>
              <w:ind w:right="270"/>
              <w:spacing w:after="0"/>
              <w:rPr>
                <w:sz w:val="20"/>
                <w:szCs w:val="20"/>
                <w:color w:val="auto"/>
              </w:rPr>
            </w:pPr>
            <w:r>
              <w:rPr>
                <w:rFonts w:ascii="Calibri" w:cs="Calibri" w:eastAsia="Calibri" w:hAnsi="Calibri"/>
                <w:sz w:val="18"/>
                <w:szCs w:val="18"/>
                <w:color w:val="auto"/>
              </w:rPr>
              <w:t>0</w:t>
            </w:r>
          </w:p>
        </w:tc>
      </w:tr>
      <w:tr>
        <w:trPr>
          <w:trHeight w:val="215"/>
        </w:trPr>
        <w:tc>
          <w:tcPr>
            <w:tcW w:w="1860" w:type="dxa"/>
            <w:vAlign w:val="bottom"/>
          </w:tcPr>
          <w:p>
            <w:pPr>
              <w:spacing w:after="0"/>
              <w:rPr>
                <w:sz w:val="18"/>
                <w:szCs w:val="18"/>
                <w:color w:val="auto"/>
              </w:rPr>
            </w:pPr>
          </w:p>
        </w:tc>
        <w:tc>
          <w:tcPr>
            <w:tcW w:w="1080" w:type="dxa"/>
            <w:vAlign w:val="bottom"/>
          </w:tcPr>
          <w:p>
            <w:pPr>
              <w:ind w:left="480"/>
              <w:spacing w:after="0" w:line="215" w:lineRule="exact"/>
              <w:rPr>
                <w:sz w:val="20"/>
                <w:szCs w:val="20"/>
                <w:color w:val="auto"/>
              </w:rPr>
            </w:pPr>
            <w:r>
              <w:rPr>
                <w:rFonts w:ascii="Calibri" w:cs="Calibri" w:eastAsia="Calibri" w:hAnsi="Calibri"/>
                <w:sz w:val="18"/>
                <w:szCs w:val="18"/>
                <w:color w:val="auto"/>
              </w:rPr>
              <w:t>06</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191"/>
        </w:trPr>
        <w:tc>
          <w:tcPr>
            <w:tcW w:w="1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20"/>
        </w:trPr>
        <w:tc>
          <w:tcPr>
            <w:tcW w:w="2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center"/>
              <w:ind w:left="30"/>
              <w:spacing w:after="0"/>
              <w:rPr>
                <w:sz w:val="20"/>
                <w:szCs w:val="20"/>
                <w:color w:val="auto"/>
              </w:rPr>
            </w:pPr>
            <w:r>
              <w:rPr>
                <w:rFonts w:ascii="Calibri" w:cs="Calibri" w:eastAsia="Calibri" w:hAnsi="Calibri"/>
                <w:sz w:val="18"/>
                <w:szCs w:val="18"/>
                <w:color w:val="auto"/>
                <w:w w:val="97"/>
              </w:rPr>
              <w:t>Appendix 1</w:t>
            </w:r>
          </w:p>
        </w:tc>
      </w:tr>
      <w:tr>
        <w:trPr>
          <w:trHeight w:val="455"/>
        </w:trPr>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2120" w:type="dxa"/>
            <w:vAlign w:val="bottom"/>
            <w:shd w:val="clear" w:color="auto" w:fill="E5F1F8"/>
          </w:tcPr>
          <w:p>
            <w:pPr>
              <w:ind w:left="20"/>
              <w:spacing w:after="0" w:line="194" w:lineRule="exact"/>
              <w:rPr>
                <w:sz w:val="20"/>
                <w:szCs w:val="20"/>
                <w:color w:val="auto"/>
              </w:rPr>
            </w:pPr>
            <w:r>
              <w:rPr>
                <w:rFonts w:ascii="Calibri" w:cs="Calibri" w:eastAsia="Calibri" w:hAnsi="Calibri"/>
                <w:sz w:val="18"/>
                <w:szCs w:val="18"/>
                <w:color w:val="auto"/>
              </w:rPr>
              <w:t>Portland Quarry (Alden</w:t>
            </w: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13021</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Portable Wash)</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22</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12022</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Putnam Quarry</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42</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13023</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Raccoon River Sand</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15</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23023</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Randolph Mine</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08</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4</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5,018</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13008</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Reasnor Sand</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14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13022</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Saylorville Sand</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90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33040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Shamrock SG</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11</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40029</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****Smyrna Quarry</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40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33045</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Spring Valley Cook Rd SG</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34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721</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21000</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St Cloud Quarry</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81</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151</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23022</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Stamper Mine</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32</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2</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40034</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****Stones River Quarry</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15</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13000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Sully Mine</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63</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515</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14015</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Sunfower Qy  Co 61</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56</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33016</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Troy Gravel</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78</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25013</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Walterloo Sand</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14</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12020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Waverly Sand</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38</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25009</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Weeping Water Mine</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98</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11</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20,535</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25012</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West Center Sand</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31</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576</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33013</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Xenia Gravel</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93</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21000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Yellow Medicine Quarry</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33</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50092</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***Bennet Sand &amp; Gravel</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9</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441</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20252</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Clarkdale Sand &amp; Gravel</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487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40015</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Clayton</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9</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2</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2,456</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20317</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Coolidge Plant 65</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3</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368</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40475</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Eagle Valley Plant</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8</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48000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Granite Canyon Quarry</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18</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1,121</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50461</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Greeley 35th Sand Gravel</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3</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48000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Guernsey Quarry</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04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441</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20267</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Hassayampa</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9</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50095</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***Hatchery</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40176</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Hughson AGG &amp; HMA</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9</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spacing w:after="0"/>
              <w:rPr>
                <w:sz w:val="16"/>
                <w:szCs w:val="16"/>
                <w:color w:val="auto"/>
              </w:rPr>
            </w:pP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40183</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Irwindale Plant</w:t>
            </w:r>
          </w:p>
        </w:tc>
        <w:tc>
          <w:tcPr>
            <w:tcW w:w="800" w:type="dxa"/>
            <w:vAlign w:val="bottom"/>
            <w:tcBorders>
              <w:bottom w:val="single" w:sz="8" w:color="E5F1F8"/>
            </w:tcBorders>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8</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120" w:type="dxa"/>
            <w:vAlign w:val="bottom"/>
          </w:tcPr>
          <w:p>
            <w:pPr>
              <w:spacing w:after="0"/>
              <w:rPr>
                <w:sz w:val="16"/>
                <w:szCs w:val="16"/>
                <w:color w:val="auto"/>
              </w:rPr>
            </w:pPr>
          </w:p>
        </w:tc>
        <w:tc>
          <w:tcPr>
            <w:tcW w:w="800" w:type="dxa"/>
            <w:vAlign w:val="bottom"/>
          </w:tcPr>
          <w:p>
            <w:pPr>
              <w:ind w:left="220"/>
              <w:spacing w:after="0" w:line="194" w:lineRule="exact"/>
              <w:rPr>
                <w:sz w:val="20"/>
                <w:szCs w:val="20"/>
                <w:color w:val="auto"/>
              </w:rPr>
            </w:pPr>
            <w:r>
              <w:rPr>
                <w:rFonts w:ascii="Calibri" w:cs="Calibri" w:eastAsia="Calibri" w:hAnsi="Calibri"/>
                <w:sz w:val="18"/>
                <w:szCs w:val="18"/>
                <w:color w:val="auto"/>
              </w:rPr>
              <w:t>40268</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120" w:type="dxa"/>
            <w:vAlign w:val="bottom"/>
          </w:tcPr>
          <w:p>
            <w:pPr>
              <w:ind w:left="20"/>
              <w:spacing w:after="0" w:line="215" w:lineRule="exact"/>
              <w:rPr>
                <w:sz w:val="20"/>
                <w:szCs w:val="20"/>
                <w:color w:val="auto"/>
              </w:rPr>
            </w:pPr>
            <w:r>
              <w:rPr>
                <w:rFonts w:ascii="Calibri" w:cs="Calibri" w:eastAsia="Calibri" w:hAnsi="Calibri"/>
                <w:sz w:val="18"/>
                <w:szCs w:val="18"/>
                <w:color w:val="auto"/>
              </w:rPr>
              <w:t>Lakeside Vigilante Plant</w:t>
            </w:r>
          </w:p>
        </w:tc>
        <w:tc>
          <w:tcPr>
            <w:tcW w:w="800" w:type="dxa"/>
            <w:vAlign w:val="bottom"/>
          </w:tcPr>
          <w:p>
            <w:pPr>
              <w:ind w:left="220"/>
              <w:spacing w:after="0" w:line="215" w:lineRule="exact"/>
              <w:rPr>
                <w:sz w:val="20"/>
                <w:szCs w:val="20"/>
                <w:color w:val="auto"/>
              </w:rPr>
            </w:pPr>
            <w:r>
              <w:rPr>
                <w:rFonts w:ascii="Calibri" w:cs="Calibri" w:eastAsia="Calibri" w:hAnsi="Calibri"/>
                <w:sz w:val="18"/>
                <w:szCs w:val="18"/>
                <w:color w:val="auto"/>
              </w:rPr>
              <w:t>5</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308</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120" w:type="dxa"/>
            <w:vAlign w:val="bottom"/>
            <w:shd w:val="clear" w:color="auto" w:fill="E5F1F8"/>
          </w:tcPr>
          <w:p>
            <w:pPr>
              <w:ind w:left="20"/>
              <w:spacing w:after="0" w:line="194" w:lineRule="exact"/>
              <w:rPr>
                <w:sz w:val="20"/>
                <w:szCs w:val="20"/>
                <w:color w:val="auto"/>
              </w:rPr>
            </w:pPr>
            <w:r>
              <w:rPr>
                <w:rFonts w:ascii="Calibri" w:cs="Calibri" w:eastAsia="Calibri" w:hAnsi="Calibri"/>
                <w:sz w:val="18"/>
                <w:szCs w:val="18"/>
                <w:color w:val="auto"/>
              </w:rPr>
              <w:t>*****Maitri Road Sand &amp;</w:t>
            </w:r>
          </w:p>
        </w:tc>
        <w:tc>
          <w:tcPr>
            <w:tcW w:w="800" w:type="dxa"/>
            <w:vAlign w:val="bottom"/>
            <w:shd w:val="clear" w:color="auto" w:fill="E5F1F8"/>
          </w:tcPr>
          <w:p>
            <w:pPr>
              <w:ind w:left="220"/>
              <w:spacing w:after="0" w:line="194" w:lineRule="exact"/>
              <w:rPr>
                <w:sz w:val="20"/>
                <w:szCs w:val="20"/>
                <w:color w:val="auto"/>
              </w:rPr>
            </w:pPr>
            <w:r>
              <w:rPr>
                <w:rFonts w:ascii="Calibri" w:cs="Calibri" w:eastAsia="Calibri" w:hAnsi="Calibri"/>
                <w:sz w:val="18"/>
                <w:szCs w:val="18"/>
                <w:color w:val="auto"/>
              </w:rPr>
              <w:t>40415</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5"/>
        </w:trPr>
        <w:tc>
          <w:tcPr>
            <w:tcW w:w="2120" w:type="dxa"/>
            <w:vAlign w:val="bottom"/>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Gravel Oper</w:t>
            </w:r>
          </w:p>
        </w:tc>
        <w:tc>
          <w:tcPr>
            <w:tcW w:w="800" w:type="dxa"/>
            <w:vAlign w:val="bottom"/>
            <w:shd w:val="clear" w:color="auto" w:fill="E5F1F8"/>
          </w:tcPr>
          <w:p>
            <w:pPr>
              <w:ind w:left="220"/>
              <w:spacing w:after="0" w:line="215" w:lineRule="exact"/>
              <w:rPr>
                <w:sz w:val="20"/>
                <w:szCs w:val="20"/>
                <w:color w:val="auto"/>
              </w:rPr>
            </w:pPr>
            <w:r>
              <w:rPr>
                <w:rFonts w:ascii="Calibri" w:cs="Calibri" w:eastAsia="Calibri" w:hAnsi="Calibri"/>
                <w:sz w:val="18"/>
                <w:szCs w:val="18"/>
                <w:color w:val="auto"/>
              </w:rPr>
              <w:t>7</w:t>
            </w:r>
          </w:p>
        </w:tc>
        <w:tc>
          <w:tcPr>
            <w:tcW w:w="56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120" w:type="dxa"/>
            <w:vAlign w:val="bottom"/>
            <w:shd w:val="clear" w:color="auto" w:fill="E5F1F8"/>
          </w:tcPr>
          <w:p>
            <w:pPr>
              <w:spacing w:after="0"/>
              <w:rPr>
                <w:sz w:val="2"/>
                <w:szCs w:val="2"/>
                <w:color w:val="auto"/>
              </w:rPr>
            </w:pPr>
          </w:p>
        </w:tc>
        <w:tc>
          <w:tcPr>
            <w:tcW w:w="800" w:type="dxa"/>
            <w:vAlign w:val="bottom"/>
            <w:shd w:val="clear" w:color="auto" w:fill="E5F1F8"/>
          </w:tcPr>
          <w:p>
            <w:pPr>
              <w:spacing w:after="0"/>
              <w:rPr>
                <w:sz w:val="2"/>
                <w:szCs w:val="2"/>
                <w:color w:val="auto"/>
              </w:rPr>
            </w:pPr>
          </w:p>
        </w:tc>
        <w:tc>
          <w:tcPr>
            <w:tcW w:w="560" w:type="dxa"/>
            <w:vAlign w:val="bottom"/>
            <w:shd w:val="clear" w:color="auto" w:fill="E5F1F8"/>
          </w:tcPr>
          <w:p>
            <w:pPr>
              <w:spacing w:after="0"/>
              <w:rPr>
                <w:sz w:val="2"/>
                <w:szCs w:val="2"/>
                <w:color w:val="auto"/>
              </w:rPr>
            </w:pPr>
          </w:p>
        </w:tc>
        <w:tc>
          <w:tcPr>
            <w:tcW w:w="580" w:type="dxa"/>
            <w:vAlign w:val="bottom"/>
            <w:shd w:val="clear" w:color="auto" w:fill="E5F1F8"/>
          </w:tcPr>
          <w:p>
            <w:pPr>
              <w:spacing w:after="0"/>
              <w:rPr>
                <w:sz w:val="2"/>
                <w:szCs w:val="2"/>
                <w:color w:val="auto"/>
              </w:rPr>
            </w:pPr>
          </w:p>
        </w:tc>
        <w:tc>
          <w:tcPr>
            <w:tcW w:w="660" w:type="dxa"/>
            <w:vAlign w:val="bottom"/>
            <w:shd w:val="clear" w:color="auto" w:fill="E5F1F8"/>
          </w:tcPr>
          <w:p>
            <w:pPr>
              <w:spacing w:after="0"/>
              <w:rPr>
                <w:sz w:val="2"/>
                <w:szCs w:val="2"/>
                <w:color w:val="auto"/>
              </w:rPr>
            </w:pPr>
          </w:p>
        </w:tc>
        <w:tc>
          <w:tcPr>
            <w:tcW w:w="600" w:type="dxa"/>
            <w:vAlign w:val="bottom"/>
            <w:shd w:val="clear" w:color="auto" w:fill="E5F1F8"/>
          </w:tcPr>
          <w:p>
            <w:pPr>
              <w:spacing w:after="0"/>
              <w:rPr>
                <w:sz w:val="2"/>
                <w:szCs w:val="2"/>
                <w:color w:val="auto"/>
              </w:rPr>
            </w:pPr>
          </w:p>
        </w:tc>
        <w:tc>
          <w:tcPr>
            <w:tcW w:w="440" w:type="dxa"/>
            <w:vAlign w:val="bottom"/>
            <w:shd w:val="clear" w:color="auto" w:fill="E5F1F8"/>
          </w:tcPr>
          <w:p>
            <w:pPr>
              <w:spacing w:after="0"/>
              <w:rPr>
                <w:sz w:val="2"/>
                <w:szCs w:val="2"/>
                <w:color w:val="auto"/>
              </w:rPr>
            </w:pPr>
          </w:p>
        </w:tc>
        <w:tc>
          <w:tcPr>
            <w:tcW w:w="300" w:type="dxa"/>
            <w:vAlign w:val="bottom"/>
            <w:shd w:val="clear" w:color="auto" w:fill="E5F1F8"/>
          </w:tcPr>
          <w:p>
            <w:pPr>
              <w:spacing w:after="0"/>
              <w:rPr>
                <w:sz w:val="2"/>
                <w:szCs w:val="2"/>
                <w:color w:val="auto"/>
              </w:rPr>
            </w:pPr>
          </w:p>
        </w:tc>
        <w:tc>
          <w:tcPr>
            <w:tcW w:w="880" w:type="dxa"/>
            <w:vAlign w:val="bottom"/>
            <w:shd w:val="clear" w:color="auto" w:fill="E5F1F8"/>
          </w:tcPr>
          <w:p>
            <w:pPr>
              <w:spacing w:after="0"/>
              <w:rPr>
                <w:sz w:val="2"/>
                <w:szCs w:val="2"/>
                <w:color w:val="auto"/>
              </w:rPr>
            </w:pPr>
          </w:p>
        </w:tc>
        <w:tc>
          <w:tcPr>
            <w:tcW w:w="740" w:type="dxa"/>
            <w:vAlign w:val="bottom"/>
            <w:shd w:val="clear" w:color="auto" w:fill="E5F1F8"/>
          </w:tcPr>
          <w:p>
            <w:pPr>
              <w:spacing w:after="0"/>
              <w:rPr>
                <w:sz w:val="2"/>
                <w:szCs w:val="2"/>
                <w:color w:val="auto"/>
              </w:rPr>
            </w:pPr>
          </w:p>
        </w:tc>
        <w:tc>
          <w:tcPr>
            <w:tcW w:w="840" w:type="dxa"/>
            <w:vAlign w:val="bottom"/>
            <w:shd w:val="clear" w:color="auto" w:fill="E5F1F8"/>
          </w:tcPr>
          <w:p>
            <w:pPr>
              <w:spacing w:after="0"/>
              <w:rPr>
                <w:sz w:val="2"/>
                <w:szCs w:val="2"/>
                <w:color w:val="auto"/>
              </w:rPr>
            </w:pPr>
          </w:p>
        </w:tc>
        <w:tc>
          <w:tcPr>
            <w:tcW w:w="760" w:type="dxa"/>
            <w:vAlign w:val="bottom"/>
            <w:shd w:val="clear" w:color="auto" w:fill="E5F1F8"/>
          </w:tcPr>
          <w:p>
            <w:pPr>
              <w:spacing w:after="0"/>
              <w:rPr>
                <w:sz w:val="2"/>
                <w:szCs w:val="2"/>
                <w:color w:val="auto"/>
              </w:rPr>
            </w:pPr>
          </w:p>
        </w:tc>
        <w:tc>
          <w:tcPr>
            <w:tcW w:w="580" w:type="dxa"/>
            <w:vAlign w:val="bottom"/>
            <w:shd w:val="clear" w:color="auto" w:fill="E5F1F8"/>
          </w:tcPr>
          <w:p>
            <w:pPr>
              <w:spacing w:after="0"/>
              <w:rPr>
                <w:sz w:val="2"/>
                <w:szCs w:val="2"/>
                <w:color w:val="auto"/>
              </w:rPr>
            </w:pPr>
          </w:p>
        </w:tc>
        <w:tc>
          <w:tcPr>
            <w:tcW w:w="460" w:type="dxa"/>
            <w:vAlign w:val="bottom"/>
            <w:shd w:val="clear" w:color="auto" w:fill="E5F1F8"/>
          </w:tcPr>
          <w:p>
            <w:pPr>
              <w:spacing w:after="0"/>
              <w:rPr>
                <w:sz w:val="2"/>
                <w:szCs w:val="2"/>
                <w:color w:val="auto"/>
              </w:rPr>
            </w:pPr>
          </w:p>
        </w:tc>
        <w:tc>
          <w:tcPr>
            <w:tcW w:w="920" w:type="dxa"/>
            <w:vAlign w:val="bottom"/>
            <w:shd w:val="clear" w:color="auto" w:fill="E5F1F8"/>
          </w:tcPr>
          <w:p>
            <w:pPr>
              <w:spacing w:after="0"/>
              <w:rPr>
                <w:sz w:val="2"/>
                <w:szCs w:val="2"/>
                <w:color w:val="auto"/>
              </w:rPr>
            </w:pPr>
          </w:p>
        </w:tc>
      </w:tr>
    </w:tbl>
    <w:p>
      <w:pPr>
        <w:sectPr>
          <w:pgSz w:w="11900" w:h="16838" w:orient="portrait"/>
          <w:cols w:equalWidth="0" w:num="1">
            <w:col w:w="11240"/>
          </w:cols>
          <w:pgMar w:left="320" w:top="760" w:right="339" w:bottom="0"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710565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center"/>
              <w:ind w:left="30"/>
              <w:spacing w:after="0"/>
              <w:rPr>
                <w:sz w:val="20"/>
                <w:szCs w:val="20"/>
                <w:color w:val="auto"/>
              </w:rPr>
            </w:pPr>
            <w:r>
              <w:rPr>
                <w:rFonts w:ascii="Calibri" w:cs="Calibri" w:eastAsia="Calibri" w:hAnsi="Calibri"/>
                <w:sz w:val="18"/>
                <w:szCs w:val="18"/>
                <w:color w:val="auto"/>
                <w:w w:val="97"/>
              </w:rPr>
              <w:t>Appendix 1</w:t>
            </w:r>
          </w:p>
        </w:tc>
      </w:tr>
      <w:tr>
        <w:trPr>
          <w:trHeight w:val="648"/>
        </w:trPr>
        <w:tc>
          <w:tcPr>
            <w:tcW w:w="228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Calibri" w:cs="Calibri" w:eastAsia="Calibri" w:hAnsi="Calibri"/>
                <w:sz w:val="18"/>
                <w:szCs w:val="18"/>
                <w:color w:val="auto"/>
              </w:rPr>
              <w:t>40284</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280" w:type="dxa"/>
            <w:vAlign w:val="bottom"/>
          </w:tcPr>
          <w:p>
            <w:pPr>
              <w:ind w:left="20"/>
              <w:spacing w:after="0" w:line="216" w:lineRule="exact"/>
              <w:rPr>
                <w:sz w:val="20"/>
                <w:szCs w:val="20"/>
                <w:color w:val="auto"/>
              </w:rPr>
            </w:pPr>
            <w:r>
              <w:rPr>
                <w:rFonts w:ascii="Calibri" w:cs="Calibri" w:eastAsia="Calibri" w:hAnsi="Calibri"/>
                <w:sz w:val="18"/>
                <w:szCs w:val="18"/>
                <w:color w:val="auto"/>
              </w:rPr>
              <w:t>Merced AGG &amp; HMA</w:t>
            </w:r>
          </w:p>
        </w:tc>
        <w:tc>
          <w:tcPr>
            <w:tcW w:w="660" w:type="dxa"/>
            <w:vAlign w:val="bottom"/>
          </w:tcPr>
          <w:p>
            <w:pPr>
              <w:ind w:left="60"/>
              <w:spacing w:after="0" w:line="216" w:lineRule="exact"/>
              <w:rPr>
                <w:sz w:val="20"/>
                <w:szCs w:val="20"/>
                <w:color w:val="auto"/>
              </w:rPr>
            </w:pPr>
            <w:r>
              <w:rPr>
                <w:rFonts w:ascii="Calibri" w:cs="Calibri" w:eastAsia="Calibri" w:hAnsi="Calibri"/>
                <w:sz w:val="18"/>
                <w:szCs w:val="18"/>
                <w:color w:val="auto"/>
              </w:rPr>
              <w:t>1</w:t>
            </w:r>
          </w:p>
        </w:tc>
        <w:tc>
          <w:tcPr>
            <w:tcW w:w="520" w:type="dxa"/>
            <w:vAlign w:val="bottom"/>
          </w:tcPr>
          <w:p>
            <w:pPr>
              <w:jc w:val="right"/>
              <w:ind w:right="170"/>
              <w:spacing w:after="0" w:line="216"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6"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6"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6" w:lineRule="exact"/>
              <w:rPr>
                <w:sz w:val="20"/>
                <w:szCs w:val="20"/>
                <w:color w:val="auto"/>
              </w:rPr>
            </w:pPr>
            <w:r>
              <w:rPr>
                <w:rFonts w:ascii="Calibri" w:cs="Calibri" w:eastAsia="Calibri" w:hAnsi="Calibri"/>
                <w:sz w:val="18"/>
                <w:szCs w:val="18"/>
                <w:b w:val="1"/>
                <w:bCs w:val="1"/>
                <w:color w:val="auto"/>
              </w:rPr>
              <w:t>645</w:t>
            </w:r>
          </w:p>
        </w:tc>
        <w:tc>
          <w:tcPr>
            <w:tcW w:w="740" w:type="dxa"/>
            <w:vAlign w:val="bottom"/>
          </w:tcPr>
          <w:p>
            <w:pPr>
              <w:jc w:val="right"/>
              <w:ind w:right="270"/>
              <w:spacing w:after="0" w:line="216"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6"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6"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6"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42021</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Milford Quarry  Utah</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77</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40291</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Miramar Recycle Plant</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1</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ind w:left="20"/>
              <w:spacing w:after="0" w:line="194" w:lineRule="exact"/>
              <w:rPr>
                <w:sz w:val="20"/>
                <w:szCs w:val="20"/>
                <w:color w:val="auto"/>
              </w:rPr>
            </w:pPr>
            <w:r>
              <w:rPr>
                <w:rFonts w:ascii="Calibri" w:cs="Calibri" w:eastAsia="Calibri" w:hAnsi="Calibri"/>
                <w:sz w:val="18"/>
                <w:szCs w:val="18"/>
                <w:color w:val="auto"/>
              </w:rPr>
              <w:t>Northern Portable Crushing</w:t>
            </w: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50453</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#10</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1</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50473</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Northern Portable Plant 17</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5</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48015</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Northern Portable Plant 4</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65</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45008</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Pacifc Quarry</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44</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50463</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Parkdale Quarry</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5</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298</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50321</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Parsons Sand Gravel</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5</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427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50450</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Penrose Sand and Gravel</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9</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702</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40526</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Pier 92 Marine Aggregates</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1</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50441</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Plate Sand and Gravel</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8</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50435</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Portable Plant 1</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9</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50398</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Portable Plant 11</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4</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50452</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Portable Plant 21</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50413</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Red Canyon Quarry</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2,651</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50418</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Rich Sand &amp; Gravel</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6</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427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20264</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River Ranch AGG</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50484</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Riverbend Sand Gravel</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1</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3</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198,986</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1</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40053</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San Andreas AGG</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9</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40579</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Sanger AGG</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9</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1,404</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40161</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Santa Margarita Aggregates</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3,250</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40556</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Santee Plant</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4</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809</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40195</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Sisquoc Aggregates</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9</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40225</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Slaughterhouse AGG</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1</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50086</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Spec Agg Quarry</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680</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40185</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Sunol Plant</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9</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2,998</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50452</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Taf Sand Gravel</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6</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40300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w w:val="98"/>
              </w:rPr>
              <w:t>Tidewater Oakland Marine Agg</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2</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50393</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***Walstrum Quarry</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5</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3,396</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3</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20122</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Yavapai AGG</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2</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1</w:t>
            </w:r>
          </w:p>
        </w:tc>
      </w:tr>
      <w:tr>
        <w:trPr>
          <w:trHeight w:val="24"/>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41053</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51 Sand &amp; Gravel</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81</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41013</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Beckmann Quarry</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35</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1,123</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80" w:type="dxa"/>
            <w:vAlign w:val="bottom"/>
            <w:shd w:val="clear" w:color="auto" w:fill="E5F1F8"/>
          </w:tcPr>
          <w:p>
            <w:pPr>
              <w:spacing w:after="0"/>
              <w:rPr>
                <w:sz w:val="16"/>
                <w:szCs w:val="16"/>
                <w:color w:val="auto"/>
              </w:rPr>
            </w:pPr>
          </w:p>
        </w:tc>
        <w:tc>
          <w:tcPr>
            <w:tcW w:w="660" w:type="dxa"/>
            <w:vAlign w:val="bottom"/>
            <w:shd w:val="clear" w:color="auto" w:fill="E5F1F8"/>
          </w:tcPr>
          <w:p>
            <w:pPr>
              <w:ind w:left="60"/>
              <w:spacing w:after="0" w:line="194" w:lineRule="exact"/>
              <w:rPr>
                <w:sz w:val="20"/>
                <w:szCs w:val="20"/>
                <w:color w:val="auto"/>
              </w:rPr>
            </w:pPr>
            <w:r>
              <w:rPr>
                <w:rFonts w:ascii="Calibri" w:cs="Calibri" w:eastAsia="Calibri" w:hAnsi="Calibri"/>
                <w:sz w:val="18"/>
                <w:szCs w:val="18"/>
                <w:color w:val="auto"/>
              </w:rPr>
              <w:t>41032</w:t>
            </w:r>
          </w:p>
        </w:tc>
        <w:tc>
          <w:tcPr>
            <w:tcW w:w="52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Bedrock Sand Gravel</w:t>
            </w:r>
          </w:p>
        </w:tc>
        <w:tc>
          <w:tcPr>
            <w:tcW w:w="66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83</w:t>
            </w:r>
          </w:p>
        </w:tc>
        <w:tc>
          <w:tcPr>
            <w:tcW w:w="52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2</w:t>
            </w:r>
          </w:p>
        </w:tc>
        <w:tc>
          <w:tcPr>
            <w:tcW w:w="60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3,350</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80" w:type="dxa"/>
            <w:vAlign w:val="bottom"/>
          </w:tcPr>
          <w:p>
            <w:pPr>
              <w:spacing w:after="0"/>
              <w:rPr>
                <w:sz w:val="16"/>
                <w:szCs w:val="16"/>
                <w:color w:val="auto"/>
              </w:rPr>
            </w:pPr>
          </w:p>
        </w:tc>
        <w:tc>
          <w:tcPr>
            <w:tcW w:w="660" w:type="dxa"/>
            <w:vAlign w:val="bottom"/>
          </w:tcPr>
          <w:p>
            <w:pPr>
              <w:ind w:left="60"/>
              <w:spacing w:after="0" w:line="194" w:lineRule="exact"/>
              <w:rPr>
                <w:sz w:val="20"/>
                <w:szCs w:val="20"/>
                <w:color w:val="auto"/>
              </w:rPr>
            </w:pPr>
            <w:r>
              <w:rPr>
                <w:rFonts w:ascii="Calibri" w:cs="Calibri" w:eastAsia="Calibri" w:hAnsi="Calibri"/>
                <w:sz w:val="18"/>
                <w:szCs w:val="18"/>
                <w:color w:val="auto"/>
              </w:rPr>
              <w:t>41040</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80" w:type="dxa"/>
            <w:vAlign w:val="bottom"/>
          </w:tcPr>
          <w:p>
            <w:pPr>
              <w:ind w:left="20"/>
              <w:spacing w:after="0" w:line="215" w:lineRule="exact"/>
              <w:rPr>
                <w:sz w:val="20"/>
                <w:szCs w:val="20"/>
                <w:color w:val="auto"/>
              </w:rPr>
            </w:pPr>
            <w:r>
              <w:rPr>
                <w:rFonts w:ascii="Calibri" w:cs="Calibri" w:eastAsia="Calibri" w:hAnsi="Calibri"/>
                <w:sz w:val="18"/>
                <w:szCs w:val="18"/>
                <w:color w:val="auto"/>
              </w:rPr>
              <w:t>Bells Savoy SG</w:t>
            </w:r>
          </w:p>
        </w:tc>
        <w:tc>
          <w:tcPr>
            <w:tcW w:w="660" w:type="dxa"/>
            <w:vAlign w:val="bottom"/>
          </w:tcPr>
          <w:p>
            <w:pPr>
              <w:ind w:left="60"/>
              <w:spacing w:after="0" w:line="215" w:lineRule="exact"/>
              <w:rPr>
                <w:sz w:val="20"/>
                <w:szCs w:val="20"/>
                <w:color w:val="auto"/>
              </w:rPr>
            </w:pPr>
            <w:r>
              <w:rPr>
                <w:rFonts w:ascii="Calibri" w:cs="Calibri" w:eastAsia="Calibri" w:hAnsi="Calibri"/>
                <w:sz w:val="18"/>
                <w:szCs w:val="18"/>
                <w:color w:val="auto"/>
              </w:rPr>
              <w:t>19</w:t>
            </w:r>
          </w:p>
        </w:tc>
        <w:tc>
          <w:tcPr>
            <w:tcW w:w="52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441</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1</w:t>
            </w:r>
          </w:p>
        </w:tc>
      </w:tr>
      <w:tr>
        <w:trPr>
          <w:trHeight w:val="23"/>
        </w:trPr>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44"/>
        </w:trPr>
        <w:tc>
          <w:tcPr>
            <w:tcW w:w="2280" w:type="dxa"/>
            <w:vAlign w:val="bottom"/>
            <w:shd w:val="clear" w:color="auto" w:fill="E5F1F8"/>
          </w:tcPr>
          <w:p>
            <w:pPr>
              <w:spacing w:after="0"/>
              <w:rPr>
                <w:sz w:val="12"/>
                <w:szCs w:val="12"/>
                <w:color w:val="auto"/>
              </w:rPr>
            </w:pPr>
          </w:p>
        </w:tc>
        <w:tc>
          <w:tcPr>
            <w:tcW w:w="660" w:type="dxa"/>
            <w:vAlign w:val="bottom"/>
            <w:shd w:val="clear" w:color="auto" w:fill="E5F1F8"/>
          </w:tcPr>
          <w:p>
            <w:pPr>
              <w:spacing w:after="0"/>
              <w:rPr>
                <w:sz w:val="12"/>
                <w:szCs w:val="12"/>
                <w:color w:val="auto"/>
              </w:rPr>
            </w:pPr>
          </w:p>
        </w:tc>
        <w:tc>
          <w:tcPr>
            <w:tcW w:w="520" w:type="dxa"/>
            <w:vAlign w:val="bottom"/>
            <w:shd w:val="clear" w:color="auto" w:fill="E5F1F8"/>
          </w:tcPr>
          <w:p>
            <w:pPr>
              <w:spacing w:after="0"/>
              <w:rPr>
                <w:sz w:val="12"/>
                <w:szCs w:val="12"/>
                <w:color w:val="auto"/>
              </w:rPr>
            </w:pPr>
          </w:p>
        </w:tc>
        <w:tc>
          <w:tcPr>
            <w:tcW w:w="600" w:type="dxa"/>
            <w:vAlign w:val="bottom"/>
            <w:shd w:val="clear" w:color="auto" w:fill="E5F1F8"/>
          </w:tcPr>
          <w:p>
            <w:pPr>
              <w:spacing w:after="0"/>
              <w:rPr>
                <w:sz w:val="12"/>
                <w:szCs w:val="12"/>
                <w:color w:val="auto"/>
              </w:rPr>
            </w:pPr>
          </w:p>
        </w:tc>
        <w:tc>
          <w:tcPr>
            <w:tcW w:w="660" w:type="dxa"/>
            <w:vAlign w:val="bottom"/>
            <w:shd w:val="clear" w:color="auto" w:fill="E5F1F8"/>
          </w:tcPr>
          <w:p>
            <w:pPr>
              <w:spacing w:after="0"/>
              <w:rPr>
                <w:sz w:val="12"/>
                <w:szCs w:val="12"/>
                <w:color w:val="auto"/>
              </w:rPr>
            </w:pPr>
          </w:p>
        </w:tc>
        <w:tc>
          <w:tcPr>
            <w:tcW w:w="600" w:type="dxa"/>
            <w:vAlign w:val="bottom"/>
            <w:shd w:val="clear" w:color="auto" w:fill="E5F1F8"/>
          </w:tcPr>
          <w:p>
            <w:pPr>
              <w:spacing w:after="0"/>
              <w:rPr>
                <w:sz w:val="12"/>
                <w:szCs w:val="12"/>
                <w:color w:val="auto"/>
              </w:rPr>
            </w:pPr>
          </w:p>
        </w:tc>
        <w:tc>
          <w:tcPr>
            <w:tcW w:w="440" w:type="dxa"/>
            <w:vAlign w:val="bottom"/>
            <w:shd w:val="clear" w:color="auto" w:fill="E5F1F8"/>
          </w:tcPr>
          <w:p>
            <w:pPr>
              <w:spacing w:after="0"/>
              <w:rPr>
                <w:sz w:val="12"/>
                <w:szCs w:val="12"/>
                <w:color w:val="auto"/>
              </w:rPr>
            </w:pPr>
          </w:p>
        </w:tc>
        <w:tc>
          <w:tcPr>
            <w:tcW w:w="260" w:type="dxa"/>
            <w:vAlign w:val="bottom"/>
            <w:shd w:val="clear" w:color="auto" w:fill="E5F1F8"/>
          </w:tcPr>
          <w:p>
            <w:pPr>
              <w:spacing w:after="0"/>
              <w:rPr>
                <w:sz w:val="12"/>
                <w:szCs w:val="12"/>
                <w:color w:val="auto"/>
              </w:rPr>
            </w:pPr>
          </w:p>
        </w:tc>
        <w:tc>
          <w:tcPr>
            <w:tcW w:w="920" w:type="dxa"/>
            <w:vAlign w:val="bottom"/>
            <w:shd w:val="clear" w:color="auto" w:fill="E5F1F8"/>
          </w:tcPr>
          <w:p>
            <w:pPr>
              <w:spacing w:after="0"/>
              <w:rPr>
                <w:sz w:val="12"/>
                <w:szCs w:val="12"/>
                <w:color w:val="auto"/>
              </w:rPr>
            </w:pPr>
          </w:p>
        </w:tc>
        <w:tc>
          <w:tcPr>
            <w:tcW w:w="740" w:type="dxa"/>
            <w:vAlign w:val="bottom"/>
            <w:shd w:val="clear" w:color="auto" w:fill="E5F1F8"/>
          </w:tcPr>
          <w:p>
            <w:pPr>
              <w:spacing w:after="0"/>
              <w:rPr>
                <w:sz w:val="12"/>
                <w:szCs w:val="12"/>
                <w:color w:val="auto"/>
              </w:rPr>
            </w:pPr>
          </w:p>
        </w:tc>
        <w:tc>
          <w:tcPr>
            <w:tcW w:w="840" w:type="dxa"/>
            <w:vAlign w:val="bottom"/>
            <w:shd w:val="clear" w:color="auto" w:fill="E5F1F8"/>
          </w:tcPr>
          <w:p>
            <w:pPr>
              <w:spacing w:after="0"/>
              <w:rPr>
                <w:sz w:val="12"/>
                <w:szCs w:val="12"/>
                <w:color w:val="auto"/>
              </w:rPr>
            </w:pPr>
          </w:p>
        </w:tc>
        <w:tc>
          <w:tcPr>
            <w:tcW w:w="760" w:type="dxa"/>
            <w:vAlign w:val="bottom"/>
            <w:shd w:val="clear" w:color="auto" w:fill="E5F1F8"/>
          </w:tcPr>
          <w:p>
            <w:pPr>
              <w:spacing w:after="0"/>
              <w:rPr>
                <w:sz w:val="12"/>
                <w:szCs w:val="12"/>
                <w:color w:val="auto"/>
              </w:rPr>
            </w:pPr>
          </w:p>
        </w:tc>
        <w:tc>
          <w:tcPr>
            <w:tcW w:w="580" w:type="dxa"/>
            <w:vAlign w:val="bottom"/>
            <w:shd w:val="clear" w:color="auto" w:fill="E5F1F8"/>
          </w:tcPr>
          <w:p>
            <w:pPr>
              <w:spacing w:after="0"/>
              <w:rPr>
                <w:sz w:val="12"/>
                <w:szCs w:val="12"/>
                <w:color w:val="auto"/>
              </w:rPr>
            </w:pPr>
          </w:p>
        </w:tc>
        <w:tc>
          <w:tcPr>
            <w:tcW w:w="460" w:type="dxa"/>
            <w:vAlign w:val="bottom"/>
            <w:shd w:val="clear" w:color="auto" w:fill="E5F1F8"/>
          </w:tcPr>
          <w:p>
            <w:pPr>
              <w:spacing w:after="0"/>
              <w:rPr>
                <w:sz w:val="12"/>
                <w:szCs w:val="12"/>
                <w:color w:val="auto"/>
              </w:rPr>
            </w:pPr>
          </w:p>
        </w:tc>
        <w:tc>
          <w:tcPr>
            <w:tcW w:w="920" w:type="dxa"/>
            <w:vAlign w:val="bottom"/>
            <w:shd w:val="clear" w:color="auto" w:fill="E5F1F8"/>
          </w:tcPr>
          <w:p>
            <w:pPr>
              <w:spacing w:after="0"/>
              <w:rPr>
                <w:sz w:val="12"/>
                <w:szCs w:val="12"/>
                <w:color w:val="auto"/>
              </w:rPr>
            </w:pPr>
          </w:p>
        </w:tc>
      </w:tr>
    </w:tbl>
    <w:p>
      <w:pPr>
        <w:sectPr>
          <w:pgSz w:w="11900" w:h="16900" w:orient="portrait"/>
          <w:cols w:equalWidth="0" w:num="1">
            <w:col w:w="11240"/>
          </w:cols>
          <w:pgMar w:left="320" w:top="760" w:right="339" w:bottom="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2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Black Rock Quarry</w:t>
            </w:r>
          </w:p>
        </w:tc>
        <w:tc>
          <w:tcPr>
            <w:tcW w:w="50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30001</w:t>
            </w:r>
          </w:p>
        </w:tc>
        <w:tc>
          <w:tcPr>
            <w:tcW w:w="640" w:type="dxa"/>
            <w:vAlign w:val="bottom"/>
            <w:shd w:val="clear" w:color="auto" w:fill="E5F1F8"/>
          </w:tcPr>
          <w:p>
            <w:pPr>
              <w:jc w:val="right"/>
              <w:ind w:right="170"/>
              <w:spacing w:after="0"/>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7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30"/>
              <w:spacing w:after="0"/>
              <w:rPr>
                <w:sz w:val="20"/>
                <w:szCs w:val="20"/>
                <w:color w:val="auto"/>
              </w:rPr>
            </w:pPr>
            <w:r>
              <w:rPr>
                <w:rFonts w:ascii="Calibri" w:cs="Calibri" w:eastAsia="Calibri" w:hAnsi="Calibri"/>
                <w:sz w:val="18"/>
                <w:szCs w:val="18"/>
                <w:color w:val="auto"/>
              </w:rPr>
              <w:t>0</w:t>
            </w:r>
          </w:p>
        </w:tc>
        <w:tc>
          <w:tcPr>
            <w:tcW w:w="440" w:type="dxa"/>
            <w:vAlign w:val="bottom"/>
            <w:shd w:val="clear" w:color="auto" w:fill="E5F1F8"/>
          </w:tcPr>
          <w:p>
            <w:pPr>
              <w:jc w:val="right"/>
              <w:ind w:right="10"/>
              <w:spacing w:after="0"/>
              <w:rPr>
                <w:sz w:val="20"/>
                <w:szCs w:val="20"/>
                <w:color w:val="auto"/>
              </w:rPr>
            </w:pPr>
            <w:r>
              <w:rPr>
                <w:rFonts w:ascii="Calibri" w:cs="Calibri" w:eastAsia="Calibri" w:hAnsi="Calibri"/>
                <w:sz w:val="18"/>
                <w:szCs w:val="18"/>
                <w:color w:val="auto"/>
              </w:rPr>
              <w:t>0</w:t>
            </w:r>
          </w:p>
        </w:tc>
        <w:tc>
          <w:tcPr>
            <w:tcW w:w="340" w:type="dxa"/>
            <w:vAlign w:val="bottom"/>
            <w:shd w:val="clear" w:color="auto" w:fill="E5F1F8"/>
          </w:tcPr>
          <w:p>
            <w:pPr>
              <w:jc w:val="right"/>
              <w:ind w:right="50"/>
              <w:spacing w:after="0"/>
              <w:rPr>
                <w:sz w:val="20"/>
                <w:szCs w:val="20"/>
                <w:color w:val="auto"/>
              </w:rPr>
            </w:pPr>
            <w:r>
              <w:rPr>
                <w:rFonts w:ascii="Calibri" w:cs="Calibri" w:eastAsia="Calibri" w:hAnsi="Calibri"/>
                <w:sz w:val="18"/>
                <w:szCs w:val="18"/>
                <w:b w:val="1"/>
                <w:bCs w:val="1"/>
                <w:color w:val="auto"/>
              </w:rPr>
              <w:t>$</w:t>
            </w:r>
          </w:p>
        </w:tc>
        <w:tc>
          <w:tcPr>
            <w:tcW w:w="84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b w:val="1"/>
                <w:bCs w:val="1"/>
                <w:color w:val="auto"/>
              </w:rPr>
              <w:t>147</w:t>
            </w:r>
          </w:p>
        </w:tc>
        <w:tc>
          <w:tcPr>
            <w:tcW w:w="740" w:type="dxa"/>
            <w:vAlign w:val="bottom"/>
            <w:shd w:val="clear" w:color="auto" w:fill="E5F1F8"/>
          </w:tcPr>
          <w:p>
            <w:pPr>
              <w:jc w:val="right"/>
              <w:ind w:right="270"/>
              <w:spacing w:after="0"/>
              <w:rPr>
                <w:sz w:val="20"/>
                <w:szCs w:val="20"/>
                <w:color w:val="auto"/>
              </w:rPr>
            </w:pPr>
            <w:r>
              <w:rPr>
                <w:rFonts w:ascii="Calibri" w:cs="Calibri" w:eastAsia="Calibri" w:hAnsi="Calibri"/>
                <w:sz w:val="18"/>
                <w:szCs w:val="18"/>
                <w:color w:val="auto"/>
              </w:rPr>
              <w:t>0</w:t>
            </w:r>
          </w:p>
        </w:tc>
        <w:tc>
          <w:tcPr>
            <w:tcW w:w="840" w:type="dxa"/>
            <w:vAlign w:val="bottom"/>
            <w:shd w:val="clear" w:color="auto" w:fill="E5F1F8"/>
          </w:tcPr>
          <w:p>
            <w:pPr>
              <w:ind w:left="360"/>
              <w:spacing w:after="0"/>
              <w:rPr>
                <w:sz w:val="20"/>
                <w:szCs w:val="20"/>
                <w:color w:val="auto"/>
              </w:rPr>
            </w:pPr>
            <w:r>
              <w:rPr>
                <w:rFonts w:ascii="Calibri" w:cs="Calibri" w:eastAsia="Calibri" w:hAnsi="Calibri"/>
                <w:sz w:val="18"/>
                <w:szCs w:val="18"/>
                <w:color w:val="auto"/>
              </w:rPr>
              <w:t>no</w:t>
            </w:r>
          </w:p>
        </w:tc>
        <w:tc>
          <w:tcPr>
            <w:tcW w:w="760" w:type="dxa"/>
            <w:vAlign w:val="bottom"/>
            <w:shd w:val="clear" w:color="auto" w:fill="E5F1F8"/>
          </w:tcPr>
          <w:p>
            <w:pPr>
              <w:ind w:left="300"/>
              <w:spacing w:after="0"/>
              <w:rPr>
                <w:sz w:val="20"/>
                <w:szCs w:val="20"/>
                <w:color w:val="auto"/>
              </w:rPr>
            </w:pPr>
            <w:r>
              <w:rPr>
                <w:rFonts w:ascii="Calibri" w:cs="Calibri" w:eastAsia="Calibri" w:hAnsi="Calibri"/>
                <w:sz w:val="18"/>
                <w:szCs w:val="18"/>
                <w:color w:val="auto"/>
              </w:rPr>
              <w:t>no</w:t>
            </w:r>
          </w:p>
        </w:tc>
        <w:tc>
          <w:tcPr>
            <w:tcW w:w="580" w:type="dxa"/>
            <w:vAlign w:val="bottom"/>
            <w:shd w:val="clear" w:color="auto" w:fill="E5F1F8"/>
          </w:tcPr>
          <w:p>
            <w:pPr>
              <w:jc w:val="right"/>
              <w:ind w:right="130"/>
              <w:spacing w:after="0"/>
              <w:rPr>
                <w:sz w:val="20"/>
                <w:szCs w:val="20"/>
                <w:color w:val="auto"/>
              </w:rPr>
            </w:pPr>
            <w:r>
              <w:rPr>
                <w:rFonts w:ascii="Calibri" w:cs="Calibri" w:eastAsia="Calibri" w:hAnsi="Calibri"/>
                <w:sz w:val="18"/>
                <w:szCs w:val="18"/>
                <w:color w:val="auto"/>
              </w:rPr>
              <w:t>0</w:t>
            </w:r>
          </w:p>
        </w:tc>
        <w:tc>
          <w:tcPr>
            <w:tcW w:w="64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740" w:type="dxa"/>
            <w:vAlign w:val="bottom"/>
            <w:shd w:val="clear" w:color="auto" w:fill="E5F1F8"/>
          </w:tcPr>
          <w:p>
            <w:pPr>
              <w:jc w:val="right"/>
              <w:ind w:right="270"/>
              <w:spacing w:after="0"/>
              <w:rPr>
                <w:sz w:val="20"/>
                <w:szCs w:val="20"/>
                <w:color w:val="auto"/>
              </w:rPr>
            </w:pPr>
            <w:r>
              <w:rPr>
                <w:rFonts w:ascii="Calibri" w:cs="Calibri" w:eastAsia="Calibri" w:hAnsi="Calibri"/>
                <w:sz w:val="18"/>
                <w:szCs w:val="18"/>
                <w:color w:val="auto"/>
              </w:rPr>
              <w:t>0</w:t>
            </w:r>
          </w:p>
        </w:tc>
      </w:tr>
      <w:tr>
        <w:trPr>
          <w:trHeight w:val="245"/>
        </w:trPr>
        <w:tc>
          <w:tcPr>
            <w:tcW w:w="2320" w:type="dxa"/>
            <w:vAlign w:val="bottom"/>
            <w:tcBorders>
              <w:bottom w:val="single" w:sz="8" w:color="E5F1F8"/>
            </w:tcBorders>
            <w:shd w:val="clear" w:color="auto" w:fill="E5F1F8"/>
          </w:tcPr>
          <w:p>
            <w:pPr>
              <w:spacing w:after="0"/>
              <w:rPr>
                <w:sz w:val="21"/>
                <w:szCs w:val="21"/>
                <w:color w:val="auto"/>
              </w:rPr>
            </w:pPr>
          </w:p>
        </w:tc>
        <w:tc>
          <w:tcPr>
            <w:tcW w:w="5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spacing w:after="0"/>
              <w:rPr>
                <w:sz w:val="21"/>
                <w:szCs w:val="21"/>
                <w:color w:val="auto"/>
              </w:rPr>
            </w:pPr>
          </w:p>
        </w:tc>
        <w:tc>
          <w:tcPr>
            <w:tcW w:w="600" w:type="dxa"/>
            <w:vAlign w:val="bottom"/>
            <w:tcBorders>
              <w:bottom w:val="single" w:sz="8" w:color="E5F1F8"/>
            </w:tcBorders>
            <w:shd w:val="clear" w:color="auto" w:fill="E5F1F8"/>
          </w:tcPr>
          <w:p>
            <w:pPr>
              <w:spacing w:after="0"/>
              <w:rPr>
                <w:sz w:val="21"/>
                <w:szCs w:val="21"/>
                <w:color w:val="auto"/>
              </w:rPr>
            </w:pPr>
          </w:p>
        </w:tc>
        <w:tc>
          <w:tcPr>
            <w:tcW w:w="660" w:type="dxa"/>
            <w:vAlign w:val="bottom"/>
            <w:tcBorders>
              <w:bottom w:val="single" w:sz="8" w:color="E5F1F8"/>
            </w:tcBorders>
            <w:shd w:val="clear" w:color="auto" w:fill="E5F1F8"/>
          </w:tcPr>
          <w:p>
            <w:pPr>
              <w:spacing w:after="0"/>
              <w:rPr>
                <w:sz w:val="21"/>
                <w:szCs w:val="21"/>
                <w:color w:val="auto"/>
              </w:rPr>
            </w:pPr>
          </w:p>
        </w:tc>
        <w:tc>
          <w:tcPr>
            <w:tcW w:w="600" w:type="dxa"/>
            <w:vAlign w:val="bottom"/>
            <w:tcBorders>
              <w:bottom w:val="single" w:sz="8" w:color="E5F1F8"/>
            </w:tcBorders>
            <w:shd w:val="clear" w:color="auto" w:fill="E5F1F8"/>
          </w:tcPr>
          <w:p>
            <w:pPr>
              <w:spacing w:after="0"/>
              <w:rPr>
                <w:sz w:val="21"/>
                <w:szCs w:val="21"/>
                <w:color w:val="auto"/>
              </w:rPr>
            </w:pPr>
          </w:p>
        </w:tc>
        <w:tc>
          <w:tcPr>
            <w:tcW w:w="440" w:type="dxa"/>
            <w:vAlign w:val="bottom"/>
            <w:tcBorders>
              <w:bottom w:val="single" w:sz="8" w:color="E5F1F8"/>
            </w:tcBorders>
            <w:shd w:val="clear" w:color="auto" w:fill="E5F1F8"/>
          </w:tcPr>
          <w:p>
            <w:pPr>
              <w:spacing w:after="0"/>
              <w:rPr>
                <w:sz w:val="21"/>
                <w:szCs w:val="21"/>
                <w:color w:val="auto"/>
              </w:rPr>
            </w:pPr>
          </w:p>
        </w:tc>
        <w:tc>
          <w:tcPr>
            <w:tcW w:w="340" w:type="dxa"/>
            <w:vAlign w:val="bottom"/>
            <w:tcBorders>
              <w:bottom w:val="single" w:sz="8" w:color="E5F1F8"/>
            </w:tcBorders>
            <w:shd w:val="clear" w:color="auto" w:fill="E5F1F8"/>
          </w:tcPr>
          <w:p>
            <w:pPr>
              <w:spacing w:after="0"/>
              <w:rPr>
                <w:sz w:val="21"/>
                <w:szCs w:val="21"/>
                <w:color w:val="auto"/>
              </w:rPr>
            </w:pPr>
          </w:p>
        </w:tc>
        <w:tc>
          <w:tcPr>
            <w:tcW w:w="840" w:type="dxa"/>
            <w:vAlign w:val="bottom"/>
            <w:tcBorders>
              <w:bottom w:val="single" w:sz="8" w:color="E5F1F8"/>
            </w:tcBorders>
            <w:shd w:val="clear" w:color="auto" w:fill="E5F1F8"/>
          </w:tcPr>
          <w:p>
            <w:pPr>
              <w:spacing w:after="0"/>
              <w:rPr>
                <w:sz w:val="21"/>
                <w:szCs w:val="21"/>
                <w:color w:val="auto"/>
              </w:rPr>
            </w:pPr>
          </w:p>
        </w:tc>
        <w:tc>
          <w:tcPr>
            <w:tcW w:w="740" w:type="dxa"/>
            <w:vAlign w:val="bottom"/>
            <w:tcBorders>
              <w:bottom w:val="single" w:sz="8" w:color="E5F1F8"/>
            </w:tcBorders>
            <w:shd w:val="clear" w:color="auto" w:fill="E5F1F8"/>
          </w:tcPr>
          <w:p>
            <w:pPr>
              <w:spacing w:after="0"/>
              <w:rPr>
                <w:sz w:val="21"/>
                <w:szCs w:val="21"/>
                <w:color w:val="auto"/>
              </w:rPr>
            </w:pPr>
          </w:p>
        </w:tc>
        <w:tc>
          <w:tcPr>
            <w:tcW w:w="840" w:type="dxa"/>
            <w:vAlign w:val="bottom"/>
            <w:tcBorders>
              <w:bottom w:val="single" w:sz="8" w:color="E5F1F8"/>
            </w:tcBorders>
            <w:shd w:val="clear" w:color="auto" w:fill="E5F1F8"/>
          </w:tcPr>
          <w:p>
            <w:pPr>
              <w:spacing w:after="0"/>
              <w:rPr>
                <w:sz w:val="21"/>
                <w:szCs w:val="21"/>
                <w:color w:val="auto"/>
              </w:rPr>
            </w:pPr>
          </w:p>
        </w:tc>
        <w:tc>
          <w:tcPr>
            <w:tcW w:w="760" w:type="dxa"/>
            <w:vAlign w:val="bottom"/>
            <w:tcBorders>
              <w:bottom w:val="single" w:sz="8" w:color="E5F1F8"/>
            </w:tcBorders>
            <w:shd w:val="clear" w:color="auto" w:fill="E5F1F8"/>
          </w:tcPr>
          <w:p>
            <w:pPr>
              <w:spacing w:after="0"/>
              <w:rPr>
                <w:sz w:val="21"/>
                <w:szCs w:val="21"/>
                <w:color w:val="auto"/>
              </w:rPr>
            </w:pPr>
          </w:p>
        </w:tc>
        <w:tc>
          <w:tcPr>
            <w:tcW w:w="580" w:type="dxa"/>
            <w:vAlign w:val="bottom"/>
            <w:tcBorders>
              <w:bottom w:val="single" w:sz="8" w:color="E5F1F8"/>
            </w:tcBorders>
            <w:shd w:val="clear" w:color="auto" w:fill="E5F1F8"/>
          </w:tcPr>
          <w:p>
            <w:pPr>
              <w:spacing w:after="0"/>
              <w:rPr>
                <w:sz w:val="21"/>
                <w:szCs w:val="21"/>
                <w:color w:val="auto"/>
              </w:rPr>
            </w:pPr>
          </w:p>
        </w:tc>
        <w:tc>
          <w:tcPr>
            <w:tcW w:w="640" w:type="dxa"/>
            <w:vAlign w:val="bottom"/>
            <w:tcBorders>
              <w:bottom w:val="single" w:sz="8" w:color="E5F1F8"/>
            </w:tcBorders>
            <w:shd w:val="clear" w:color="auto" w:fill="E5F1F8"/>
          </w:tcPr>
          <w:p>
            <w:pPr>
              <w:spacing w:after="0"/>
              <w:rPr>
                <w:sz w:val="21"/>
                <w:szCs w:val="21"/>
                <w:color w:val="auto"/>
              </w:rPr>
            </w:pPr>
          </w:p>
        </w:tc>
        <w:tc>
          <w:tcPr>
            <w:tcW w:w="740" w:type="dxa"/>
            <w:vAlign w:val="bottom"/>
            <w:tcBorders>
              <w:bottom w:val="single" w:sz="8" w:color="E5F1F8"/>
            </w:tcBorders>
            <w:shd w:val="clear" w:color="auto" w:fill="E5F1F8"/>
          </w:tcPr>
          <w:p>
            <w:pPr>
              <w:spacing w:after="0"/>
              <w:rPr>
                <w:sz w:val="21"/>
                <w:szCs w:val="21"/>
                <w:color w:val="auto"/>
              </w:rPr>
            </w:pPr>
          </w:p>
        </w:tc>
      </w:tr>
      <w:tr>
        <w:trPr>
          <w:trHeight w:val="167"/>
        </w:trPr>
        <w:tc>
          <w:tcPr>
            <w:tcW w:w="2320" w:type="dxa"/>
            <w:vAlign w:val="bottom"/>
          </w:tcPr>
          <w:p>
            <w:pPr>
              <w:spacing w:after="0"/>
              <w:rPr>
                <w:sz w:val="14"/>
                <w:szCs w:val="14"/>
                <w:color w:val="auto"/>
              </w:rPr>
            </w:pPr>
          </w:p>
        </w:tc>
        <w:tc>
          <w:tcPr>
            <w:tcW w:w="500" w:type="dxa"/>
            <w:vAlign w:val="bottom"/>
          </w:tcPr>
          <w:p>
            <w:pPr>
              <w:ind w:left="20"/>
              <w:spacing w:after="0" w:line="166" w:lineRule="exact"/>
              <w:rPr>
                <w:sz w:val="20"/>
                <w:szCs w:val="20"/>
                <w:color w:val="auto"/>
              </w:rPr>
            </w:pPr>
            <w:r>
              <w:rPr>
                <w:rFonts w:ascii="Calibri" w:cs="Calibri" w:eastAsia="Calibri" w:hAnsi="Calibri"/>
                <w:sz w:val="18"/>
                <w:szCs w:val="18"/>
                <w:color w:val="auto"/>
              </w:rPr>
              <w:t>41041</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5"/>
        </w:trPr>
        <w:tc>
          <w:tcPr>
            <w:tcW w:w="2320" w:type="dxa"/>
            <w:vAlign w:val="bottom"/>
          </w:tcPr>
          <w:p>
            <w:pPr>
              <w:ind w:left="20"/>
              <w:spacing w:after="0" w:line="215" w:lineRule="exact"/>
              <w:rPr>
                <w:sz w:val="20"/>
                <w:szCs w:val="20"/>
                <w:color w:val="auto"/>
              </w:rPr>
            </w:pPr>
            <w:r>
              <w:rPr>
                <w:rFonts w:ascii="Calibri" w:cs="Calibri" w:eastAsia="Calibri" w:hAnsi="Calibri"/>
                <w:sz w:val="18"/>
                <w:szCs w:val="18"/>
                <w:color w:val="auto"/>
              </w:rPr>
              <w:t>Black Spur Quarry</w:t>
            </w:r>
          </w:p>
        </w:tc>
        <w:tc>
          <w:tcPr>
            <w:tcW w:w="500" w:type="dxa"/>
            <w:vAlign w:val="bottom"/>
          </w:tcPr>
          <w:p>
            <w:pPr>
              <w:ind w:left="20"/>
              <w:spacing w:after="0" w:line="215" w:lineRule="exact"/>
              <w:rPr>
                <w:sz w:val="20"/>
                <w:szCs w:val="20"/>
                <w:color w:val="auto"/>
              </w:rPr>
            </w:pPr>
            <w:r>
              <w:rPr>
                <w:rFonts w:ascii="Calibri" w:cs="Calibri" w:eastAsia="Calibri" w:hAnsi="Calibri"/>
                <w:sz w:val="18"/>
                <w:szCs w:val="18"/>
                <w:color w:val="auto"/>
              </w:rPr>
              <w:t>59</w:t>
            </w:r>
          </w:p>
        </w:tc>
        <w:tc>
          <w:tcPr>
            <w:tcW w:w="64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w:t>
            </w:r>
          </w:p>
        </w:tc>
        <w:tc>
          <w:tcPr>
            <w:tcW w:w="60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1,331</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r>
      <w:tr>
        <w:trPr>
          <w:trHeight w:val="1192"/>
        </w:trPr>
        <w:tc>
          <w:tcPr>
            <w:tcW w:w="2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2743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9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20"/>
        </w:trPr>
        <w:tc>
          <w:tcPr>
            <w:tcW w:w="2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center"/>
              <w:ind w:left="30"/>
              <w:spacing w:after="0"/>
              <w:rPr>
                <w:sz w:val="20"/>
                <w:szCs w:val="20"/>
                <w:color w:val="auto"/>
              </w:rPr>
            </w:pPr>
            <w:r>
              <w:rPr>
                <w:rFonts w:ascii="Calibri" w:cs="Calibri" w:eastAsia="Calibri" w:hAnsi="Calibri"/>
                <w:sz w:val="18"/>
                <w:szCs w:val="18"/>
                <w:color w:val="auto"/>
                <w:w w:val="97"/>
              </w:rPr>
              <w:t>Appendix 1</w:t>
            </w:r>
          </w:p>
        </w:tc>
      </w:tr>
      <w:tr>
        <w:trPr>
          <w:trHeight w:val="455"/>
        </w:trPr>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41000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Bridgeport Stone</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07</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1</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34004</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Broken Bow SG</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60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34012</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Davis Quarry</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99</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1,066</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41039</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Garfeld SG</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09</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41028</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Garwood Gravel</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86</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5</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6,822</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000C3</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GMS</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35</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30161</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Haton Quarry</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441</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41031</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Helotes</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37</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b w:val="1"/>
                <w:bCs w:val="1"/>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41038</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Highway 211 Quarry</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29</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41047</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Hondo</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08</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34000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Hugo Quarry</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61</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41028</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Hunter Cement</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20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2</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4,607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41052</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Hunter Stone</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30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735</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34005</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Idabel Quarry</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07</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30158</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Jones Mill Quarry</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6</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41052</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Liberty Ranch Sand</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68</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3</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2</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41051</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Medina Rock Rail</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70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588</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41038</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*******Merkel Plant</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48</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41000</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Midlothian Cement</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71</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8"/>
              </w:rPr>
              <w:t>14</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27,954</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3</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34018</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Mill Creek Limestone</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59</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870</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34012</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Mill Creek Quarry</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85</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245</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41043</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North Austn Quarry</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80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9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920" w:type="dxa"/>
            <w:vAlign w:val="bottom"/>
            <w:gridSpan w:val="2"/>
            <w:shd w:val="clear" w:color="auto" w:fill="E5F1F8"/>
          </w:tcPr>
          <w:p>
            <w:pPr>
              <w:ind w:left="20"/>
              <w:spacing w:after="0" w:line="194" w:lineRule="exact"/>
              <w:rPr>
                <w:sz w:val="20"/>
                <w:szCs w:val="20"/>
                <w:color w:val="auto"/>
              </w:rPr>
            </w:pPr>
            <w:r>
              <w:rPr>
                <w:rFonts w:ascii="Calibri" w:cs="Calibri" w:eastAsia="Calibri" w:hAnsi="Calibri"/>
                <w:sz w:val="18"/>
                <w:szCs w:val="18"/>
                <w:color w:val="auto"/>
              </w:rPr>
              <w:t>North Bridgeport Quarry (Chico 41033</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Quarry)</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60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16014</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Perryville Aggregates</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17</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41013</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Poteet Sand</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42</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41035</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Rio Medina</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94</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533</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41013</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San Pedro Quarry</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37</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34018</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Sawyer East Quarry Portable</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09</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34016</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Sawyer Quarry</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34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441</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41011</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*******Slaton Plant</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11</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n0</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n0</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41041</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Smithson Valley Quarry</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08</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34016</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Snyder Quarry</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51</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1,375</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4"/>
        </w:trPr>
        <w:tc>
          <w:tcPr>
            <w:tcW w:w="29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920" w:type="dxa"/>
            <w:vAlign w:val="bottom"/>
            <w:gridSpan w:val="2"/>
            <w:shd w:val="clear" w:color="auto" w:fill="E5F1F8"/>
          </w:tcPr>
          <w:p>
            <w:pPr>
              <w:ind w:left="20"/>
              <w:spacing w:after="0" w:line="194" w:lineRule="exact"/>
              <w:rPr>
                <w:sz w:val="20"/>
                <w:szCs w:val="20"/>
                <w:color w:val="auto"/>
              </w:rPr>
            </w:pPr>
            <w:r>
              <w:rPr>
                <w:rFonts w:ascii="Calibri" w:cs="Calibri" w:eastAsia="Calibri" w:hAnsi="Calibri"/>
                <w:sz w:val="18"/>
                <w:szCs w:val="18"/>
                <w:color w:val="auto"/>
              </w:rPr>
              <w:t>South Texas Port #2 (Gulf Coast 41042</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8"/>
        </w:trPr>
        <w:tc>
          <w:tcPr>
            <w:tcW w:w="220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Portable #2 )</w:t>
            </w:r>
          </w:p>
        </w:tc>
        <w:tc>
          <w:tcPr>
            <w:tcW w:w="720" w:type="dxa"/>
            <w:vAlign w:val="bottom"/>
            <w:tcBorders>
              <w:bottom w:val="single" w:sz="8" w:color="E5F1F8"/>
            </w:tcBorders>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04</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147</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194"/>
        </w:trPr>
        <w:tc>
          <w:tcPr>
            <w:tcW w:w="2200" w:type="dxa"/>
            <w:vAlign w:val="bottom"/>
          </w:tcPr>
          <w:p>
            <w:pPr>
              <w:spacing w:after="0"/>
              <w:rPr>
                <w:sz w:val="16"/>
                <w:szCs w:val="16"/>
                <w:color w:val="auto"/>
              </w:rPr>
            </w:pPr>
          </w:p>
        </w:tc>
        <w:tc>
          <w:tcPr>
            <w:tcW w:w="720" w:type="dxa"/>
            <w:vAlign w:val="bottom"/>
          </w:tcPr>
          <w:p>
            <w:pPr>
              <w:ind w:left="140"/>
              <w:spacing w:after="0" w:line="194" w:lineRule="exact"/>
              <w:rPr>
                <w:sz w:val="20"/>
                <w:szCs w:val="20"/>
                <w:color w:val="auto"/>
              </w:rPr>
            </w:pPr>
            <w:r>
              <w:rPr>
                <w:rFonts w:ascii="Calibri" w:cs="Calibri" w:eastAsia="Calibri" w:hAnsi="Calibri"/>
                <w:sz w:val="18"/>
                <w:szCs w:val="18"/>
                <w:color w:val="auto"/>
              </w:rPr>
              <w:t>41028</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2200" w:type="dxa"/>
            <w:vAlign w:val="bottom"/>
          </w:tcPr>
          <w:p>
            <w:pPr>
              <w:ind w:left="20"/>
              <w:spacing w:after="0" w:line="215" w:lineRule="exact"/>
              <w:rPr>
                <w:sz w:val="20"/>
                <w:szCs w:val="20"/>
                <w:color w:val="auto"/>
              </w:rPr>
            </w:pPr>
            <w:r>
              <w:rPr>
                <w:rFonts w:ascii="Calibri" w:cs="Calibri" w:eastAsia="Calibri" w:hAnsi="Calibri"/>
                <w:sz w:val="18"/>
                <w:szCs w:val="18"/>
                <w:color w:val="auto"/>
              </w:rPr>
              <w:t>Tin Top SG</w:t>
            </w:r>
          </w:p>
        </w:tc>
        <w:tc>
          <w:tcPr>
            <w:tcW w:w="720" w:type="dxa"/>
            <w:vAlign w:val="bottom"/>
          </w:tcPr>
          <w:p>
            <w:pPr>
              <w:ind w:left="140"/>
              <w:spacing w:after="0" w:line="215" w:lineRule="exact"/>
              <w:rPr>
                <w:sz w:val="20"/>
                <w:szCs w:val="20"/>
                <w:color w:val="auto"/>
              </w:rPr>
            </w:pPr>
            <w:r>
              <w:rPr>
                <w:rFonts w:ascii="Calibri" w:cs="Calibri" w:eastAsia="Calibri" w:hAnsi="Calibri"/>
                <w:sz w:val="18"/>
                <w:szCs w:val="18"/>
                <w:color w:val="auto"/>
              </w:rPr>
              <w:t>52</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1,008</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4"/>
        </w:trPr>
        <w:tc>
          <w:tcPr>
            <w:tcW w:w="2200" w:type="dxa"/>
            <w:vAlign w:val="bottom"/>
            <w:shd w:val="clear" w:color="auto" w:fill="E5F1F8"/>
          </w:tcPr>
          <w:p>
            <w:pPr>
              <w:spacing w:after="0"/>
              <w:rPr>
                <w:sz w:val="16"/>
                <w:szCs w:val="16"/>
                <w:color w:val="auto"/>
              </w:rPr>
            </w:pPr>
          </w:p>
        </w:tc>
        <w:tc>
          <w:tcPr>
            <w:tcW w:w="720" w:type="dxa"/>
            <w:vAlign w:val="bottom"/>
            <w:shd w:val="clear" w:color="auto" w:fill="E5F1F8"/>
          </w:tcPr>
          <w:p>
            <w:pPr>
              <w:ind w:left="140"/>
              <w:spacing w:after="0" w:line="194" w:lineRule="exact"/>
              <w:rPr>
                <w:sz w:val="20"/>
                <w:szCs w:val="20"/>
                <w:color w:val="auto"/>
              </w:rPr>
            </w:pPr>
            <w:r>
              <w:rPr>
                <w:rFonts w:ascii="Calibri" w:cs="Calibri" w:eastAsia="Calibri" w:hAnsi="Calibri"/>
                <w:sz w:val="18"/>
                <w:szCs w:val="18"/>
                <w:color w:val="auto"/>
              </w:rPr>
              <w:t>41011</w:t>
            </w:r>
          </w:p>
        </w:tc>
        <w:tc>
          <w:tcPr>
            <w:tcW w:w="5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300" w:type="dxa"/>
            <w:vAlign w:val="bottom"/>
            <w:shd w:val="clear" w:color="auto" w:fill="E5F1F8"/>
          </w:tcPr>
          <w:p>
            <w:pPr>
              <w:spacing w:after="0"/>
              <w:rPr>
                <w:sz w:val="16"/>
                <w:szCs w:val="16"/>
                <w:color w:val="auto"/>
              </w:rPr>
            </w:pPr>
          </w:p>
        </w:tc>
        <w:tc>
          <w:tcPr>
            <w:tcW w:w="88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60" w:type="dxa"/>
            <w:vAlign w:val="bottom"/>
            <w:shd w:val="clear" w:color="auto" w:fill="E5F1F8"/>
          </w:tcPr>
          <w:p>
            <w:pPr>
              <w:spacing w:after="0"/>
              <w:rPr>
                <w:sz w:val="16"/>
                <w:szCs w:val="16"/>
                <w:color w:val="auto"/>
              </w:rPr>
            </w:pPr>
          </w:p>
        </w:tc>
        <w:tc>
          <w:tcPr>
            <w:tcW w:w="580" w:type="dxa"/>
            <w:vAlign w:val="bottom"/>
            <w:shd w:val="clear" w:color="auto" w:fill="E5F1F8"/>
          </w:tcPr>
          <w:p>
            <w:pPr>
              <w:spacing w:after="0"/>
              <w:rPr>
                <w:sz w:val="16"/>
                <w:szCs w:val="16"/>
                <w:color w:val="auto"/>
              </w:rPr>
            </w:pPr>
          </w:p>
        </w:tc>
        <w:tc>
          <w:tcPr>
            <w:tcW w:w="4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r>
      <w:tr>
        <w:trPr>
          <w:trHeight w:val="215"/>
        </w:trPr>
        <w:tc>
          <w:tcPr>
            <w:tcW w:w="2200" w:type="dxa"/>
            <w:vAlign w:val="bottom"/>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*******Vealmoor Plant</w:t>
            </w:r>
          </w:p>
        </w:tc>
        <w:tc>
          <w:tcPr>
            <w:tcW w:w="720" w:type="dxa"/>
            <w:vAlign w:val="bottom"/>
            <w:shd w:val="clear" w:color="auto" w:fill="E5F1F8"/>
          </w:tcPr>
          <w:p>
            <w:pPr>
              <w:ind w:left="140"/>
              <w:spacing w:after="0" w:line="215" w:lineRule="exact"/>
              <w:rPr>
                <w:sz w:val="20"/>
                <w:szCs w:val="20"/>
                <w:color w:val="auto"/>
              </w:rPr>
            </w:pPr>
            <w:r>
              <w:rPr>
                <w:rFonts w:ascii="Calibri" w:cs="Calibri" w:eastAsia="Calibri" w:hAnsi="Calibri"/>
                <w:sz w:val="18"/>
                <w:szCs w:val="18"/>
                <w:color w:val="auto"/>
              </w:rPr>
              <w:t>37</w:t>
            </w:r>
          </w:p>
        </w:tc>
        <w:tc>
          <w:tcPr>
            <w:tcW w:w="560" w:type="dxa"/>
            <w:vAlign w:val="bottom"/>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shd w:val="clear" w:color="auto" w:fill="E5F1F8"/>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60" w:type="dxa"/>
            <w:vAlign w:val="bottom"/>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580" w:type="dxa"/>
            <w:vAlign w:val="bottom"/>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3"/>
        </w:trPr>
        <w:tc>
          <w:tcPr>
            <w:tcW w:w="2200" w:type="dxa"/>
            <w:vAlign w:val="bottom"/>
            <w:shd w:val="clear" w:color="auto" w:fill="E5F1F8"/>
          </w:tcPr>
          <w:p>
            <w:pPr>
              <w:spacing w:after="0"/>
              <w:rPr>
                <w:sz w:val="2"/>
                <w:szCs w:val="2"/>
                <w:color w:val="auto"/>
              </w:rPr>
            </w:pPr>
          </w:p>
        </w:tc>
        <w:tc>
          <w:tcPr>
            <w:tcW w:w="720" w:type="dxa"/>
            <w:vAlign w:val="bottom"/>
            <w:shd w:val="clear" w:color="auto" w:fill="E5F1F8"/>
          </w:tcPr>
          <w:p>
            <w:pPr>
              <w:spacing w:after="0"/>
              <w:rPr>
                <w:sz w:val="2"/>
                <w:szCs w:val="2"/>
                <w:color w:val="auto"/>
              </w:rPr>
            </w:pPr>
          </w:p>
        </w:tc>
        <w:tc>
          <w:tcPr>
            <w:tcW w:w="560" w:type="dxa"/>
            <w:vAlign w:val="bottom"/>
            <w:shd w:val="clear" w:color="auto" w:fill="E5F1F8"/>
          </w:tcPr>
          <w:p>
            <w:pPr>
              <w:spacing w:after="0"/>
              <w:rPr>
                <w:sz w:val="2"/>
                <w:szCs w:val="2"/>
                <w:color w:val="auto"/>
              </w:rPr>
            </w:pPr>
          </w:p>
        </w:tc>
        <w:tc>
          <w:tcPr>
            <w:tcW w:w="580" w:type="dxa"/>
            <w:vAlign w:val="bottom"/>
            <w:shd w:val="clear" w:color="auto" w:fill="E5F1F8"/>
          </w:tcPr>
          <w:p>
            <w:pPr>
              <w:spacing w:after="0"/>
              <w:rPr>
                <w:sz w:val="2"/>
                <w:szCs w:val="2"/>
                <w:color w:val="auto"/>
              </w:rPr>
            </w:pPr>
          </w:p>
        </w:tc>
        <w:tc>
          <w:tcPr>
            <w:tcW w:w="660" w:type="dxa"/>
            <w:vAlign w:val="bottom"/>
            <w:shd w:val="clear" w:color="auto" w:fill="E5F1F8"/>
          </w:tcPr>
          <w:p>
            <w:pPr>
              <w:spacing w:after="0"/>
              <w:rPr>
                <w:sz w:val="2"/>
                <w:szCs w:val="2"/>
                <w:color w:val="auto"/>
              </w:rPr>
            </w:pPr>
          </w:p>
        </w:tc>
        <w:tc>
          <w:tcPr>
            <w:tcW w:w="600" w:type="dxa"/>
            <w:vAlign w:val="bottom"/>
            <w:shd w:val="clear" w:color="auto" w:fill="E5F1F8"/>
          </w:tcPr>
          <w:p>
            <w:pPr>
              <w:spacing w:after="0"/>
              <w:rPr>
                <w:sz w:val="2"/>
                <w:szCs w:val="2"/>
                <w:color w:val="auto"/>
              </w:rPr>
            </w:pPr>
          </w:p>
        </w:tc>
        <w:tc>
          <w:tcPr>
            <w:tcW w:w="440" w:type="dxa"/>
            <w:vAlign w:val="bottom"/>
            <w:shd w:val="clear" w:color="auto" w:fill="E5F1F8"/>
          </w:tcPr>
          <w:p>
            <w:pPr>
              <w:spacing w:after="0"/>
              <w:rPr>
                <w:sz w:val="2"/>
                <w:szCs w:val="2"/>
                <w:color w:val="auto"/>
              </w:rPr>
            </w:pPr>
          </w:p>
        </w:tc>
        <w:tc>
          <w:tcPr>
            <w:tcW w:w="300" w:type="dxa"/>
            <w:vAlign w:val="bottom"/>
            <w:shd w:val="clear" w:color="auto" w:fill="E5F1F8"/>
          </w:tcPr>
          <w:p>
            <w:pPr>
              <w:spacing w:after="0"/>
              <w:rPr>
                <w:sz w:val="2"/>
                <w:szCs w:val="2"/>
                <w:color w:val="auto"/>
              </w:rPr>
            </w:pPr>
          </w:p>
        </w:tc>
        <w:tc>
          <w:tcPr>
            <w:tcW w:w="880" w:type="dxa"/>
            <w:vAlign w:val="bottom"/>
            <w:shd w:val="clear" w:color="auto" w:fill="E5F1F8"/>
          </w:tcPr>
          <w:p>
            <w:pPr>
              <w:spacing w:after="0"/>
              <w:rPr>
                <w:sz w:val="2"/>
                <w:szCs w:val="2"/>
                <w:color w:val="auto"/>
              </w:rPr>
            </w:pPr>
          </w:p>
        </w:tc>
        <w:tc>
          <w:tcPr>
            <w:tcW w:w="740" w:type="dxa"/>
            <w:vAlign w:val="bottom"/>
            <w:shd w:val="clear" w:color="auto" w:fill="E5F1F8"/>
          </w:tcPr>
          <w:p>
            <w:pPr>
              <w:spacing w:after="0"/>
              <w:rPr>
                <w:sz w:val="2"/>
                <w:szCs w:val="2"/>
                <w:color w:val="auto"/>
              </w:rPr>
            </w:pPr>
          </w:p>
        </w:tc>
        <w:tc>
          <w:tcPr>
            <w:tcW w:w="840" w:type="dxa"/>
            <w:vAlign w:val="bottom"/>
            <w:shd w:val="clear" w:color="auto" w:fill="E5F1F8"/>
          </w:tcPr>
          <w:p>
            <w:pPr>
              <w:spacing w:after="0"/>
              <w:rPr>
                <w:sz w:val="2"/>
                <w:szCs w:val="2"/>
                <w:color w:val="auto"/>
              </w:rPr>
            </w:pPr>
          </w:p>
        </w:tc>
        <w:tc>
          <w:tcPr>
            <w:tcW w:w="760" w:type="dxa"/>
            <w:vAlign w:val="bottom"/>
            <w:shd w:val="clear" w:color="auto" w:fill="E5F1F8"/>
          </w:tcPr>
          <w:p>
            <w:pPr>
              <w:spacing w:after="0"/>
              <w:rPr>
                <w:sz w:val="2"/>
                <w:szCs w:val="2"/>
                <w:color w:val="auto"/>
              </w:rPr>
            </w:pPr>
          </w:p>
        </w:tc>
        <w:tc>
          <w:tcPr>
            <w:tcW w:w="580" w:type="dxa"/>
            <w:vAlign w:val="bottom"/>
            <w:shd w:val="clear" w:color="auto" w:fill="E5F1F8"/>
          </w:tcPr>
          <w:p>
            <w:pPr>
              <w:spacing w:after="0"/>
              <w:rPr>
                <w:sz w:val="2"/>
                <w:szCs w:val="2"/>
                <w:color w:val="auto"/>
              </w:rPr>
            </w:pPr>
          </w:p>
        </w:tc>
        <w:tc>
          <w:tcPr>
            <w:tcW w:w="460" w:type="dxa"/>
            <w:vAlign w:val="bottom"/>
            <w:shd w:val="clear" w:color="auto" w:fill="E5F1F8"/>
          </w:tcPr>
          <w:p>
            <w:pPr>
              <w:spacing w:after="0"/>
              <w:rPr>
                <w:sz w:val="2"/>
                <w:szCs w:val="2"/>
                <w:color w:val="auto"/>
              </w:rPr>
            </w:pPr>
          </w:p>
        </w:tc>
        <w:tc>
          <w:tcPr>
            <w:tcW w:w="920" w:type="dxa"/>
            <w:vAlign w:val="bottom"/>
            <w:shd w:val="clear" w:color="auto" w:fill="E5F1F8"/>
          </w:tcPr>
          <w:p>
            <w:pPr>
              <w:spacing w:after="0"/>
              <w:rPr>
                <w:sz w:val="2"/>
                <w:szCs w:val="2"/>
                <w:color w:val="auto"/>
              </w:rPr>
            </w:pPr>
          </w:p>
        </w:tc>
      </w:tr>
    </w:tbl>
    <w:p>
      <w:pPr>
        <w:sectPr>
          <w:pgSz w:w="11900" w:h="16838" w:orient="portrait"/>
          <w:cols w:equalWidth="0" w:num="1">
            <w:col w:w="11240"/>
          </w:cols>
          <w:pgMar w:left="320" w:top="760" w:right="339" w:bottom="0"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710565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20"/>
        </w:trPr>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Calibri" w:cs="Calibri" w:eastAsia="Calibri" w:hAnsi="Calibri"/>
                <w:sz w:val="18"/>
                <w:szCs w:val="18"/>
                <w:color w:val="auto"/>
                <w:w w:val="94"/>
              </w:rPr>
              <w:t>Appendix 1</w:t>
            </w:r>
          </w:p>
        </w:tc>
        <w:tc>
          <w:tcPr>
            <w:tcW w:w="0" w:type="dxa"/>
            <w:vAlign w:val="bottom"/>
          </w:tcPr>
          <w:p>
            <w:pPr>
              <w:spacing w:after="0"/>
              <w:rPr>
                <w:sz w:val="1"/>
                <w:szCs w:val="1"/>
                <w:color w:val="auto"/>
              </w:rPr>
            </w:pPr>
          </w:p>
        </w:tc>
      </w:tr>
      <w:tr>
        <w:trPr>
          <w:trHeight w:val="648"/>
        </w:trPr>
        <w:tc>
          <w:tcPr>
            <w:tcW w:w="206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Calibri" w:cs="Calibri" w:eastAsia="Calibri" w:hAnsi="Calibri"/>
                <w:sz w:val="18"/>
                <w:szCs w:val="18"/>
                <w:color w:val="auto"/>
              </w:rPr>
              <w:t>34020</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line="216" w:lineRule="exact"/>
              <w:rPr>
                <w:sz w:val="20"/>
                <w:szCs w:val="20"/>
                <w:color w:val="auto"/>
              </w:rPr>
            </w:pPr>
            <w:r>
              <w:rPr>
                <w:rFonts w:ascii="Calibri" w:cs="Calibri" w:eastAsia="Calibri" w:hAnsi="Calibri"/>
                <w:sz w:val="18"/>
                <w:szCs w:val="18"/>
                <w:color w:val="auto"/>
              </w:rPr>
              <w:t>Washita Quarry</w:t>
            </w:r>
          </w:p>
        </w:tc>
        <w:tc>
          <w:tcPr>
            <w:tcW w:w="760" w:type="dxa"/>
            <w:vAlign w:val="bottom"/>
          </w:tcPr>
          <w:p>
            <w:pPr>
              <w:ind w:left="280"/>
              <w:spacing w:after="0" w:line="216" w:lineRule="exact"/>
              <w:rPr>
                <w:sz w:val="20"/>
                <w:szCs w:val="20"/>
                <w:color w:val="auto"/>
              </w:rPr>
            </w:pPr>
            <w:r>
              <w:rPr>
                <w:rFonts w:ascii="Calibri" w:cs="Calibri" w:eastAsia="Calibri" w:hAnsi="Calibri"/>
                <w:sz w:val="18"/>
                <w:szCs w:val="18"/>
                <w:color w:val="auto"/>
              </w:rPr>
              <w:t>49</w:t>
            </w:r>
          </w:p>
        </w:tc>
        <w:tc>
          <w:tcPr>
            <w:tcW w:w="68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0</w:t>
            </w:r>
          </w:p>
        </w:tc>
        <w:tc>
          <w:tcPr>
            <w:tcW w:w="560" w:type="dxa"/>
            <w:vAlign w:val="bottom"/>
          </w:tcPr>
          <w:p>
            <w:pPr>
              <w:jc w:val="right"/>
              <w:ind w:right="17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6"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6"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6" w:lineRule="exact"/>
              <w:rPr>
                <w:sz w:val="20"/>
                <w:szCs w:val="20"/>
                <w:color w:val="auto"/>
              </w:rPr>
            </w:pPr>
            <w:r>
              <w:rPr>
                <w:rFonts w:ascii="Calibri" w:cs="Calibri" w:eastAsia="Calibri" w:hAnsi="Calibri"/>
                <w:sz w:val="18"/>
                <w:szCs w:val="18"/>
                <w:b w:val="1"/>
                <w:bCs w:val="1"/>
                <w:color w:val="auto"/>
              </w:rPr>
              <w:t>645</w:t>
            </w:r>
          </w:p>
        </w:tc>
        <w:tc>
          <w:tcPr>
            <w:tcW w:w="740" w:type="dxa"/>
            <w:vAlign w:val="bottom"/>
          </w:tcPr>
          <w:p>
            <w:pPr>
              <w:jc w:val="right"/>
              <w:ind w:right="270"/>
              <w:spacing w:after="0" w:line="216"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6" w:lineRule="exact"/>
              <w:rPr>
                <w:sz w:val="20"/>
                <w:szCs w:val="20"/>
                <w:color w:val="auto"/>
              </w:rPr>
            </w:pPr>
            <w:r>
              <w:rPr>
                <w:rFonts w:ascii="Calibri" w:cs="Calibri" w:eastAsia="Calibri" w:hAnsi="Calibri"/>
                <w:sz w:val="18"/>
                <w:szCs w:val="18"/>
                <w:color w:val="auto"/>
              </w:rPr>
              <w:t>no</w:t>
            </w:r>
          </w:p>
        </w:tc>
        <w:tc>
          <w:tcPr>
            <w:tcW w:w="720" w:type="dxa"/>
            <w:vAlign w:val="bottom"/>
          </w:tcPr>
          <w:p>
            <w:pPr>
              <w:ind w:left="300"/>
              <w:spacing w:after="0" w:line="216" w:lineRule="exact"/>
              <w:rPr>
                <w:sz w:val="20"/>
                <w:szCs w:val="20"/>
                <w:color w:val="auto"/>
              </w:rPr>
            </w:pPr>
            <w:r>
              <w:rPr>
                <w:rFonts w:ascii="Calibri" w:cs="Calibri" w:eastAsia="Calibri" w:hAnsi="Calibri"/>
                <w:sz w:val="18"/>
                <w:szCs w:val="18"/>
                <w:color w:val="auto"/>
              </w:rPr>
              <w:t>no</w:t>
            </w:r>
          </w:p>
        </w:tc>
        <w:tc>
          <w:tcPr>
            <w:tcW w:w="62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480" w:type="dxa"/>
            <w:vAlign w:val="bottom"/>
          </w:tcPr>
          <w:p>
            <w:pPr>
              <w:jc w:val="center"/>
              <w:ind w:left="10"/>
              <w:spacing w:after="0" w:line="216" w:lineRule="exact"/>
              <w:rPr>
                <w:sz w:val="20"/>
                <w:szCs w:val="20"/>
                <w:color w:val="auto"/>
              </w:rPr>
            </w:pPr>
            <w:r>
              <w:rPr>
                <w:rFonts w:ascii="Calibri" w:cs="Calibri" w:eastAsia="Calibri" w:hAnsi="Calibri"/>
                <w:sz w:val="18"/>
                <w:szCs w:val="18"/>
                <w:color w:val="auto"/>
              </w:rPr>
              <w:t>0</w:t>
            </w:r>
          </w:p>
        </w:tc>
        <w:tc>
          <w:tcPr>
            <w:tcW w:w="900" w:type="dxa"/>
            <w:vAlign w:val="bottom"/>
          </w:tcPr>
          <w:p>
            <w:pPr>
              <w:jc w:val="center"/>
              <w:ind w:left="10"/>
              <w:spacing w:after="0" w:line="216" w:lineRule="exact"/>
              <w:rPr>
                <w:sz w:val="20"/>
                <w:szCs w:val="20"/>
                <w:color w:val="auto"/>
              </w:rPr>
            </w:pPr>
            <w:r>
              <w:rPr>
                <w:rFonts w:ascii="Calibri" w:cs="Calibri" w:eastAsia="Calibri" w:hAnsi="Calibri"/>
                <w:sz w:val="18"/>
                <w:szCs w:val="18"/>
                <w:color w:val="auto"/>
                <w:w w:val="87"/>
              </w:rPr>
              <w:t>0</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60" w:type="dxa"/>
            <w:vAlign w:val="bottom"/>
            <w:shd w:val="clear" w:color="auto" w:fill="E5F1F8"/>
          </w:tcPr>
          <w:p>
            <w:pPr>
              <w:spacing w:after="0"/>
              <w:rPr>
                <w:sz w:val="16"/>
                <w:szCs w:val="16"/>
                <w:color w:val="auto"/>
              </w:rPr>
            </w:pPr>
          </w:p>
        </w:tc>
        <w:tc>
          <w:tcPr>
            <w:tcW w:w="760" w:type="dxa"/>
            <w:vAlign w:val="bottom"/>
            <w:shd w:val="clear" w:color="auto" w:fill="E5F1F8"/>
          </w:tcPr>
          <w:p>
            <w:pPr>
              <w:ind w:left="280"/>
              <w:spacing w:after="0" w:line="194" w:lineRule="exact"/>
              <w:rPr>
                <w:sz w:val="20"/>
                <w:szCs w:val="20"/>
                <w:color w:val="auto"/>
              </w:rPr>
            </w:pPr>
            <w:r>
              <w:rPr>
                <w:rFonts w:ascii="Calibri" w:cs="Calibri" w:eastAsia="Calibri" w:hAnsi="Calibri"/>
                <w:sz w:val="18"/>
                <w:szCs w:val="18"/>
                <w:color w:val="auto"/>
              </w:rPr>
              <w:t>41043</w:t>
            </w:r>
          </w:p>
        </w:tc>
        <w:tc>
          <w:tcPr>
            <w:tcW w:w="68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480" w:type="dxa"/>
            <w:vAlign w:val="bottom"/>
            <w:shd w:val="clear" w:color="auto" w:fill="E5F1F8"/>
          </w:tcPr>
          <w:p>
            <w:pPr>
              <w:spacing w:after="0"/>
              <w:rPr>
                <w:sz w:val="16"/>
                <w:szCs w:val="16"/>
                <w:color w:val="auto"/>
              </w:rPr>
            </w:pPr>
          </w:p>
        </w:tc>
        <w:tc>
          <w:tcPr>
            <w:tcW w:w="900" w:type="dxa"/>
            <w:vAlign w:val="bottom"/>
            <w:shd w:val="clear" w:color="auto" w:fill="E5F1F8"/>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Webberville</w:t>
            </w:r>
          </w:p>
        </w:tc>
        <w:tc>
          <w:tcPr>
            <w:tcW w:w="760" w:type="dxa"/>
            <w:vAlign w:val="bottom"/>
            <w:tcBorders>
              <w:bottom w:val="single" w:sz="8" w:color="E5F1F8"/>
            </w:tcBorders>
            <w:shd w:val="clear" w:color="auto" w:fill="E5F1F8"/>
          </w:tcPr>
          <w:p>
            <w:pPr>
              <w:ind w:left="280"/>
              <w:spacing w:after="0" w:line="215" w:lineRule="exact"/>
              <w:rPr>
                <w:sz w:val="20"/>
                <w:szCs w:val="20"/>
                <w:color w:val="auto"/>
              </w:rPr>
            </w:pPr>
            <w:r>
              <w:rPr>
                <w:rFonts w:ascii="Calibri" w:cs="Calibri" w:eastAsia="Calibri" w:hAnsi="Calibri"/>
                <w:sz w:val="18"/>
                <w:szCs w:val="18"/>
                <w:color w:val="auto"/>
              </w:rPr>
              <w:t>63</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294</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2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center"/>
              <w:ind w:left="10"/>
              <w:spacing w:after="0" w:line="215" w:lineRule="exact"/>
              <w:rPr>
                <w:sz w:val="20"/>
                <w:szCs w:val="20"/>
                <w:color w:val="auto"/>
              </w:rPr>
            </w:pPr>
            <w:r>
              <w:rPr>
                <w:rFonts w:ascii="Calibri" w:cs="Calibri" w:eastAsia="Calibri" w:hAnsi="Calibri"/>
                <w:sz w:val="18"/>
                <w:szCs w:val="18"/>
                <w:color w:val="auto"/>
              </w:rPr>
              <w:t>0</w:t>
            </w:r>
          </w:p>
        </w:tc>
        <w:tc>
          <w:tcPr>
            <w:tcW w:w="900" w:type="dxa"/>
            <w:vAlign w:val="bottom"/>
            <w:tcBorders>
              <w:bottom w:val="single" w:sz="8" w:color="E5F1F8"/>
            </w:tcBorders>
            <w:shd w:val="clear" w:color="auto" w:fill="E5F1F8"/>
          </w:tcPr>
          <w:p>
            <w:pPr>
              <w:jc w:val="center"/>
              <w:ind w:left="10"/>
              <w:spacing w:after="0" w:line="215" w:lineRule="exact"/>
              <w:rPr>
                <w:sz w:val="20"/>
                <w:szCs w:val="20"/>
                <w:color w:val="auto"/>
              </w:rPr>
            </w:pPr>
            <w:r>
              <w:rPr>
                <w:rFonts w:ascii="Calibri" w:cs="Calibri" w:eastAsia="Calibri" w:hAnsi="Calibri"/>
                <w:sz w:val="18"/>
                <w:szCs w:val="18"/>
                <w:color w:val="auto"/>
                <w:w w:val="87"/>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760" w:type="dxa"/>
            <w:vAlign w:val="bottom"/>
          </w:tcPr>
          <w:p>
            <w:pPr>
              <w:ind w:left="280"/>
              <w:spacing w:after="0" w:line="194" w:lineRule="exact"/>
              <w:rPr>
                <w:sz w:val="20"/>
                <w:szCs w:val="20"/>
                <w:color w:val="auto"/>
              </w:rPr>
            </w:pPr>
            <w:r>
              <w:rPr>
                <w:rFonts w:ascii="Calibri" w:cs="Calibri" w:eastAsia="Calibri" w:hAnsi="Calibri"/>
                <w:sz w:val="18"/>
                <w:szCs w:val="18"/>
                <w:color w:val="auto"/>
              </w:rPr>
              <w:t>16010</w:t>
            </w: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60" w:type="dxa"/>
            <w:vAlign w:val="bottom"/>
          </w:tcPr>
          <w:p>
            <w:pPr>
              <w:ind w:left="20"/>
              <w:spacing w:after="0" w:line="215" w:lineRule="exact"/>
              <w:rPr>
                <w:sz w:val="20"/>
                <w:szCs w:val="20"/>
                <w:color w:val="auto"/>
              </w:rPr>
            </w:pPr>
            <w:r>
              <w:rPr>
                <w:rFonts w:ascii="Calibri" w:cs="Calibri" w:eastAsia="Calibri" w:hAnsi="Calibri"/>
                <w:sz w:val="18"/>
                <w:szCs w:val="18"/>
                <w:color w:val="auto"/>
              </w:rPr>
              <w:t>Woodworth Aggregates</w:t>
            </w:r>
          </w:p>
        </w:tc>
        <w:tc>
          <w:tcPr>
            <w:tcW w:w="760" w:type="dxa"/>
            <w:vAlign w:val="bottom"/>
          </w:tcPr>
          <w:p>
            <w:pPr>
              <w:ind w:left="280"/>
              <w:spacing w:after="0" w:line="215" w:lineRule="exact"/>
              <w:rPr>
                <w:sz w:val="20"/>
                <w:szCs w:val="20"/>
                <w:color w:val="auto"/>
              </w:rPr>
            </w:pPr>
            <w:r>
              <w:rPr>
                <w:rFonts w:ascii="Calibri" w:cs="Calibri" w:eastAsia="Calibri" w:hAnsi="Calibri"/>
                <w:sz w:val="18"/>
                <w:szCs w:val="18"/>
                <w:color w:val="auto"/>
              </w:rPr>
              <w:t>70</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2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center"/>
              <w:ind w:left="10"/>
              <w:spacing w:after="0" w:line="215" w:lineRule="exact"/>
              <w:rPr>
                <w:sz w:val="20"/>
                <w:szCs w:val="20"/>
                <w:color w:val="auto"/>
              </w:rPr>
            </w:pPr>
            <w:r>
              <w:rPr>
                <w:rFonts w:ascii="Calibri" w:cs="Calibri" w:eastAsia="Calibri" w:hAnsi="Calibri"/>
                <w:sz w:val="18"/>
                <w:szCs w:val="18"/>
                <w:color w:val="auto"/>
              </w:rPr>
              <w:t>0</w:t>
            </w:r>
          </w:p>
        </w:tc>
        <w:tc>
          <w:tcPr>
            <w:tcW w:w="900" w:type="dxa"/>
            <w:vAlign w:val="bottom"/>
          </w:tcPr>
          <w:p>
            <w:pPr>
              <w:jc w:val="center"/>
              <w:ind w:left="10"/>
              <w:spacing w:after="0" w:line="215" w:lineRule="exact"/>
              <w:rPr>
                <w:sz w:val="20"/>
                <w:szCs w:val="20"/>
                <w:color w:val="auto"/>
              </w:rPr>
            </w:pPr>
            <w:r>
              <w:rPr>
                <w:rFonts w:ascii="Calibri" w:cs="Calibri" w:eastAsia="Calibri" w:hAnsi="Calibri"/>
                <w:sz w:val="18"/>
                <w:szCs w:val="18"/>
                <w:color w:val="auto"/>
                <w:w w:val="87"/>
              </w:rPr>
              <w:t>0</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60" w:type="dxa"/>
            <w:vAlign w:val="bottom"/>
            <w:shd w:val="clear" w:color="auto" w:fill="E5F1F8"/>
          </w:tcPr>
          <w:p>
            <w:pPr>
              <w:spacing w:after="0"/>
              <w:rPr>
                <w:sz w:val="16"/>
                <w:szCs w:val="16"/>
                <w:color w:val="auto"/>
              </w:rPr>
            </w:pPr>
          </w:p>
        </w:tc>
        <w:tc>
          <w:tcPr>
            <w:tcW w:w="760" w:type="dxa"/>
            <w:vAlign w:val="bottom"/>
            <w:shd w:val="clear" w:color="auto" w:fill="E5F1F8"/>
          </w:tcPr>
          <w:p>
            <w:pPr>
              <w:ind w:left="280"/>
              <w:spacing w:after="0" w:line="194" w:lineRule="exact"/>
              <w:rPr>
                <w:sz w:val="20"/>
                <w:szCs w:val="20"/>
                <w:color w:val="auto"/>
              </w:rPr>
            </w:pPr>
            <w:r>
              <w:rPr>
                <w:rFonts w:ascii="Calibri" w:cs="Calibri" w:eastAsia="Calibri" w:hAnsi="Calibri"/>
                <w:sz w:val="18"/>
                <w:szCs w:val="18"/>
                <w:color w:val="auto"/>
              </w:rPr>
              <w:t>33001</w:t>
            </w:r>
          </w:p>
        </w:tc>
        <w:tc>
          <w:tcPr>
            <w:tcW w:w="680" w:type="dxa"/>
            <w:vAlign w:val="bottom"/>
            <w:shd w:val="clear" w:color="auto" w:fill="E5F1F8"/>
          </w:tcPr>
          <w:p>
            <w:pPr>
              <w:spacing w:after="0"/>
              <w:rPr>
                <w:sz w:val="16"/>
                <w:szCs w:val="16"/>
                <w:color w:val="auto"/>
              </w:rPr>
            </w:pPr>
          </w:p>
        </w:tc>
        <w:tc>
          <w:tcPr>
            <w:tcW w:w="560" w:type="dxa"/>
            <w:vAlign w:val="bottom"/>
            <w:shd w:val="clear" w:color="auto" w:fill="E5F1F8"/>
          </w:tcPr>
          <w:p>
            <w:pPr>
              <w:spacing w:after="0"/>
              <w:rPr>
                <w:sz w:val="16"/>
                <w:szCs w:val="16"/>
                <w:color w:val="auto"/>
              </w:rPr>
            </w:pPr>
          </w:p>
        </w:tc>
        <w:tc>
          <w:tcPr>
            <w:tcW w:w="660" w:type="dxa"/>
            <w:vAlign w:val="bottom"/>
            <w:shd w:val="clear" w:color="auto" w:fill="E5F1F8"/>
          </w:tcPr>
          <w:p>
            <w:pPr>
              <w:spacing w:after="0"/>
              <w:rPr>
                <w:sz w:val="16"/>
                <w:szCs w:val="16"/>
                <w:color w:val="auto"/>
              </w:rPr>
            </w:pPr>
          </w:p>
        </w:tc>
        <w:tc>
          <w:tcPr>
            <w:tcW w:w="600" w:type="dxa"/>
            <w:vAlign w:val="bottom"/>
            <w:shd w:val="clear" w:color="auto" w:fill="E5F1F8"/>
          </w:tcPr>
          <w:p>
            <w:pPr>
              <w:spacing w:after="0"/>
              <w:rPr>
                <w:sz w:val="16"/>
                <w:szCs w:val="16"/>
                <w:color w:val="auto"/>
              </w:rPr>
            </w:pPr>
          </w:p>
        </w:tc>
        <w:tc>
          <w:tcPr>
            <w:tcW w:w="44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740" w:type="dxa"/>
            <w:vAlign w:val="bottom"/>
            <w:shd w:val="clear" w:color="auto" w:fill="E5F1F8"/>
          </w:tcPr>
          <w:p>
            <w:pPr>
              <w:spacing w:after="0"/>
              <w:rPr>
                <w:sz w:val="16"/>
                <w:szCs w:val="16"/>
                <w:color w:val="auto"/>
              </w:rPr>
            </w:pPr>
          </w:p>
        </w:tc>
        <w:tc>
          <w:tcPr>
            <w:tcW w:w="840" w:type="dxa"/>
            <w:vAlign w:val="bottom"/>
            <w:shd w:val="clear" w:color="auto" w:fill="E5F1F8"/>
          </w:tcPr>
          <w:p>
            <w:pPr>
              <w:spacing w:after="0"/>
              <w:rPr>
                <w:sz w:val="16"/>
                <w:szCs w:val="16"/>
                <w:color w:val="auto"/>
              </w:rPr>
            </w:pPr>
          </w:p>
        </w:tc>
        <w:tc>
          <w:tcPr>
            <w:tcW w:w="720" w:type="dxa"/>
            <w:vAlign w:val="bottom"/>
            <w:shd w:val="clear" w:color="auto" w:fill="E5F1F8"/>
          </w:tcPr>
          <w:p>
            <w:pPr>
              <w:spacing w:after="0"/>
              <w:rPr>
                <w:sz w:val="16"/>
                <w:szCs w:val="16"/>
                <w:color w:val="auto"/>
              </w:rPr>
            </w:pPr>
          </w:p>
        </w:tc>
        <w:tc>
          <w:tcPr>
            <w:tcW w:w="620" w:type="dxa"/>
            <w:vAlign w:val="bottom"/>
            <w:shd w:val="clear" w:color="auto" w:fill="E5F1F8"/>
          </w:tcPr>
          <w:p>
            <w:pPr>
              <w:spacing w:after="0"/>
              <w:rPr>
                <w:sz w:val="16"/>
                <w:szCs w:val="16"/>
                <w:color w:val="auto"/>
              </w:rPr>
            </w:pPr>
          </w:p>
        </w:tc>
        <w:tc>
          <w:tcPr>
            <w:tcW w:w="480" w:type="dxa"/>
            <w:vAlign w:val="bottom"/>
            <w:shd w:val="clear" w:color="auto" w:fill="E5F1F8"/>
          </w:tcPr>
          <w:p>
            <w:pPr>
              <w:spacing w:after="0"/>
              <w:rPr>
                <w:sz w:val="16"/>
                <w:szCs w:val="16"/>
                <w:color w:val="auto"/>
              </w:rPr>
            </w:pPr>
          </w:p>
        </w:tc>
        <w:tc>
          <w:tcPr>
            <w:tcW w:w="900" w:type="dxa"/>
            <w:vAlign w:val="bottom"/>
            <w:shd w:val="clear" w:color="auto" w:fill="E5F1F8"/>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Woodville - Stone</w:t>
            </w:r>
          </w:p>
        </w:tc>
        <w:tc>
          <w:tcPr>
            <w:tcW w:w="760" w:type="dxa"/>
            <w:vAlign w:val="bottom"/>
            <w:tcBorders>
              <w:bottom w:val="single" w:sz="8" w:color="E5F1F8"/>
            </w:tcBorders>
            <w:shd w:val="clear" w:color="auto" w:fill="E5F1F8"/>
          </w:tcPr>
          <w:p>
            <w:pPr>
              <w:ind w:left="280"/>
              <w:spacing w:after="0" w:line="215" w:lineRule="exact"/>
              <w:rPr>
                <w:sz w:val="20"/>
                <w:szCs w:val="20"/>
                <w:color w:val="auto"/>
              </w:rPr>
            </w:pPr>
            <w:r>
              <w:rPr>
                <w:rFonts w:ascii="Calibri" w:cs="Calibri" w:eastAsia="Calibri" w:hAnsi="Calibri"/>
                <w:sz w:val="18"/>
                <w:szCs w:val="18"/>
                <w:color w:val="auto"/>
              </w:rPr>
              <w:t>56</w:t>
            </w:r>
          </w:p>
        </w:tc>
        <w:tc>
          <w:tcPr>
            <w:tcW w:w="6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6,623</w:t>
            </w:r>
          </w:p>
        </w:tc>
        <w:tc>
          <w:tcPr>
            <w:tcW w:w="74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no</w:t>
            </w:r>
          </w:p>
        </w:tc>
        <w:tc>
          <w:tcPr>
            <w:tcW w:w="72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center"/>
              <w:ind w:left="10"/>
              <w:spacing w:after="0" w:line="215" w:lineRule="exact"/>
              <w:rPr>
                <w:sz w:val="20"/>
                <w:szCs w:val="20"/>
                <w:color w:val="auto"/>
              </w:rPr>
            </w:pPr>
            <w:r>
              <w:rPr>
                <w:rFonts w:ascii="Calibri" w:cs="Calibri" w:eastAsia="Calibri" w:hAnsi="Calibri"/>
                <w:sz w:val="18"/>
                <w:szCs w:val="18"/>
                <w:color w:val="auto"/>
              </w:rPr>
              <w:t>1</w:t>
            </w:r>
          </w:p>
        </w:tc>
        <w:tc>
          <w:tcPr>
            <w:tcW w:w="900" w:type="dxa"/>
            <w:vAlign w:val="bottom"/>
            <w:tcBorders>
              <w:bottom w:val="single" w:sz="8" w:color="E5F1F8"/>
            </w:tcBorders>
            <w:shd w:val="clear" w:color="auto" w:fill="E5F1F8"/>
          </w:tcPr>
          <w:p>
            <w:pPr>
              <w:jc w:val="center"/>
              <w:ind w:left="10"/>
              <w:spacing w:after="0" w:line="215" w:lineRule="exact"/>
              <w:rPr>
                <w:sz w:val="20"/>
                <w:szCs w:val="20"/>
                <w:color w:val="auto"/>
              </w:rPr>
            </w:pPr>
            <w:r>
              <w:rPr>
                <w:rFonts w:ascii="Calibri" w:cs="Calibri" w:eastAsia="Calibri" w:hAnsi="Calibri"/>
                <w:sz w:val="18"/>
                <w:szCs w:val="18"/>
                <w:color w:val="auto"/>
                <w:w w:val="87"/>
              </w:rPr>
              <w:t>4</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760" w:type="dxa"/>
            <w:vAlign w:val="bottom"/>
          </w:tcPr>
          <w:p>
            <w:pPr>
              <w:ind w:left="280"/>
              <w:spacing w:after="0" w:line="194" w:lineRule="exact"/>
              <w:rPr>
                <w:sz w:val="20"/>
                <w:szCs w:val="20"/>
                <w:color w:val="auto"/>
              </w:rPr>
            </w:pPr>
            <w:r>
              <w:rPr>
                <w:rFonts w:ascii="Calibri" w:cs="Calibri" w:eastAsia="Calibri" w:hAnsi="Calibri"/>
                <w:sz w:val="18"/>
                <w:szCs w:val="18"/>
                <w:color w:val="auto"/>
                <w:w w:val="99"/>
              </w:rPr>
              <w:t>00B71</w:t>
            </w: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60" w:type="dxa"/>
            <w:vAlign w:val="bottom"/>
          </w:tcPr>
          <w:p>
            <w:pPr>
              <w:ind w:left="20"/>
              <w:spacing w:after="0" w:line="215" w:lineRule="exact"/>
              <w:rPr>
                <w:sz w:val="20"/>
                <w:szCs w:val="20"/>
                <w:color w:val="auto"/>
              </w:rPr>
            </w:pPr>
            <w:r>
              <w:rPr>
                <w:rFonts w:ascii="Calibri" w:cs="Calibri" w:eastAsia="Calibri" w:hAnsi="Calibri"/>
                <w:sz w:val="18"/>
                <w:szCs w:val="18"/>
                <w:color w:val="auto"/>
              </w:rPr>
              <w:t>Geology and Exploraton</w:t>
            </w:r>
          </w:p>
        </w:tc>
        <w:tc>
          <w:tcPr>
            <w:tcW w:w="760" w:type="dxa"/>
            <w:vAlign w:val="bottom"/>
          </w:tcPr>
          <w:p>
            <w:pPr>
              <w:ind w:left="280"/>
              <w:spacing w:after="0" w:line="215" w:lineRule="exact"/>
              <w:rPr>
                <w:sz w:val="20"/>
                <w:szCs w:val="20"/>
                <w:color w:val="auto"/>
              </w:rPr>
            </w:pPr>
            <w:r>
              <w:rPr>
                <w:rFonts w:ascii="Calibri" w:cs="Calibri" w:eastAsia="Calibri" w:hAnsi="Calibri"/>
                <w:sz w:val="18"/>
                <w:szCs w:val="18"/>
                <w:color w:val="auto"/>
              </w:rPr>
              <w:t>27</w:t>
            </w:r>
          </w:p>
        </w:tc>
        <w:tc>
          <w:tcPr>
            <w:tcW w:w="68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0</w:t>
            </w:r>
          </w:p>
        </w:tc>
        <w:tc>
          <w:tcPr>
            <w:tcW w:w="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0</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74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ind w:left="360"/>
              <w:spacing w:after="0" w:line="215" w:lineRule="exact"/>
              <w:rPr>
                <w:sz w:val="20"/>
                <w:szCs w:val="20"/>
                <w:color w:val="auto"/>
              </w:rPr>
            </w:pPr>
            <w:r>
              <w:rPr>
                <w:rFonts w:ascii="Calibri" w:cs="Calibri" w:eastAsia="Calibri" w:hAnsi="Calibri"/>
                <w:sz w:val="18"/>
                <w:szCs w:val="18"/>
                <w:color w:val="auto"/>
              </w:rPr>
              <w:t>no</w:t>
            </w:r>
          </w:p>
        </w:tc>
        <w:tc>
          <w:tcPr>
            <w:tcW w:w="720" w:type="dxa"/>
            <w:vAlign w:val="bottom"/>
          </w:tcPr>
          <w:p>
            <w:pPr>
              <w:ind w:left="30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center"/>
              <w:ind w:left="10"/>
              <w:spacing w:after="0" w:line="215" w:lineRule="exact"/>
              <w:rPr>
                <w:sz w:val="20"/>
                <w:szCs w:val="20"/>
                <w:color w:val="auto"/>
              </w:rPr>
            </w:pPr>
            <w:r>
              <w:rPr>
                <w:rFonts w:ascii="Calibri" w:cs="Calibri" w:eastAsia="Calibri" w:hAnsi="Calibri"/>
                <w:sz w:val="18"/>
                <w:szCs w:val="18"/>
                <w:color w:val="auto"/>
              </w:rPr>
              <w:t>0</w:t>
            </w:r>
          </w:p>
        </w:tc>
        <w:tc>
          <w:tcPr>
            <w:tcW w:w="900" w:type="dxa"/>
            <w:vAlign w:val="bottom"/>
          </w:tcPr>
          <w:p>
            <w:pPr>
              <w:jc w:val="center"/>
              <w:ind w:left="10"/>
              <w:spacing w:after="0" w:line="215" w:lineRule="exact"/>
              <w:rPr>
                <w:sz w:val="20"/>
                <w:szCs w:val="20"/>
                <w:color w:val="auto"/>
              </w:rPr>
            </w:pPr>
            <w:r>
              <w:rPr>
                <w:rFonts w:ascii="Calibri" w:cs="Calibri" w:eastAsia="Calibri" w:hAnsi="Calibri"/>
                <w:sz w:val="18"/>
                <w:szCs w:val="18"/>
                <w:color w:val="auto"/>
                <w:w w:val="87"/>
              </w:rPr>
              <w:t>0</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60" w:type="dxa"/>
            <w:vAlign w:val="bottom"/>
            <w:shd w:val="clear" w:color="auto" w:fill="E5F1F8"/>
          </w:tcPr>
          <w:p>
            <w:pPr>
              <w:spacing w:after="0"/>
              <w:rPr>
                <w:sz w:val="16"/>
                <w:szCs w:val="16"/>
                <w:color w:val="auto"/>
              </w:rPr>
            </w:pPr>
          </w:p>
        </w:tc>
        <w:tc>
          <w:tcPr>
            <w:tcW w:w="760" w:type="dxa"/>
            <w:vAlign w:val="bottom"/>
            <w:shd w:val="clear" w:color="auto" w:fill="E5F1F8"/>
          </w:tcPr>
          <w:p>
            <w:pPr>
              <w:ind w:left="280"/>
              <w:spacing w:after="0" w:line="194" w:lineRule="exact"/>
              <w:rPr>
                <w:sz w:val="20"/>
                <w:szCs w:val="20"/>
                <w:color w:val="auto"/>
              </w:rPr>
            </w:pPr>
            <w:r>
              <w:rPr>
                <w:rFonts w:ascii="Calibri" w:cs="Calibri" w:eastAsia="Calibri" w:hAnsi="Calibri"/>
                <w:sz w:val="18"/>
                <w:szCs w:val="18"/>
                <w:color w:val="auto"/>
                <w:w w:val="99"/>
              </w:rPr>
              <w:t>00B93</w:t>
            </w:r>
          </w:p>
        </w:tc>
        <w:tc>
          <w:tcPr>
            <w:tcW w:w="680" w:type="dxa"/>
            <w:vAlign w:val="bottom"/>
            <w:vMerge w:val="restart"/>
            <w:shd w:val="clear" w:color="auto" w:fill="E5F1F8"/>
          </w:tcPr>
          <w:p>
            <w:pPr>
              <w:jc w:val="center"/>
              <w:spacing w:after="0"/>
              <w:rPr>
                <w:sz w:val="20"/>
                <w:szCs w:val="20"/>
                <w:color w:val="auto"/>
              </w:rPr>
            </w:pPr>
            <w:r>
              <w:rPr>
                <w:rFonts w:ascii="Calibri" w:cs="Calibri" w:eastAsia="Calibri" w:hAnsi="Calibri"/>
                <w:sz w:val="18"/>
                <w:szCs w:val="18"/>
                <w:color w:val="auto"/>
                <w:w w:val="87"/>
              </w:rPr>
              <w:t>0</w:t>
            </w:r>
          </w:p>
        </w:tc>
        <w:tc>
          <w:tcPr>
            <w:tcW w:w="560" w:type="dxa"/>
            <w:vAlign w:val="bottom"/>
            <w:vMerge w:val="restart"/>
            <w:shd w:val="clear" w:color="auto" w:fill="E5F1F8"/>
          </w:tcPr>
          <w:p>
            <w:pPr>
              <w:jc w:val="right"/>
              <w:ind w:right="170"/>
              <w:spacing w:after="0"/>
              <w:rPr>
                <w:sz w:val="20"/>
                <w:szCs w:val="20"/>
                <w:color w:val="auto"/>
              </w:rPr>
            </w:pPr>
            <w:r>
              <w:rPr>
                <w:rFonts w:ascii="Calibri" w:cs="Calibri" w:eastAsia="Calibri" w:hAnsi="Calibri"/>
                <w:sz w:val="18"/>
                <w:szCs w:val="18"/>
                <w:color w:val="auto"/>
              </w:rPr>
              <w:t>0</w:t>
            </w:r>
          </w:p>
        </w:tc>
        <w:tc>
          <w:tcPr>
            <w:tcW w:w="660" w:type="dxa"/>
            <w:vAlign w:val="bottom"/>
            <w:vMerge w:val="restart"/>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600" w:type="dxa"/>
            <w:vAlign w:val="bottom"/>
            <w:vMerge w:val="restart"/>
            <w:shd w:val="clear" w:color="auto" w:fill="E5F1F8"/>
          </w:tcPr>
          <w:p>
            <w:pPr>
              <w:jc w:val="right"/>
              <w:ind w:right="130"/>
              <w:spacing w:after="0"/>
              <w:rPr>
                <w:sz w:val="20"/>
                <w:szCs w:val="20"/>
                <w:color w:val="auto"/>
              </w:rPr>
            </w:pPr>
            <w:r>
              <w:rPr>
                <w:rFonts w:ascii="Calibri" w:cs="Calibri" w:eastAsia="Calibri" w:hAnsi="Calibri"/>
                <w:sz w:val="18"/>
                <w:szCs w:val="18"/>
                <w:color w:val="auto"/>
              </w:rPr>
              <w:t>0</w:t>
            </w:r>
          </w:p>
        </w:tc>
        <w:tc>
          <w:tcPr>
            <w:tcW w:w="440" w:type="dxa"/>
            <w:vAlign w:val="bottom"/>
            <w:vMerge w:val="restart"/>
            <w:shd w:val="clear" w:color="auto" w:fill="E5F1F8"/>
          </w:tcPr>
          <w:p>
            <w:pPr>
              <w:jc w:val="right"/>
              <w:ind w:right="10"/>
              <w:spacing w:after="0"/>
              <w:rPr>
                <w:sz w:val="20"/>
                <w:szCs w:val="20"/>
                <w:color w:val="auto"/>
              </w:rPr>
            </w:pPr>
            <w:r>
              <w:rPr>
                <w:rFonts w:ascii="Calibri" w:cs="Calibri" w:eastAsia="Calibri" w:hAnsi="Calibri"/>
                <w:sz w:val="18"/>
                <w:szCs w:val="18"/>
                <w:color w:val="auto"/>
              </w:rPr>
              <w:t>0</w:t>
            </w:r>
          </w:p>
        </w:tc>
        <w:tc>
          <w:tcPr>
            <w:tcW w:w="260" w:type="dxa"/>
            <w:vAlign w:val="bottom"/>
            <w:vMerge w:val="restart"/>
            <w:shd w:val="clear" w:color="auto" w:fill="E5F1F8"/>
          </w:tcPr>
          <w:p>
            <w:pPr>
              <w:jc w:val="right"/>
              <w:spacing w:after="0"/>
              <w:rPr>
                <w:sz w:val="20"/>
                <w:szCs w:val="20"/>
                <w:color w:val="auto"/>
              </w:rPr>
            </w:pPr>
            <w:r>
              <w:rPr>
                <w:rFonts w:ascii="Calibri" w:cs="Calibri" w:eastAsia="Calibri" w:hAnsi="Calibri"/>
                <w:sz w:val="18"/>
                <w:szCs w:val="18"/>
                <w:b w:val="1"/>
                <w:bCs w:val="1"/>
                <w:color w:val="auto"/>
              </w:rPr>
              <w:t>$</w:t>
            </w:r>
          </w:p>
        </w:tc>
        <w:tc>
          <w:tcPr>
            <w:tcW w:w="920" w:type="dxa"/>
            <w:vAlign w:val="bottom"/>
            <w:vMerge w:val="restart"/>
            <w:shd w:val="clear" w:color="auto" w:fill="E5F1F8"/>
          </w:tcPr>
          <w:p>
            <w:pPr>
              <w:jc w:val="right"/>
              <w:ind w:right="190"/>
              <w:spacing w:after="0"/>
              <w:rPr>
                <w:sz w:val="20"/>
                <w:szCs w:val="20"/>
                <w:color w:val="auto"/>
              </w:rPr>
            </w:pPr>
            <w:r>
              <w:rPr>
                <w:rFonts w:ascii="Calibri" w:cs="Calibri" w:eastAsia="Calibri" w:hAnsi="Calibri"/>
                <w:sz w:val="18"/>
                <w:szCs w:val="18"/>
                <w:b w:val="1"/>
                <w:bCs w:val="1"/>
                <w:color w:val="auto"/>
              </w:rPr>
              <w:t>-</w:t>
            </w:r>
          </w:p>
        </w:tc>
        <w:tc>
          <w:tcPr>
            <w:tcW w:w="740" w:type="dxa"/>
            <w:vAlign w:val="bottom"/>
            <w:vMerge w:val="restart"/>
            <w:shd w:val="clear" w:color="auto" w:fill="E5F1F8"/>
          </w:tcPr>
          <w:p>
            <w:pPr>
              <w:jc w:val="right"/>
              <w:ind w:right="270"/>
              <w:spacing w:after="0"/>
              <w:rPr>
                <w:sz w:val="20"/>
                <w:szCs w:val="20"/>
                <w:color w:val="auto"/>
              </w:rPr>
            </w:pPr>
            <w:r>
              <w:rPr>
                <w:rFonts w:ascii="Calibri" w:cs="Calibri" w:eastAsia="Calibri" w:hAnsi="Calibri"/>
                <w:sz w:val="18"/>
                <w:szCs w:val="18"/>
                <w:color w:val="auto"/>
              </w:rPr>
              <w:t>0</w:t>
            </w:r>
          </w:p>
        </w:tc>
        <w:tc>
          <w:tcPr>
            <w:tcW w:w="840" w:type="dxa"/>
            <w:vAlign w:val="bottom"/>
            <w:vMerge w:val="restart"/>
            <w:shd w:val="clear" w:color="auto" w:fill="E5F1F8"/>
          </w:tcPr>
          <w:p>
            <w:pPr>
              <w:ind w:left="360"/>
              <w:spacing w:after="0"/>
              <w:rPr>
                <w:sz w:val="20"/>
                <w:szCs w:val="20"/>
                <w:color w:val="auto"/>
              </w:rPr>
            </w:pPr>
            <w:r>
              <w:rPr>
                <w:rFonts w:ascii="Calibri" w:cs="Calibri" w:eastAsia="Calibri" w:hAnsi="Calibri"/>
                <w:sz w:val="18"/>
                <w:szCs w:val="18"/>
                <w:color w:val="auto"/>
              </w:rPr>
              <w:t>no</w:t>
            </w:r>
          </w:p>
        </w:tc>
        <w:tc>
          <w:tcPr>
            <w:tcW w:w="720" w:type="dxa"/>
            <w:vAlign w:val="bottom"/>
            <w:vMerge w:val="restart"/>
            <w:shd w:val="clear" w:color="auto" w:fill="E5F1F8"/>
          </w:tcPr>
          <w:p>
            <w:pPr>
              <w:ind w:left="300"/>
              <w:spacing w:after="0"/>
              <w:rPr>
                <w:sz w:val="20"/>
                <w:szCs w:val="20"/>
                <w:color w:val="auto"/>
              </w:rPr>
            </w:pPr>
            <w:r>
              <w:rPr>
                <w:rFonts w:ascii="Calibri" w:cs="Calibri" w:eastAsia="Calibri" w:hAnsi="Calibri"/>
                <w:sz w:val="18"/>
                <w:szCs w:val="18"/>
                <w:color w:val="auto"/>
              </w:rPr>
              <w:t>no</w:t>
            </w:r>
          </w:p>
        </w:tc>
        <w:tc>
          <w:tcPr>
            <w:tcW w:w="620" w:type="dxa"/>
            <w:vAlign w:val="bottom"/>
            <w:vMerge w:val="restart"/>
            <w:shd w:val="clear" w:color="auto" w:fill="E5F1F8"/>
          </w:tcPr>
          <w:p>
            <w:pPr>
              <w:jc w:val="center"/>
              <w:spacing w:after="0"/>
              <w:rPr>
                <w:sz w:val="20"/>
                <w:szCs w:val="20"/>
                <w:color w:val="auto"/>
              </w:rPr>
            </w:pPr>
            <w:r>
              <w:rPr>
                <w:rFonts w:ascii="Calibri" w:cs="Calibri" w:eastAsia="Calibri" w:hAnsi="Calibri"/>
                <w:sz w:val="18"/>
                <w:szCs w:val="18"/>
                <w:color w:val="auto"/>
              </w:rPr>
              <w:t>0</w:t>
            </w:r>
          </w:p>
        </w:tc>
        <w:tc>
          <w:tcPr>
            <w:tcW w:w="480" w:type="dxa"/>
            <w:vAlign w:val="bottom"/>
            <w:vMerge w:val="restart"/>
            <w:shd w:val="clear" w:color="auto" w:fill="E5F1F8"/>
          </w:tcPr>
          <w:p>
            <w:pPr>
              <w:jc w:val="center"/>
              <w:ind w:left="10"/>
              <w:spacing w:after="0"/>
              <w:rPr>
                <w:sz w:val="20"/>
                <w:szCs w:val="20"/>
                <w:color w:val="auto"/>
              </w:rPr>
            </w:pPr>
            <w:r>
              <w:rPr>
                <w:rFonts w:ascii="Calibri" w:cs="Calibri" w:eastAsia="Calibri" w:hAnsi="Calibri"/>
                <w:sz w:val="18"/>
                <w:szCs w:val="18"/>
                <w:color w:val="auto"/>
              </w:rPr>
              <w:t>0</w:t>
            </w:r>
          </w:p>
        </w:tc>
        <w:tc>
          <w:tcPr>
            <w:tcW w:w="900" w:type="dxa"/>
            <w:vAlign w:val="bottom"/>
            <w:vMerge w:val="restart"/>
            <w:shd w:val="clear" w:color="auto" w:fill="E5F1F8"/>
          </w:tcPr>
          <w:p>
            <w:pPr>
              <w:jc w:val="center"/>
              <w:ind w:left="10"/>
              <w:spacing w:after="0"/>
              <w:rPr>
                <w:sz w:val="20"/>
                <w:szCs w:val="20"/>
                <w:color w:val="auto"/>
              </w:rPr>
            </w:pPr>
            <w:r>
              <w:rPr>
                <w:rFonts w:ascii="Calibri" w:cs="Calibri" w:eastAsia="Calibri" w:hAnsi="Calibri"/>
                <w:sz w:val="18"/>
                <w:szCs w:val="18"/>
                <w:color w:val="auto"/>
                <w:w w:val="87"/>
              </w:rPr>
              <w:t>0</w:t>
            </w:r>
          </w:p>
        </w:tc>
        <w:tc>
          <w:tcPr>
            <w:tcW w:w="0" w:type="dxa"/>
            <w:vAlign w:val="bottom"/>
          </w:tcPr>
          <w:p>
            <w:pPr>
              <w:spacing w:after="0"/>
              <w:rPr>
                <w:sz w:val="1"/>
                <w:szCs w:val="1"/>
                <w:color w:val="auto"/>
              </w:rPr>
            </w:pPr>
          </w:p>
        </w:tc>
      </w:tr>
      <w:tr>
        <w:trPr>
          <w:trHeight w:val="220"/>
        </w:trPr>
        <w:tc>
          <w:tcPr>
            <w:tcW w:w="20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Salisbury Shop</w:t>
            </w:r>
          </w:p>
        </w:tc>
        <w:tc>
          <w:tcPr>
            <w:tcW w:w="760" w:type="dxa"/>
            <w:vAlign w:val="bottom"/>
            <w:tcBorders>
              <w:bottom w:val="single" w:sz="8" w:color="E5F1F8"/>
            </w:tcBorders>
            <w:shd w:val="clear" w:color="auto" w:fill="E5F1F8"/>
          </w:tcPr>
          <w:p>
            <w:pPr>
              <w:ind w:left="280"/>
              <w:spacing w:after="0" w:line="215" w:lineRule="exact"/>
              <w:rPr>
                <w:sz w:val="20"/>
                <w:szCs w:val="20"/>
                <w:color w:val="auto"/>
              </w:rPr>
            </w:pPr>
            <w:r>
              <w:rPr>
                <w:rFonts w:ascii="Calibri" w:cs="Calibri" w:eastAsia="Calibri" w:hAnsi="Calibri"/>
                <w:sz w:val="18"/>
                <w:szCs w:val="18"/>
                <w:color w:val="auto"/>
              </w:rPr>
              <w:t>38</w:t>
            </w:r>
          </w:p>
        </w:tc>
        <w:tc>
          <w:tcPr>
            <w:tcW w:w="680" w:type="dxa"/>
            <w:vAlign w:val="bottom"/>
            <w:tcBorders>
              <w:bottom w:val="single" w:sz="8" w:color="auto"/>
            </w:tcBorders>
            <w:vMerge w:val="continue"/>
            <w:shd w:val="clear" w:color="auto" w:fill="E5F1F8"/>
          </w:tcPr>
          <w:p>
            <w:pPr>
              <w:spacing w:after="0"/>
              <w:rPr>
                <w:sz w:val="19"/>
                <w:szCs w:val="19"/>
                <w:color w:val="auto"/>
              </w:rPr>
            </w:pPr>
          </w:p>
        </w:tc>
        <w:tc>
          <w:tcPr>
            <w:tcW w:w="560" w:type="dxa"/>
            <w:vAlign w:val="bottom"/>
            <w:tcBorders>
              <w:bottom w:val="single" w:sz="8" w:color="auto"/>
            </w:tcBorders>
            <w:vMerge w:val="continue"/>
            <w:shd w:val="clear" w:color="auto" w:fill="E5F1F8"/>
          </w:tcPr>
          <w:p>
            <w:pPr>
              <w:spacing w:after="0"/>
              <w:rPr>
                <w:sz w:val="19"/>
                <w:szCs w:val="19"/>
                <w:color w:val="auto"/>
              </w:rPr>
            </w:pPr>
          </w:p>
        </w:tc>
        <w:tc>
          <w:tcPr>
            <w:tcW w:w="660" w:type="dxa"/>
            <w:vAlign w:val="bottom"/>
            <w:tcBorders>
              <w:bottom w:val="single" w:sz="8" w:color="auto"/>
            </w:tcBorders>
            <w:vMerge w:val="continue"/>
            <w:shd w:val="clear" w:color="auto" w:fill="E5F1F8"/>
          </w:tcPr>
          <w:p>
            <w:pPr>
              <w:spacing w:after="0"/>
              <w:rPr>
                <w:sz w:val="19"/>
                <w:szCs w:val="19"/>
                <w:color w:val="auto"/>
              </w:rPr>
            </w:pPr>
          </w:p>
        </w:tc>
        <w:tc>
          <w:tcPr>
            <w:tcW w:w="600" w:type="dxa"/>
            <w:vAlign w:val="bottom"/>
            <w:tcBorders>
              <w:bottom w:val="single" w:sz="8" w:color="auto"/>
            </w:tcBorders>
            <w:vMerge w:val="continue"/>
            <w:shd w:val="clear" w:color="auto" w:fill="E5F1F8"/>
          </w:tcPr>
          <w:p>
            <w:pPr>
              <w:spacing w:after="0"/>
              <w:rPr>
                <w:sz w:val="19"/>
                <w:szCs w:val="19"/>
                <w:color w:val="auto"/>
              </w:rPr>
            </w:pPr>
          </w:p>
        </w:tc>
        <w:tc>
          <w:tcPr>
            <w:tcW w:w="440" w:type="dxa"/>
            <w:vAlign w:val="bottom"/>
            <w:tcBorders>
              <w:bottom w:val="single" w:sz="8" w:color="auto"/>
            </w:tcBorders>
            <w:vMerge w:val="continue"/>
            <w:shd w:val="clear" w:color="auto" w:fill="E5F1F8"/>
          </w:tcPr>
          <w:p>
            <w:pPr>
              <w:spacing w:after="0"/>
              <w:rPr>
                <w:sz w:val="19"/>
                <w:szCs w:val="19"/>
                <w:color w:val="auto"/>
              </w:rPr>
            </w:pPr>
          </w:p>
        </w:tc>
        <w:tc>
          <w:tcPr>
            <w:tcW w:w="260" w:type="dxa"/>
            <w:vAlign w:val="bottom"/>
            <w:tcBorders>
              <w:bottom w:val="single" w:sz="8" w:color="auto"/>
            </w:tcBorders>
            <w:vMerge w:val="continue"/>
            <w:shd w:val="clear" w:color="auto" w:fill="E5F1F8"/>
          </w:tcPr>
          <w:p>
            <w:pPr>
              <w:spacing w:after="0"/>
              <w:rPr>
                <w:sz w:val="19"/>
                <w:szCs w:val="19"/>
                <w:color w:val="auto"/>
              </w:rPr>
            </w:pPr>
          </w:p>
        </w:tc>
        <w:tc>
          <w:tcPr>
            <w:tcW w:w="920" w:type="dxa"/>
            <w:vAlign w:val="bottom"/>
            <w:tcBorders>
              <w:bottom w:val="single" w:sz="8" w:color="auto"/>
            </w:tcBorders>
            <w:vMerge w:val="continue"/>
            <w:shd w:val="clear" w:color="auto" w:fill="E5F1F8"/>
          </w:tcPr>
          <w:p>
            <w:pPr>
              <w:spacing w:after="0"/>
              <w:rPr>
                <w:sz w:val="19"/>
                <w:szCs w:val="19"/>
                <w:color w:val="auto"/>
              </w:rPr>
            </w:pPr>
          </w:p>
        </w:tc>
        <w:tc>
          <w:tcPr>
            <w:tcW w:w="740" w:type="dxa"/>
            <w:vAlign w:val="bottom"/>
            <w:tcBorders>
              <w:bottom w:val="single" w:sz="8" w:color="auto"/>
            </w:tcBorders>
            <w:vMerge w:val="continue"/>
            <w:shd w:val="clear" w:color="auto" w:fill="E5F1F8"/>
          </w:tcPr>
          <w:p>
            <w:pPr>
              <w:spacing w:after="0"/>
              <w:rPr>
                <w:sz w:val="19"/>
                <w:szCs w:val="19"/>
                <w:color w:val="auto"/>
              </w:rPr>
            </w:pPr>
          </w:p>
        </w:tc>
        <w:tc>
          <w:tcPr>
            <w:tcW w:w="840" w:type="dxa"/>
            <w:vAlign w:val="bottom"/>
            <w:tcBorders>
              <w:bottom w:val="single" w:sz="8" w:color="auto"/>
            </w:tcBorders>
            <w:vMerge w:val="continue"/>
            <w:shd w:val="clear" w:color="auto" w:fill="E5F1F8"/>
          </w:tcPr>
          <w:p>
            <w:pPr>
              <w:spacing w:after="0"/>
              <w:rPr>
                <w:sz w:val="19"/>
                <w:szCs w:val="19"/>
                <w:color w:val="auto"/>
              </w:rPr>
            </w:pPr>
          </w:p>
        </w:tc>
        <w:tc>
          <w:tcPr>
            <w:tcW w:w="720" w:type="dxa"/>
            <w:vAlign w:val="bottom"/>
            <w:tcBorders>
              <w:bottom w:val="single" w:sz="8" w:color="auto"/>
            </w:tcBorders>
            <w:vMerge w:val="continue"/>
            <w:shd w:val="clear" w:color="auto" w:fill="E5F1F8"/>
          </w:tcPr>
          <w:p>
            <w:pPr>
              <w:spacing w:after="0"/>
              <w:rPr>
                <w:sz w:val="19"/>
                <w:szCs w:val="19"/>
                <w:color w:val="auto"/>
              </w:rPr>
            </w:pPr>
          </w:p>
        </w:tc>
        <w:tc>
          <w:tcPr>
            <w:tcW w:w="620" w:type="dxa"/>
            <w:vAlign w:val="bottom"/>
            <w:tcBorders>
              <w:bottom w:val="single" w:sz="8" w:color="auto"/>
            </w:tcBorders>
            <w:vMerge w:val="continue"/>
            <w:shd w:val="clear" w:color="auto" w:fill="E5F1F8"/>
          </w:tcPr>
          <w:p>
            <w:pPr>
              <w:spacing w:after="0"/>
              <w:rPr>
                <w:sz w:val="19"/>
                <w:szCs w:val="19"/>
                <w:color w:val="auto"/>
              </w:rPr>
            </w:pPr>
          </w:p>
        </w:tc>
        <w:tc>
          <w:tcPr>
            <w:tcW w:w="480" w:type="dxa"/>
            <w:vAlign w:val="bottom"/>
            <w:tcBorders>
              <w:bottom w:val="single" w:sz="8" w:color="auto"/>
            </w:tcBorders>
            <w:vMerge w:val="continue"/>
            <w:shd w:val="clear" w:color="auto" w:fill="E5F1F8"/>
          </w:tcPr>
          <w:p>
            <w:pPr>
              <w:spacing w:after="0"/>
              <w:rPr>
                <w:sz w:val="19"/>
                <w:szCs w:val="19"/>
                <w:color w:val="auto"/>
              </w:rPr>
            </w:pPr>
          </w:p>
        </w:tc>
        <w:tc>
          <w:tcPr>
            <w:tcW w:w="900" w:type="dxa"/>
            <w:vAlign w:val="bottom"/>
            <w:tcBorders>
              <w:bottom w:val="single" w:sz="8" w:color="auto"/>
            </w:tcBorders>
            <w:vMerge w:val="continue"/>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60" w:type="dxa"/>
            <w:vAlign w:val="bottom"/>
          </w:tcPr>
          <w:p>
            <w:pPr>
              <w:ind w:left="20"/>
              <w:spacing w:after="0" w:line="232" w:lineRule="exact"/>
              <w:rPr>
                <w:sz w:val="20"/>
                <w:szCs w:val="20"/>
                <w:color w:val="auto"/>
              </w:rPr>
            </w:pPr>
            <w:r>
              <w:rPr>
                <w:rFonts w:ascii="Calibri" w:cs="Calibri" w:eastAsia="Calibri" w:hAnsi="Calibri"/>
                <w:sz w:val="20"/>
                <w:szCs w:val="20"/>
                <w:b w:val="1"/>
                <w:bCs w:val="1"/>
                <w:color w:val="auto"/>
              </w:rPr>
              <w:t>TOTAL</w:t>
            </w:r>
          </w:p>
        </w:tc>
        <w:tc>
          <w:tcPr>
            <w:tcW w:w="760" w:type="dxa"/>
            <w:vAlign w:val="bottom"/>
          </w:tcPr>
          <w:p>
            <w:pPr>
              <w:spacing w:after="0"/>
              <w:rPr>
                <w:sz w:val="20"/>
                <w:szCs w:val="20"/>
                <w:color w:val="auto"/>
              </w:rPr>
            </w:pPr>
          </w:p>
        </w:tc>
        <w:tc>
          <w:tcPr>
            <w:tcW w:w="680" w:type="dxa"/>
            <w:vAlign w:val="bottom"/>
          </w:tcPr>
          <w:p>
            <w:pPr>
              <w:jc w:val="center"/>
              <w:spacing w:after="0" w:line="218" w:lineRule="exact"/>
              <w:rPr>
                <w:sz w:val="20"/>
                <w:szCs w:val="20"/>
                <w:color w:val="auto"/>
              </w:rPr>
            </w:pPr>
            <w:r>
              <w:rPr>
                <w:rFonts w:ascii="Calibri" w:cs="Calibri" w:eastAsia="Calibri" w:hAnsi="Calibri"/>
                <w:sz w:val="18"/>
                <w:szCs w:val="18"/>
                <w:b w:val="1"/>
                <w:bCs w:val="1"/>
                <w:color w:val="auto"/>
              </w:rPr>
              <w:t>152</w:t>
            </w:r>
          </w:p>
        </w:tc>
        <w:tc>
          <w:tcPr>
            <w:tcW w:w="560" w:type="dxa"/>
            <w:vAlign w:val="bottom"/>
          </w:tcPr>
          <w:p>
            <w:pPr>
              <w:jc w:val="right"/>
              <w:ind w:right="170"/>
              <w:spacing w:after="0" w:line="218" w:lineRule="exact"/>
              <w:rPr>
                <w:sz w:val="20"/>
                <w:szCs w:val="20"/>
                <w:color w:val="auto"/>
              </w:rPr>
            </w:pPr>
            <w:r>
              <w:rPr>
                <w:rFonts w:ascii="Calibri" w:cs="Calibri" w:eastAsia="Calibri" w:hAnsi="Calibri"/>
                <w:sz w:val="18"/>
                <w:szCs w:val="18"/>
                <w:b w:val="1"/>
                <w:bCs w:val="1"/>
                <w:color w:val="auto"/>
              </w:rPr>
              <w:t>0</w:t>
            </w:r>
          </w:p>
        </w:tc>
        <w:tc>
          <w:tcPr>
            <w:tcW w:w="660" w:type="dxa"/>
            <w:vAlign w:val="bottom"/>
          </w:tcPr>
          <w:p>
            <w:pPr>
              <w:jc w:val="right"/>
              <w:ind w:right="210"/>
              <w:spacing w:after="0" w:line="218" w:lineRule="exact"/>
              <w:rPr>
                <w:sz w:val="20"/>
                <w:szCs w:val="20"/>
                <w:color w:val="auto"/>
              </w:rPr>
            </w:pPr>
            <w:r>
              <w:rPr>
                <w:rFonts w:ascii="Calibri" w:cs="Calibri" w:eastAsia="Calibri" w:hAnsi="Calibri"/>
                <w:sz w:val="18"/>
                <w:szCs w:val="18"/>
                <w:b w:val="1"/>
                <w:bCs w:val="1"/>
                <w:color w:val="auto"/>
              </w:rPr>
              <w:t>0</w:t>
            </w:r>
          </w:p>
        </w:tc>
        <w:tc>
          <w:tcPr>
            <w:tcW w:w="600" w:type="dxa"/>
            <w:vAlign w:val="bottom"/>
          </w:tcPr>
          <w:p>
            <w:pPr>
              <w:jc w:val="right"/>
              <w:ind w:right="130"/>
              <w:spacing w:after="0" w:line="218" w:lineRule="exact"/>
              <w:rPr>
                <w:sz w:val="20"/>
                <w:szCs w:val="20"/>
                <w:color w:val="auto"/>
              </w:rPr>
            </w:pPr>
            <w:r>
              <w:rPr>
                <w:rFonts w:ascii="Calibri" w:cs="Calibri" w:eastAsia="Calibri" w:hAnsi="Calibri"/>
                <w:sz w:val="18"/>
                <w:szCs w:val="18"/>
                <w:b w:val="1"/>
                <w:bCs w:val="1"/>
                <w:color w:val="auto"/>
              </w:rPr>
              <w:t>0</w:t>
            </w:r>
          </w:p>
        </w:tc>
        <w:tc>
          <w:tcPr>
            <w:tcW w:w="440" w:type="dxa"/>
            <w:vAlign w:val="bottom"/>
          </w:tcPr>
          <w:p>
            <w:pPr>
              <w:jc w:val="right"/>
              <w:ind w:right="10"/>
              <w:spacing w:after="0" w:line="218" w:lineRule="exact"/>
              <w:rPr>
                <w:sz w:val="20"/>
                <w:szCs w:val="20"/>
                <w:color w:val="auto"/>
              </w:rPr>
            </w:pPr>
            <w:r>
              <w:rPr>
                <w:rFonts w:ascii="Calibri" w:cs="Calibri" w:eastAsia="Calibri" w:hAnsi="Calibri"/>
                <w:sz w:val="18"/>
                <w:szCs w:val="18"/>
                <w:b w:val="1"/>
                <w:bCs w:val="1"/>
                <w:color w:val="auto"/>
              </w:rPr>
              <w:t>4</w:t>
            </w:r>
          </w:p>
        </w:tc>
        <w:tc>
          <w:tcPr>
            <w:tcW w:w="260" w:type="dxa"/>
            <w:vAlign w:val="bottom"/>
          </w:tcPr>
          <w:p>
            <w:pPr>
              <w:jc w:val="right"/>
              <w:spacing w:after="0" w:line="218"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190"/>
              <w:spacing w:after="0" w:line="218" w:lineRule="exact"/>
              <w:rPr>
                <w:sz w:val="20"/>
                <w:szCs w:val="20"/>
                <w:color w:val="auto"/>
              </w:rPr>
            </w:pPr>
            <w:r>
              <w:rPr>
                <w:rFonts w:ascii="Calibri" w:cs="Calibri" w:eastAsia="Calibri" w:hAnsi="Calibri"/>
                <w:sz w:val="18"/>
                <w:szCs w:val="18"/>
                <w:b w:val="1"/>
                <w:bCs w:val="1"/>
                <w:color w:val="auto"/>
              </w:rPr>
              <w:t>665,200</w:t>
            </w:r>
          </w:p>
        </w:tc>
        <w:tc>
          <w:tcPr>
            <w:tcW w:w="740" w:type="dxa"/>
            <w:vAlign w:val="bottom"/>
          </w:tcPr>
          <w:p>
            <w:pPr>
              <w:jc w:val="right"/>
              <w:ind w:right="270"/>
              <w:spacing w:after="0" w:line="218" w:lineRule="exact"/>
              <w:rPr>
                <w:sz w:val="20"/>
                <w:szCs w:val="20"/>
                <w:color w:val="auto"/>
              </w:rPr>
            </w:pPr>
            <w:r>
              <w:rPr>
                <w:rFonts w:ascii="Calibri" w:cs="Calibri" w:eastAsia="Calibri" w:hAnsi="Calibri"/>
                <w:sz w:val="18"/>
                <w:szCs w:val="18"/>
                <w:b w:val="1"/>
                <w:bCs w:val="1"/>
                <w:color w:val="auto"/>
              </w:rPr>
              <w:t>2</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jc w:val="center"/>
              <w:spacing w:after="0" w:line="218" w:lineRule="exact"/>
              <w:rPr>
                <w:sz w:val="20"/>
                <w:szCs w:val="20"/>
                <w:color w:val="auto"/>
              </w:rPr>
            </w:pPr>
            <w:r>
              <w:rPr>
                <w:rFonts w:ascii="Calibri" w:cs="Calibri" w:eastAsia="Calibri" w:hAnsi="Calibri"/>
                <w:sz w:val="18"/>
                <w:szCs w:val="18"/>
                <w:b w:val="1"/>
                <w:bCs w:val="1"/>
                <w:color w:val="auto"/>
                <w:w w:val="98"/>
              </w:rPr>
              <w:t>19</w:t>
            </w:r>
          </w:p>
        </w:tc>
        <w:tc>
          <w:tcPr>
            <w:tcW w:w="480" w:type="dxa"/>
            <w:vAlign w:val="bottom"/>
          </w:tcPr>
          <w:p>
            <w:pPr>
              <w:jc w:val="center"/>
              <w:ind w:left="10"/>
              <w:spacing w:after="0" w:line="218" w:lineRule="exact"/>
              <w:rPr>
                <w:sz w:val="20"/>
                <w:szCs w:val="20"/>
                <w:color w:val="auto"/>
              </w:rPr>
            </w:pPr>
            <w:r>
              <w:rPr>
                <w:rFonts w:ascii="Calibri" w:cs="Calibri" w:eastAsia="Calibri" w:hAnsi="Calibri"/>
                <w:sz w:val="18"/>
                <w:szCs w:val="18"/>
                <w:b w:val="1"/>
                <w:bCs w:val="1"/>
                <w:color w:val="auto"/>
                <w:w w:val="98"/>
              </w:rPr>
              <w:t>24</w:t>
            </w:r>
          </w:p>
        </w:tc>
        <w:tc>
          <w:tcPr>
            <w:tcW w:w="900" w:type="dxa"/>
            <w:vAlign w:val="bottom"/>
          </w:tcPr>
          <w:p>
            <w:pPr>
              <w:jc w:val="center"/>
              <w:spacing w:after="0" w:line="218" w:lineRule="exact"/>
              <w:rPr>
                <w:sz w:val="20"/>
                <w:szCs w:val="20"/>
                <w:color w:val="auto"/>
              </w:rPr>
            </w:pPr>
            <w:r>
              <w:rPr>
                <w:rFonts w:ascii="Calibri" w:cs="Calibri" w:eastAsia="Calibri" w:hAnsi="Calibri"/>
                <w:sz w:val="18"/>
                <w:szCs w:val="18"/>
                <w:b w:val="1"/>
                <w:bCs w:val="1"/>
                <w:color w:val="auto"/>
                <w:w w:val="98"/>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140"/>
        <w:spacing w:after="0" w:line="235" w:lineRule="auto"/>
        <w:rPr>
          <w:sz w:val="20"/>
          <w:szCs w:val="20"/>
          <w:color w:val="auto"/>
        </w:rPr>
      </w:pPr>
      <w:r>
        <w:rPr>
          <w:rFonts w:ascii="Calibri" w:cs="Calibri" w:eastAsia="Calibri" w:hAnsi="Calibri"/>
          <w:sz w:val="18"/>
          <w:szCs w:val="18"/>
          <w:color w:val="auto"/>
        </w:rPr>
        <w:t>*Of the 19 legal actons pending on December 31, 2024, 12 were contests of citatons or orders referenced in Subpart B of CFR Part 2700, which includes contests of citatons and orders issued under Secton 104 of the Mine Act and contests of imminent danger orders under Secton 107 of the Mine Act, fve were contests of proposed penaltes referenced in Subpart C of 29 CFR Part 2700, which are administratve proceedings before the Commission challenging a civil penalty that MSHA has proposed for the violaton contained in a citaton or order and two were a contest of an order issued under Secton 103 (K) of the Mine Act.</w:t>
      </w:r>
    </w:p>
    <w:p>
      <w:pPr>
        <w:ind w:left="20"/>
        <w:spacing w:after="0"/>
        <w:rPr>
          <w:sz w:val="20"/>
          <w:szCs w:val="20"/>
          <w:color w:val="auto"/>
        </w:rPr>
      </w:pPr>
      <w:r>
        <w:rPr>
          <w:rFonts w:ascii="Calibri" w:cs="Calibri" w:eastAsia="Calibri" w:hAnsi="Calibri"/>
          <w:sz w:val="18"/>
          <w:szCs w:val="18"/>
          <w:color w:val="auto"/>
        </w:rPr>
        <w:t>**Bells Savoy insttuted on Q1 and resolved in Q2 2024 previously omited</w:t>
      </w:r>
    </w:p>
    <w:p>
      <w:pPr>
        <w:ind w:left="20"/>
        <w:spacing w:after="0" w:line="235" w:lineRule="auto"/>
        <w:rPr>
          <w:sz w:val="20"/>
          <w:szCs w:val="20"/>
          <w:color w:val="auto"/>
        </w:rPr>
      </w:pPr>
      <w:r>
        <w:rPr>
          <w:rFonts w:ascii="Calibri" w:cs="Calibri" w:eastAsia="Calibri" w:hAnsi="Calibri"/>
          <w:sz w:val="18"/>
          <w:szCs w:val="18"/>
          <w:color w:val="auto"/>
        </w:rPr>
        <w:t>***Sites acquired by the Company on January 12, 2024</w:t>
      </w:r>
    </w:p>
    <w:p>
      <w:pPr>
        <w:ind w:left="20"/>
        <w:spacing w:after="0" w:line="236" w:lineRule="auto"/>
        <w:rPr>
          <w:sz w:val="20"/>
          <w:szCs w:val="20"/>
          <w:color w:val="auto"/>
        </w:rPr>
      </w:pPr>
      <w:r>
        <w:rPr>
          <w:rFonts w:ascii="Calibri" w:cs="Calibri" w:eastAsia="Calibri" w:hAnsi="Calibri"/>
          <w:sz w:val="18"/>
          <w:szCs w:val="18"/>
          <w:color w:val="auto"/>
        </w:rPr>
        <w:t>****Sites acquired by the Company on April 5, 2024</w:t>
      </w:r>
    </w:p>
    <w:p>
      <w:pPr>
        <w:ind w:left="20"/>
        <w:spacing w:after="0" w:line="236" w:lineRule="auto"/>
        <w:rPr>
          <w:sz w:val="20"/>
          <w:szCs w:val="20"/>
          <w:color w:val="auto"/>
        </w:rPr>
      </w:pPr>
      <w:r>
        <w:rPr>
          <w:rFonts w:ascii="Calibri" w:cs="Calibri" w:eastAsia="Calibri" w:hAnsi="Calibri"/>
          <w:sz w:val="18"/>
          <w:szCs w:val="18"/>
          <w:color w:val="auto"/>
        </w:rPr>
        <w:t>*****Sites acquired by the Company on October 2, 2024</w:t>
      </w:r>
    </w:p>
    <w:p>
      <w:pPr>
        <w:ind w:left="20"/>
        <w:spacing w:after="0" w:line="236" w:lineRule="auto"/>
        <w:rPr>
          <w:sz w:val="20"/>
          <w:szCs w:val="20"/>
          <w:color w:val="auto"/>
        </w:rPr>
      </w:pPr>
      <w:r>
        <w:rPr>
          <w:rFonts w:ascii="Calibri" w:cs="Calibri" w:eastAsia="Calibri" w:hAnsi="Calibri"/>
          <w:sz w:val="18"/>
          <w:szCs w:val="18"/>
          <w:color w:val="auto"/>
        </w:rPr>
        <w:t>******Sites acquired by the Company on October 25, 2024</w:t>
      </w:r>
    </w:p>
    <w:p>
      <w:pPr>
        <w:ind w:left="20"/>
        <w:spacing w:after="0" w:line="236" w:lineRule="auto"/>
        <w:rPr>
          <w:sz w:val="20"/>
          <w:szCs w:val="20"/>
          <w:color w:val="auto"/>
        </w:rPr>
      </w:pPr>
      <w:r>
        <w:rPr>
          <w:rFonts w:ascii="Calibri" w:cs="Calibri" w:eastAsia="Calibri" w:hAnsi="Calibri"/>
          <w:sz w:val="18"/>
          <w:szCs w:val="18"/>
          <w:color w:val="auto"/>
        </w:rPr>
        <w:t>*******Sites acquired by the Company on December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5" w:name="page156"/>
    <w:bookmarkEnd w:id="1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endash "/>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
      <w:numFmt w:val="bullet"/>
      <w:start w:val="1"/>
    </w:lvl>
    <w:lvl w:ilvl="1">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upperLetter"/>
      <w:start w:val="9"/>
    </w:lvl>
  </w:abstractNum>
  <w:abstractNum w:abstractNumId="25">
    <w:nsid w:val="580BD78F"/>
    <w:multiLevelType w:val="hybridMultilevel"/>
    <w:lvl w:ilvl="0">
      <w:lvlJc w:val="left"/>
      <w:lvlText w:val="%1."/>
      <w:numFmt w:val="upperLetter"/>
      <w:start w:val="35"/>
    </w:lvl>
  </w:abstractNum>
  <w:abstractNum w:abstractNumId="26">
    <w:nsid w:val="153EA438"/>
    <w:multiLevelType w:val="hybridMultilevel"/>
    <w:lvl w:ilvl="0">
      <w:lvlJc w:val="left"/>
      <w:lvlText w:val="%1."/>
      <w:numFmt w:val="upperLetter"/>
      <w:start w:val="6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upperLetter"/>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upperLetter"/>
      <w:start w:val="2"/>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upperLetter"/>
      <w:start w:val="1"/>
    </w:lvl>
    <w:lvl w:ilvl="1">
      <w:lvlJc w:val="left"/>
      <w:lvlText w:val="%2."/>
      <w:numFmt w:val="upperLetter"/>
      <w:start w:val="2"/>
    </w:lvl>
    <w:lvl w:ilvl="2">
      <w:lvlJc w:val="left"/>
      <w:lvlText w:val="•"/>
      <w:numFmt w:val="bullet"/>
      <w:start w:val="1"/>
    </w:lvl>
    <w:lvl w:ilvl="3">
      <w:lvlJc w:val="left"/>
      <w:lvlText w:val="•"/>
      <w:numFmt w:val="bullet"/>
      <w:start w:val="1"/>
    </w:lvl>
  </w:abstractNum>
  <w:abstractNum w:abstractNumId="33">
    <w:nsid w:val="2CD89A32"/>
    <w:multiLevelType w:val="hybridMultilevel"/>
    <w:lvl w:ilvl="0">
      <w:lvlJc w:val="left"/>
      <w:lvlText w:val="%1."/>
      <w:numFmt w:val="upperLetter"/>
      <w:start w:val="4"/>
    </w:lvl>
    <w:lvl w:ilvl="1">
      <w:lvlJc w:val="left"/>
      <w:lvlText w:val="%2"/>
      <w:numFmt w:val="upperLetter"/>
      <w:start w:val="1"/>
    </w:lvl>
    <w:lvl w:ilvl="2">
      <w:lvlJc w:val="left"/>
      <w:lvlText w:val="•"/>
      <w:numFmt w:val="bullet"/>
      <w:start w:val="1"/>
    </w:lvl>
    <w:lvl w:ilvl="3">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lvl w:ilvl="1">
      <w:lvlJc w:val="left"/>
      <w:lvlText w:val="o"/>
      <w:numFmt w:val="bullet"/>
      <w:start w:val="1"/>
    </w:lvl>
  </w:abstractNum>
  <w:abstractNum w:abstractNumId="36">
    <w:nsid w:val="4B588F54"/>
    <w:multiLevelType w:val="hybridMultilevel"/>
    <w:lvl w:ilvl="0">
      <w:lvlJc w:val="left"/>
      <w:lvlText w:val="%1."/>
      <w:numFmt w:val="upperLetter"/>
      <w:start w:val="5"/>
    </w:lvl>
  </w:abstractNum>
  <w:abstractNum w:abstractNumId="37">
    <w:nsid w:val="542289EC"/>
    <w:multiLevelType w:val="hybridMultilevel"/>
    <w:lvl w:ilvl="0">
      <w:lvlJc w:val="left"/>
      <w:lvlText w:val="%1."/>
      <w:numFmt w:val="upperLetter"/>
      <w:start w:val="22"/>
    </w:lvl>
  </w:abstractNum>
  <w:abstractNum w:abstractNumId="38">
    <w:nsid w:val="6DE91B18"/>
    <w:multiLevelType w:val="hybridMultilevel"/>
    <w:lvl w:ilvl="0">
      <w:lvlJc w:val="left"/>
      <w:lvlText w:val="%1."/>
      <w:numFmt w:val="upperLetter"/>
      <w:start w:val="1"/>
    </w:lvl>
    <w:lvl w:ilvl="1">
      <w:lvlJc w:val="left"/>
      <w:lvlText w:val="%2."/>
      <w:numFmt w:val="lowerLetter"/>
      <w:start w:val="1"/>
    </w:lvl>
  </w:abstractNum>
  <w:abstractNum w:abstractNumId="39">
    <w:nsid w:val="38437FDB"/>
    <w:multiLevelType w:val="hybridMultilevel"/>
    <w:lvl w:ilvl="0">
      <w:lvlJc w:val="left"/>
      <w:lvlText w:val="%1"/>
      <w:numFmt w:val="upperLetter"/>
      <w:start w:val="1"/>
    </w:lvl>
    <w:lvl w:ilvl="1">
      <w:lvlJc w:val="left"/>
      <w:lvlText w:val="%2."/>
      <w:numFmt w:val="lowerLetter"/>
      <w:start w:val="7"/>
    </w:lvl>
  </w:abstractNum>
  <w:abstractNum w:abstractNumId="40">
    <w:nsid w:val="7644A45C"/>
    <w:multiLevelType w:val="hybridMultilevel"/>
    <w:lvl w:ilvl="0">
      <w:lvlJc w:val="left"/>
      <w:lvlText w:val="%1."/>
      <w:numFmt w:val="upperLetter"/>
      <w:start w:val="2"/>
    </w:lvl>
    <w:lvl w:ilvl="1">
      <w:lvlJc w:val="left"/>
      <w:lvlText w:val="%2."/>
      <w:numFmt w:val="lowerLetter"/>
      <w:start w:val="1"/>
    </w:lvl>
  </w:abstractNum>
  <w:abstractNum w:abstractNumId="41">
    <w:nsid w:val="32FFF902"/>
    <w:multiLevelType w:val="hybridMultilevel"/>
    <w:lvl w:ilvl="0">
      <w:lvlJc w:val="left"/>
      <w:lvlText w:val="%1."/>
      <w:numFmt w:val="upperLetter"/>
      <w:start w:val="4"/>
    </w:lvl>
  </w:abstractNum>
  <w:abstractNum w:abstractNumId="42">
    <w:nsid w:val="684A481A"/>
    <w:multiLevelType w:val="hybridMultilevel"/>
    <w:lvl w:ilvl="0">
      <w:lvlJc w:val="left"/>
      <w:lvlText w:val="1"/>
      <w:numFmt w:val="bullet"/>
      <w:start w:val="1"/>
    </w:lvl>
  </w:abstractNum>
  <w:abstractNum w:abstractNumId="43">
    <w:nsid w:val="579478FE"/>
    <w:multiLevelType w:val="hybridMultilevel"/>
    <w:lvl w:ilvl="0">
      <w:lvlJc w:val="left"/>
      <w:lvlText w:val="2"/>
      <w:numFmt w:val="bullet"/>
      <w:start w:val="1"/>
    </w:lvl>
  </w:abstractNum>
  <w:abstractNum w:abstractNumId="44">
    <w:nsid w:val="749ABB43"/>
    <w:multiLevelType w:val="hybridMultilevel"/>
    <w:lvl w:ilvl="0">
      <w:lvlJc w:val="left"/>
      <w:lvlText w:val="7"/>
      <w:numFmt w:val="bullet"/>
      <w:start w:val="1"/>
    </w:lvl>
  </w:abstractNum>
  <w:abstractNum w:abstractNumId="45">
    <w:nsid w:val="3DC240FB"/>
    <w:multiLevelType w:val="hybridMultilevel"/>
    <w:lvl w:ilvl="0">
      <w:lvlJc w:val="left"/>
      <w:lvlText w:val="8"/>
      <w:numFmt w:val="bullet"/>
      <w:start w:val="1"/>
    </w:lvl>
  </w:abstractNum>
  <w:abstractNum w:abstractNumId="46">
    <w:nsid w:val="1BA026FA"/>
    <w:multiLevelType w:val="hybridMultilevel"/>
    <w:lvl w:ilvl="0">
      <w:lvlJc w:val="left"/>
      <w:lvlText w:val="%1"/>
      <w:numFmt w:val="decimal"/>
      <w:start w:val="32"/>
    </w:lvl>
  </w:abstractNum>
  <w:abstractNum w:abstractNumId="47">
    <w:nsid w:val="79A1DEAA"/>
    <w:multiLevelType w:val="hybridMultilevel"/>
    <w:lvl w:ilvl="0">
      <w:lvlJc w:val="left"/>
      <w:lvlText w:val="%1."/>
      <w:numFmt w:val="decimal"/>
      <w:start w:val="1"/>
    </w:lvl>
    <w:lvl w:ilvl="1">
      <w:lvlJc w:val="left"/>
      <w:lvlText w:val="(%2)"/>
      <w:numFmt w:val="lowerLetter"/>
      <w:start w:val="1"/>
    </w:lvl>
  </w:abstractNum>
  <w:abstractNum w:abstractNumId="48">
    <w:nsid w:val="75C6C33A"/>
    <w:multiLevelType w:val="hybridMultilevel"/>
    <w:lvl w:ilvl="0">
      <w:lvlJc w:val="left"/>
      <w:lvlText w:val="%1."/>
      <w:numFmt w:val="decimal"/>
      <w:start w:val="5"/>
    </w:lvl>
    <w:lvl w:ilvl="1">
      <w:lvlJc w:val="left"/>
      <w:lvlText w:val="(%2)"/>
      <w:numFmt w:val="lowerLetter"/>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5"/>
    </w:lvl>
    <w:lvl w:ilvl="1">
      <w:lvlJc w:val="left"/>
      <w:lvlText w:val="(%2)"/>
      <w:numFmt w:val="lowerLetter"/>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jpeg"/><Relationship Id="rId256" Type="http://schemas.openxmlformats.org/officeDocument/2006/relationships/image" Target="media/image248.pn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jpe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png"/><Relationship Id="rId275" Type="http://schemas.openxmlformats.org/officeDocument/2006/relationships/image" Target="media/image267.jpe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jpeg"/><Relationship Id="rId282" Type="http://schemas.openxmlformats.org/officeDocument/2006/relationships/image" Target="media/image274.png"/><Relationship Id="rId283" Type="http://schemas.openxmlformats.org/officeDocument/2006/relationships/image" Target="media/image275.jpeg"/><Relationship Id="rId284" Type="http://schemas.openxmlformats.org/officeDocument/2006/relationships/image" Target="media/image276.png"/><Relationship Id="rId285" Type="http://schemas.openxmlformats.org/officeDocument/2006/relationships/image" Target="media/image277.jpeg"/><Relationship Id="rId286" Type="http://schemas.openxmlformats.org/officeDocument/2006/relationships/image" Target="media/image278.png"/><Relationship Id="rId287" Type="http://schemas.openxmlformats.org/officeDocument/2006/relationships/image" Target="media/image279.jpeg"/><Relationship Id="rId288" Type="http://schemas.openxmlformats.org/officeDocument/2006/relationships/image" Target="media/image280.jpe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jpeg"/><Relationship Id="rId292" Type="http://schemas.openxmlformats.org/officeDocument/2006/relationships/image" Target="media/image284.pn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jpeg"/><Relationship Id="rId296" Type="http://schemas.openxmlformats.org/officeDocument/2006/relationships/image" Target="media/image288.png"/><Relationship Id="rId297" Type="http://schemas.openxmlformats.org/officeDocument/2006/relationships/image" Target="media/image289.jpeg"/><Relationship Id="rId298" Type="http://schemas.openxmlformats.org/officeDocument/2006/relationships/image" Target="media/image290.png"/><Relationship Id="rId299" Type="http://schemas.openxmlformats.org/officeDocument/2006/relationships/image" Target="media/image291.jpeg"/><Relationship Id="rId300" Type="http://schemas.openxmlformats.org/officeDocument/2006/relationships/image" Target="media/image292.png"/><Relationship Id="rId301" Type="http://schemas.openxmlformats.org/officeDocument/2006/relationships/image" Target="media/image293.jpe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jpeg"/><Relationship Id="rId305" Type="http://schemas.openxmlformats.org/officeDocument/2006/relationships/image" Target="media/image297.png"/><Relationship Id="rId306" Type="http://schemas.openxmlformats.org/officeDocument/2006/relationships/image" Target="media/image298.jpe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jpeg"/><Relationship Id="rId315" Type="http://schemas.openxmlformats.org/officeDocument/2006/relationships/image" Target="media/image307.png"/><Relationship Id="rId316" Type="http://schemas.openxmlformats.org/officeDocument/2006/relationships/image" Target="media/image308.jpeg"/><Relationship Id="rId317" Type="http://schemas.openxmlformats.org/officeDocument/2006/relationships/image" Target="media/image309.png"/><Relationship Id="rId318" Type="http://schemas.openxmlformats.org/officeDocument/2006/relationships/image" Target="media/image310.jpe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jpe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jpe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jpeg"/><Relationship Id="rId359" Type="http://schemas.openxmlformats.org/officeDocument/2006/relationships/image" Target="media/image351.png"/><Relationship Id="rId360" Type="http://schemas.openxmlformats.org/officeDocument/2006/relationships/image" Target="media/image352.jpe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jpe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jpe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jpe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jpe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jpe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jpe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jpe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jpe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jpe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jpe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jpe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jpe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jpe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jpe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jpe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jpe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jpe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jpeg"/><Relationship Id="rId564" Type="http://schemas.openxmlformats.org/officeDocument/2006/relationships/image" Target="media/image556.png"/><Relationship Id="rId565" Type="http://schemas.openxmlformats.org/officeDocument/2006/relationships/image" Target="media/image557.jpe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jpe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jpe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jpeg"/><Relationship Id="rId641" Type="http://schemas.openxmlformats.org/officeDocument/2006/relationships/image" Target="media/image633.png"/><Relationship Id="rId642" Type="http://schemas.openxmlformats.org/officeDocument/2006/relationships/image" Target="media/image634.jpe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jpeg"/><Relationship Id="rId648" Type="http://schemas.openxmlformats.org/officeDocument/2006/relationships/image" Target="media/image640.png"/><Relationship Id="rId649" Type="http://schemas.openxmlformats.org/officeDocument/2006/relationships/image" Target="media/image641.jpe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jpe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4" Type="http://schemas.openxmlformats.org/officeDocument/2006/relationships/image" Target="media/image653.jpeg"/><Relationship Id="rId665" Type="http://schemas.openxmlformats.org/officeDocument/2006/relationships/image" Target="media/image654.png"/><Relationship Id="rId666" Type="http://schemas.openxmlformats.org/officeDocument/2006/relationships/image" Target="media/image655.png"/><Relationship Id="rId676" Type="http://schemas.openxmlformats.org/officeDocument/2006/relationships/image" Target="media/image656.jpeg"/><Relationship Id="rId677" Type="http://schemas.openxmlformats.org/officeDocument/2006/relationships/image" Target="media/image657.png"/><Relationship Id="rId688" Type="http://schemas.openxmlformats.org/officeDocument/2006/relationships/image" Target="media/image658.jpeg"/><Relationship Id="rId689" Type="http://schemas.openxmlformats.org/officeDocument/2006/relationships/image" Target="media/image659.png"/><Relationship Id="rId690" Type="http://schemas.openxmlformats.org/officeDocument/2006/relationships/image" Target="media/image660.png"/><Relationship Id="rId699" Type="http://schemas.openxmlformats.org/officeDocument/2006/relationships/image" Target="media/image661.jpeg"/><Relationship Id="rId700" Type="http://schemas.openxmlformats.org/officeDocument/2006/relationships/image" Target="media/image662.png"/><Relationship Id="rId701" Type="http://schemas.openxmlformats.org/officeDocument/2006/relationships/image" Target="media/image663.png"/><Relationship Id="rId716" Type="http://schemas.openxmlformats.org/officeDocument/2006/relationships/image" Target="media/image664.jpeg"/><Relationship Id="rId717" Type="http://schemas.openxmlformats.org/officeDocument/2006/relationships/image" Target="media/image665.png"/><Relationship Id="rId718" Type="http://schemas.openxmlformats.org/officeDocument/2006/relationships/image" Target="media/image666.png"/><Relationship Id="rId728" Type="http://schemas.openxmlformats.org/officeDocument/2006/relationships/image" Target="media/image667.jpeg"/><Relationship Id="rId729" Type="http://schemas.openxmlformats.org/officeDocument/2006/relationships/image" Target="media/image668.png"/><Relationship Id="rId730" Type="http://schemas.openxmlformats.org/officeDocument/2006/relationships/image" Target="media/image669.png"/><Relationship Id="rId731" Type="http://schemas.openxmlformats.org/officeDocument/2006/relationships/image" Target="media/image670.png"/><Relationship Id="rId732" Type="http://schemas.openxmlformats.org/officeDocument/2006/relationships/image" Target="media/image671.png"/><Relationship Id="rId733" Type="http://schemas.openxmlformats.org/officeDocument/2006/relationships/image" Target="media/image672.jpeg"/><Relationship Id="rId734" Type="http://schemas.openxmlformats.org/officeDocument/2006/relationships/image" Target="media/image673.png"/><Relationship Id="rId735" Type="http://schemas.openxmlformats.org/officeDocument/2006/relationships/image" Target="media/image674.png"/><Relationship Id="rId736" Type="http://schemas.openxmlformats.org/officeDocument/2006/relationships/image" Target="media/image675.jpeg"/><Relationship Id="rId737" Type="http://schemas.openxmlformats.org/officeDocument/2006/relationships/image" Target="media/image676.png"/><Relationship Id="rId738" Type="http://schemas.openxmlformats.org/officeDocument/2006/relationships/image" Target="media/image677.jpeg"/><Relationship Id="rId739" Type="http://schemas.openxmlformats.org/officeDocument/2006/relationships/image" Target="media/image678.png"/><Relationship Id="rId740" Type="http://schemas.openxmlformats.org/officeDocument/2006/relationships/image" Target="media/image679.png"/><Relationship Id="rId741" Type="http://schemas.openxmlformats.org/officeDocument/2006/relationships/image" Target="media/image680.jpeg"/><Relationship Id="rId742" Type="http://schemas.openxmlformats.org/officeDocument/2006/relationships/image" Target="media/image681.png"/><Relationship Id="rId743" Type="http://schemas.openxmlformats.org/officeDocument/2006/relationships/image" Target="media/image682.png"/><Relationship Id="rId744" Type="http://schemas.openxmlformats.org/officeDocument/2006/relationships/image" Target="media/image683.jpeg"/><Relationship Id="rId745" Type="http://schemas.openxmlformats.org/officeDocument/2006/relationships/image" Target="media/image684.png"/><Relationship Id="rId746" Type="http://schemas.openxmlformats.org/officeDocument/2006/relationships/image" Target="media/image685.png"/><Relationship Id="rId747" Type="http://schemas.openxmlformats.org/officeDocument/2006/relationships/image" Target="media/image686.jpeg"/><Relationship Id="rId748" Type="http://schemas.openxmlformats.org/officeDocument/2006/relationships/image" Target="media/image687.png"/><Relationship Id="rId749" Type="http://schemas.openxmlformats.org/officeDocument/2006/relationships/image" Target="media/image688.png"/><Relationship Id="rId750" Type="http://schemas.openxmlformats.org/officeDocument/2006/relationships/image" Target="media/image689.jpeg"/><Relationship Id="rId751" Type="http://schemas.openxmlformats.org/officeDocument/2006/relationships/image" Target="media/image690.png"/><Relationship Id="rId752" Type="http://schemas.openxmlformats.org/officeDocument/2006/relationships/image" Target="media/image691.png"/><Relationship Id="rId753" Type="http://schemas.openxmlformats.org/officeDocument/2006/relationships/image" Target="media/image692.jpeg"/><Relationship Id="rId754" Type="http://schemas.openxmlformats.org/officeDocument/2006/relationships/image" Target="media/image693.png"/><Relationship Id="rId755" Type="http://schemas.openxmlformats.org/officeDocument/2006/relationships/image" Target="media/image694.png"/><Relationship Id="rId756" Type="http://schemas.openxmlformats.org/officeDocument/2006/relationships/image" Target="media/image695.jpeg"/><Relationship Id="rId757" Type="http://schemas.openxmlformats.org/officeDocument/2006/relationships/image" Target="media/image696.png"/><Relationship Id="rId758" Type="http://schemas.openxmlformats.org/officeDocument/2006/relationships/image" Target="media/image697.png"/><Relationship Id="rId759" Type="http://schemas.openxmlformats.org/officeDocument/2006/relationships/image" Target="media/image698.jpeg"/><Relationship Id="rId760" Type="http://schemas.openxmlformats.org/officeDocument/2006/relationships/image" Target="media/image699.png"/><Relationship Id="rId761" Type="http://schemas.openxmlformats.org/officeDocument/2006/relationships/image" Target="media/image700.png"/><Relationship Id="rId762" Type="http://schemas.openxmlformats.org/officeDocument/2006/relationships/image" Target="media/image701.jpeg"/><Relationship Id="rId763" Type="http://schemas.openxmlformats.org/officeDocument/2006/relationships/image" Target="media/image702.png"/><Relationship Id="rId764" Type="http://schemas.openxmlformats.org/officeDocument/2006/relationships/image" Target="media/image703.png"/><Relationship Id="rId765" Type="http://schemas.openxmlformats.org/officeDocument/2006/relationships/image" Target="media/image704.png"/><Relationship Id="rId766" Type="http://schemas.openxmlformats.org/officeDocument/2006/relationships/image" Target="media/image705.png"/><Relationship Id="rId767" Type="http://schemas.openxmlformats.org/officeDocument/2006/relationships/image" Target="media/image706.png"/><Relationship Id="rId768" Type="http://schemas.openxmlformats.org/officeDocument/2006/relationships/image" Target="media/image707.png"/><Relationship Id="rId769" Type="http://schemas.openxmlformats.org/officeDocument/2006/relationships/image" Target="media/image708.png"/><Relationship Id="rId770" Type="http://schemas.openxmlformats.org/officeDocument/2006/relationships/image" Target="media/image709.png"/><Relationship Id="rId771" Type="http://schemas.openxmlformats.org/officeDocument/2006/relationships/image" Target="media/image710.png"/><Relationship Id="rId772" Type="http://schemas.openxmlformats.org/officeDocument/2006/relationships/image" Target="media/image711.png"/><Relationship Id="rId773" Type="http://schemas.openxmlformats.org/officeDocument/2006/relationships/image" Target="media/image712.png"/><Relationship Id="rId774" Type="http://schemas.openxmlformats.org/officeDocument/2006/relationships/image" Target="media/image713.png"/><Relationship Id="rId775" Type="http://schemas.openxmlformats.org/officeDocument/2006/relationships/image" Target="media/image714.png"/><Relationship Id="rId776" Type="http://schemas.openxmlformats.org/officeDocument/2006/relationships/image" Target="media/image715.png"/><Relationship Id="rId777" Type="http://schemas.openxmlformats.org/officeDocument/2006/relationships/image" Target="media/image716.png"/><Relationship Id="rId778" Type="http://schemas.openxmlformats.org/officeDocument/2006/relationships/image" Target="media/image717.png"/><Relationship Id="rId779" Type="http://schemas.openxmlformats.org/officeDocument/2006/relationships/image" Target="media/image718.png"/><Relationship Id="rId780" Type="http://schemas.openxmlformats.org/officeDocument/2006/relationships/image" Target="media/image719.png"/><Relationship Id="rId781" Type="http://schemas.openxmlformats.org/officeDocument/2006/relationships/image" Target="media/image720.png"/><Relationship Id="rId782" Type="http://schemas.openxmlformats.org/officeDocument/2006/relationships/image" Target="media/image721.png"/><Relationship Id="rId783" Type="http://schemas.openxmlformats.org/officeDocument/2006/relationships/image" Target="media/image722.png"/><Relationship Id="rId784" Type="http://schemas.openxmlformats.org/officeDocument/2006/relationships/image" Target="media/image723.png"/><Relationship Id="rId785" Type="http://schemas.openxmlformats.org/officeDocument/2006/relationships/image" Target="media/image724.png"/><Relationship Id="rId786" Type="http://schemas.openxmlformats.org/officeDocument/2006/relationships/image" Target="media/image725.png"/><Relationship Id="rId787" Type="http://schemas.openxmlformats.org/officeDocument/2006/relationships/image" Target="media/image726.png"/><Relationship Id="rId788" Type="http://schemas.openxmlformats.org/officeDocument/2006/relationships/image" Target="media/image727.png"/><Relationship Id="rId789" Type="http://schemas.openxmlformats.org/officeDocument/2006/relationships/image" Target="media/image728.png"/><Relationship Id="rId790" Type="http://schemas.openxmlformats.org/officeDocument/2006/relationships/image" Target="media/image729.png"/><Relationship Id="rId791" Type="http://schemas.openxmlformats.org/officeDocument/2006/relationships/image" Target="media/image730.png"/><Relationship Id="rId792" Type="http://schemas.openxmlformats.org/officeDocument/2006/relationships/image" Target="media/image731.png"/><Relationship Id="rId793" Type="http://schemas.openxmlformats.org/officeDocument/2006/relationships/image" Target="media/image732.png"/><Relationship Id="rId794" Type="http://schemas.openxmlformats.org/officeDocument/2006/relationships/image" Target="media/image733.png"/><Relationship Id="rId795" Type="http://schemas.openxmlformats.org/officeDocument/2006/relationships/image" Target="media/image734.png"/><Relationship Id="rId796" Type="http://schemas.openxmlformats.org/officeDocument/2006/relationships/image" Target="media/image735.png"/><Relationship Id="rId797" Type="http://schemas.openxmlformats.org/officeDocument/2006/relationships/image" Target="media/image736.png"/><Relationship Id="rId798" Type="http://schemas.openxmlformats.org/officeDocument/2006/relationships/image" Target="media/image737.png"/><Relationship Id="rId799" Type="http://schemas.openxmlformats.org/officeDocument/2006/relationships/image" Target="media/image738.png"/><Relationship Id="rId800" Type="http://schemas.openxmlformats.org/officeDocument/2006/relationships/image" Target="media/image739.png"/><Relationship Id="rId801" Type="http://schemas.openxmlformats.org/officeDocument/2006/relationships/image" Target="media/image740.png"/><Relationship Id="rId195" Type="http://schemas.openxmlformats.org/officeDocument/2006/relationships/hyperlink" Target="https://www.sec.gov/Archives/edgar/data/916076/000095017023004361/mlm-20221231.htm#item_7_managements_discussion_analysis_f" TargetMode="External"/><Relationship Id="rId661" Type="http://schemas.openxmlformats.org/officeDocument/2006/relationships/hyperlink" Target="https://www.sec.gov/Archives/edgar/data/916076/000095015723001164/ex2-1.htm" TargetMode="External"/><Relationship Id="rId662" Type="http://schemas.openxmlformats.org/officeDocument/2006/relationships/hyperlink" Target="https://www.sec.gov/Archives/edgar/data/916076/000119312517056282/d344578dex301.htm" TargetMode="External"/><Relationship Id="rId663" Type="http://schemas.openxmlformats.org/officeDocument/2006/relationships/hyperlink" Target="https://www.sec.gov/Archives/edgar/data/916076/000095017022025069/mlm-ex3_1.htm" TargetMode="External"/><Relationship Id="rId667" Type="http://schemas.openxmlformats.org/officeDocument/2006/relationships/hyperlink" Target="https://www.sec.gov/Archives/edgar/data/916076/000095014407003966/g07010exv4w1.htm" TargetMode="External"/><Relationship Id="rId668" Type="http://schemas.openxmlformats.org/officeDocument/2006/relationships/hyperlink" Target="https://www.sec.gov/Archives/edgar/data/916076/000095014407003966/g07010exv4w3.htm" TargetMode="External"/><Relationship Id="rId669" Type="http://schemas.openxmlformats.org/officeDocument/2006/relationships/hyperlink" Target="https://www.sec.gov/Archives/edgar/data/916076/000095015714000679/ex10-1.htm" TargetMode="External"/><Relationship Id="rId670" Type="http://schemas.openxmlformats.org/officeDocument/2006/relationships/hyperlink" Target="https://www.sec.gov/Archives/edgar/data/916076/000095015714000736/ex4-1.htm" TargetMode="External"/><Relationship Id="rId671" Type="http://schemas.openxmlformats.org/officeDocument/2006/relationships/hyperlink" Target="https://www.sec.gov/Archives/edgar/data/916076/000119312517178064/d401743dex41.htm" TargetMode="External"/><Relationship Id="rId672" Type="http://schemas.openxmlformats.org/officeDocument/2006/relationships/hyperlink" Target="https://www.sec.gov/Archives/edgar/data/916076/000119312517178064/d401743dex42.htm" TargetMode="External"/><Relationship Id="rId673" Type="http://schemas.openxmlformats.org/officeDocument/2006/relationships/hyperlink" Target="https://www.sec.gov/Archives/edgar/data/916076/000119312517374738/d499713dex42.htm" TargetMode="External"/><Relationship Id="rId674" Type="http://schemas.openxmlformats.org/officeDocument/2006/relationships/hyperlink" Target="https://www.sec.gov/Archives/edgar/data/916076/000095015720000377/ex4-2.htm" TargetMode="External"/><Relationship Id="rId675" Type="http://schemas.openxmlformats.org/officeDocument/2006/relationships/hyperlink" Target="https://www.sec.gov/Archives/edgar/data/916076/000095015721000738/ex4-2.htm" TargetMode="External"/><Relationship Id="rId678" Type="http://schemas.openxmlformats.org/officeDocument/2006/relationships/hyperlink" Target="https://www.sec.gov/Archives/edgar/data/916076/000095015724001472/ex4-2.htm" TargetMode="External"/><Relationship Id="rId679" Type="http://schemas.openxmlformats.org/officeDocument/2006/relationships/hyperlink" Target="https://www.sec.gov/Archives/edgar/data/916076/000156459020005784/mlm-ex417_265.htm" TargetMode="External"/><Relationship Id="rId680" Type="http://schemas.openxmlformats.org/officeDocument/2006/relationships/hyperlink" Target="https://www.sec.gov/Archives/edgar/data/916076/000095015721001282/ex10-1.htm" TargetMode="External"/><Relationship Id="rId681" Type="http://schemas.openxmlformats.org/officeDocument/2006/relationships/hyperlink" Target="https://www.sec.gov/Archives/edgar/data/916076/000095015722001348/ex10-1.htm" TargetMode="External"/><Relationship Id="rId682" Type="http://schemas.openxmlformats.org/officeDocument/2006/relationships/hyperlink" Target="https://www.sec.gov/Archives/edgar/data/916076/000095015723001269/ex10-1.htm" TargetMode="External"/><Relationship Id="rId683" Type="http://schemas.openxmlformats.org/officeDocument/2006/relationships/hyperlink" Target="https://www.sec.gov/Archives/edgar/data/916076/000119312513169367/d524115dex1001.htm" TargetMode="External"/><Relationship Id="rId684" Type="http://schemas.openxmlformats.org/officeDocument/2006/relationships/hyperlink" Target="https://www.sec.gov/Archives/edgar/data/916076/000095015714000705/ex10-1.htm" TargetMode="External"/><Relationship Id="rId685" Type="http://schemas.openxmlformats.org/officeDocument/2006/relationships/hyperlink" Target="https://www.sec.gov/Archives/edgar/data/916076/000119312514156286/d714228dex1001.htm" TargetMode="External"/><Relationship Id="rId686" Type="http://schemas.openxmlformats.org/officeDocument/2006/relationships/hyperlink" Target="https://www.sec.gov/Archives/edgar/data/916076/000119312514363178/d799882dex1001.htm" TargetMode="External"/><Relationship Id="rId687" Type="http://schemas.openxmlformats.org/officeDocument/2006/relationships/hyperlink" Target="https://www.sec.gov/Archives/edgar/data/916076/000156459016025538/mlm-ex1001_6.htm" TargetMode="External"/><Relationship Id="rId691" Type="http://schemas.openxmlformats.org/officeDocument/2006/relationships/hyperlink" Target="https://www.sec.gov/Archives/edgar/data/916076/000095015718000431/ex10-1.htm" TargetMode="External"/><Relationship Id="rId692" Type="http://schemas.openxmlformats.org/officeDocument/2006/relationships/hyperlink" Target="https://www.sec.gov/Archives/edgar/data/916076/000095015718001002/ex10-1.htm" TargetMode="External"/><Relationship Id="rId693" Type="http://schemas.openxmlformats.org/officeDocument/2006/relationships/hyperlink" Target="https://www.sec.gov/Archives/edgar/data/916076/000095015719001073/ex10-01.htm" TargetMode="External"/><Relationship Id="rId694" Type="http://schemas.openxmlformats.org/officeDocument/2006/relationships/hyperlink" Target="https://www.sec.gov/Archives/edgar/data/916076/000095015720001165/ex10-1.htm" TargetMode="External"/><Relationship Id="rId695" Type="http://schemas.openxmlformats.org/officeDocument/2006/relationships/hyperlink" Target="https://www.sec.gov/Archives/edgar/data/916076/000095015721001045/ex10-01.htm" TargetMode="External"/><Relationship Id="rId696" Type="http://schemas.openxmlformats.org/officeDocument/2006/relationships/hyperlink" Target="https://www.sec.gov/Archives/edgar/data/916076/000095015722001037/ex10-01.htm" TargetMode="External"/><Relationship Id="rId697" Type="http://schemas.openxmlformats.org/officeDocument/2006/relationships/hyperlink" Target="https://www.sec.gov/Archives/edgar/data/916076/000095015723000976/ex10-1.htm" TargetMode="External"/><Relationship Id="rId698" Type="http://schemas.openxmlformats.org/officeDocument/2006/relationships/hyperlink" Target="https://www.sec.gov/Archives/edgar/data/916076/000095015724001270/ex10-01.htm" TargetMode="External"/><Relationship Id="rId702" Type="http://schemas.openxmlformats.org/officeDocument/2006/relationships/hyperlink" Target="https://www.sec.gov/Archives/edgar/data/916076/000119312513169367/d524115dex1002.htm" TargetMode="External"/><Relationship Id="rId703" Type="http://schemas.openxmlformats.org/officeDocument/2006/relationships/hyperlink" Target="https://www.sec.gov/Archives/edgar/data/916076/000095014408006590/g14828k1exv10w1.htm" TargetMode="External"/><Relationship Id="rId704" Type="http://schemas.openxmlformats.org/officeDocument/2006/relationships/hyperlink" Target="https://www.sec.gov/Archives/edgar/data/916076/000119312514064999/d654417dex1005.htm" TargetMode="External"/><Relationship Id="rId705" Type="http://schemas.openxmlformats.org/officeDocument/2006/relationships/hyperlink" Target="https://www.sec.gov/Archives/edgar/data/916076/000095014409001377/g17638exv10w05.htm" TargetMode="External"/><Relationship Id="rId706" Type="http://schemas.openxmlformats.org/officeDocument/2006/relationships/hyperlink" Target="https://www.sec.gov/Archives/edgar/data/916076/000095014409001377/g17638exv10w06.htm" TargetMode="External"/><Relationship Id="rId707" Type="http://schemas.openxmlformats.org/officeDocument/2006/relationships/hyperlink" Target="https://www.sec.gov/Archives/edgar/data/916076/000156459016022616/mlm-ex1001_10.htm" TargetMode="External"/><Relationship Id="rId708" Type="http://schemas.openxmlformats.org/officeDocument/2006/relationships/hyperlink" Target="https://www.sec.gov/Archives/edgar/data/916076/000156459016022616/mlm-ex1002_8.htm" TargetMode="External"/><Relationship Id="rId709" Type="http://schemas.openxmlformats.org/officeDocument/2006/relationships/hyperlink" Target="https://www.sec.gov/Archives/edgar/data/916076/000095014401003808/g67160ex10-16.txt" TargetMode="External"/><Relationship Id="rId710" Type="http://schemas.openxmlformats.org/officeDocument/2006/relationships/hyperlink" Target="https://www.sec.gov/Archives/edgar/data/916076/000119312512337410/d367571dex10.htm" TargetMode="External"/><Relationship Id="rId711" Type="http://schemas.openxmlformats.org/officeDocument/2006/relationships/hyperlink" Target="https://www.sec.gov/Archives/edgar/data/916076/000095014409001377/g17638exv10w11.htm" TargetMode="External"/><Relationship Id="rId712" Type="http://schemas.openxmlformats.org/officeDocument/2006/relationships/hyperlink" Target="https://www.sec.gov/Archives/edgar/data/916076/000095014409001377/g17638exv10w13.htm" TargetMode="External"/><Relationship Id="rId713" Type="http://schemas.openxmlformats.org/officeDocument/2006/relationships/hyperlink" Target="https://www.sec.gov/Archives/edgar/data/916076/000119312514064999/d654417dex1014.htm" TargetMode="External"/><Relationship Id="rId714" Type="http://schemas.openxmlformats.org/officeDocument/2006/relationships/hyperlink" Target="https://www.sec.gov/Archives/edgar/data/916076/000119312515060008/d877241dex1019.htm" TargetMode="External"/><Relationship Id="rId715" Type="http://schemas.openxmlformats.org/officeDocument/2006/relationships/hyperlink" Target="https://www.sec.gov/Archives/edgar/data/916076/000156459017010260/mlm-ex1002_99.htm" TargetMode="External"/><Relationship Id="rId719" Type="http://schemas.openxmlformats.org/officeDocument/2006/relationships/hyperlink" Target="https://www.sec.gov/Archives/edgar/data/916076/000156459017014636/mlm-ex1001_243.htm" TargetMode="External"/><Relationship Id="rId720" Type="http://schemas.openxmlformats.org/officeDocument/2006/relationships/hyperlink" Target="https://www.sec.gov/Archives/edgar/data/916076/000095015718001227/ex10_1.htm" TargetMode="External"/><Relationship Id="rId721" Type="http://schemas.openxmlformats.org/officeDocument/2006/relationships/hyperlink" Target="https://www.sec.gov/Archives/edgar/data/916076/000095015718001227/ex10_2.htm" TargetMode="External"/><Relationship Id="rId722" Type="http://schemas.openxmlformats.org/officeDocument/2006/relationships/hyperlink" Target="https://www.sec.gov/Archives/edgar/data/916076/000095015718001227/ex10_3.htm" TargetMode="External"/><Relationship Id="rId723" Type="http://schemas.openxmlformats.org/officeDocument/2006/relationships/hyperlink" Target="https://www.sec.gov/Archives/edgar/data/916076/000119312519049961/d640896dex1027.htm" TargetMode="External"/><Relationship Id="rId724" Type="http://schemas.openxmlformats.org/officeDocument/2006/relationships/hyperlink" Target="https://www.sec.gov/Archives/edgar/data/916076/000119312520182492/d708540dex101.htm" TargetMode="External"/><Relationship Id="rId725" Type="http://schemas.openxmlformats.org/officeDocument/2006/relationships/hyperlink" Target="https://www.sec.gov/Archives/edgar/data/916076/000119312520182492/d708540dex102.htm" TargetMode="External"/><Relationship Id="rId726" Type="http://schemas.openxmlformats.org/officeDocument/2006/relationships/hyperlink" Target="https://www.sec.gov/Archives/edgar/data/916076/000156459019027408/mlm-ex1001_8.htm" TargetMode="External"/><Relationship Id="rId727" Type="http://schemas.openxmlformats.org/officeDocument/2006/relationships/hyperlink" Target="https://www.sec.gov/Archives/edgar/data/916076/000095017024019275/mlm-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2025-02-21T14:05:43Z</dcterms:created>
  <dcterms:modified xsi:type="dcterms:W3CDTF">2025-02-21T14:05:43Z</dcterms:modified>
</cp:coreProperties>
</file>