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1-12744</w:t>
      </w:r>
    </w:p>
    <w:p>
      <w:pPr>
        <w:spacing w:after="0" w:line="9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4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North Carolina</w:t>
            </w:r>
          </w:p>
        </w:tc>
        <w:tc>
          <w:tcPr>
            <w:tcW w:w="4060" w:type="dxa"/>
            <w:vAlign w:val="bottom"/>
          </w:tcPr>
          <w:p>
            <w:pPr>
              <w:jc w:val="right"/>
              <w:ind w:right="1050"/>
              <w:spacing w:after="0"/>
              <w:rPr>
                <w:sz w:val="20"/>
                <w:szCs w:val="20"/>
                <w:color w:val="auto"/>
              </w:rPr>
            </w:pPr>
            <w:r>
              <w:rPr>
                <w:rFonts w:ascii="Arial" w:cs="Arial" w:eastAsia="Arial" w:hAnsi="Arial"/>
                <w:sz w:val="18"/>
                <w:szCs w:val="18"/>
                <w:b w:val="1"/>
                <w:bCs w:val="1"/>
                <w:color w:val="auto"/>
              </w:rPr>
              <w:t>56-1848578</w:t>
            </w:r>
          </w:p>
        </w:tc>
      </w:tr>
      <w:tr>
        <w:trPr>
          <w:trHeight w:val="234"/>
        </w:trPr>
        <w:tc>
          <w:tcPr>
            <w:tcW w:w="554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06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46"/>
        </w:trPr>
        <w:tc>
          <w:tcPr>
            <w:tcW w:w="554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4123 Parklake Avenue, Raleigh, NC</w:t>
            </w:r>
          </w:p>
        </w:tc>
        <w:tc>
          <w:tcPr>
            <w:tcW w:w="4060" w:type="dxa"/>
            <w:vAlign w:val="bottom"/>
          </w:tcPr>
          <w:p>
            <w:pPr>
              <w:jc w:val="right"/>
              <w:ind w:right="1250"/>
              <w:spacing w:after="0"/>
              <w:rPr>
                <w:sz w:val="20"/>
                <w:szCs w:val="20"/>
                <w:color w:val="auto"/>
              </w:rPr>
            </w:pPr>
            <w:r>
              <w:rPr>
                <w:rFonts w:ascii="Arial" w:cs="Arial" w:eastAsia="Arial" w:hAnsi="Arial"/>
                <w:sz w:val="18"/>
                <w:szCs w:val="18"/>
                <w:b w:val="1"/>
                <w:bCs w:val="1"/>
                <w:color w:val="auto"/>
              </w:rPr>
              <w:t>27612</w:t>
            </w:r>
          </w:p>
        </w:tc>
      </w:tr>
      <w:tr>
        <w:trPr>
          <w:trHeight w:val="234"/>
        </w:trPr>
        <w:tc>
          <w:tcPr>
            <w:tcW w:w="5540" w:type="dxa"/>
            <w:vAlign w:val="bottom"/>
          </w:tcPr>
          <w:p>
            <w:pPr>
              <w:jc w:val="center"/>
              <w:ind w:right="8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60" w:type="dxa"/>
            <w:vAlign w:val="bottom"/>
          </w:tcPr>
          <w:p>
            <w:pPr>
              <w:jc w:val="center"/>
              <w:ind w:left="810"/>
              <w:spacing w:after="0"/>
              <w:rPr>
                <w:sz w:val="20"/>
                <w:szCs w:val="20"/>
                <w:color w:val="auto"/>
              </w:rPr>
            </w:pPr>
            <w:r>
              <w:rPr>
                <w:rFonts w:ascii="Arial" w:cs="Arial" w:eastAsia="Arial" w:hAnsi="Arial"/>
                <w:sz w:val="18"/>
                <w:szCs w:val="18"/>
                <w:b w:val="1"/>
                <w:bCs w:val="1"/>
                <w:color w:val="auto"/>
                <w:w w:val="94"/>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919-781-4550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changes since last report)</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69"/>
        </w:trPr>
        <w:tc>
          <w:tcPr>
            <w:tcW w:w="1200" w:type="dxa"/>
            <w:vAlign w:val="bottom"/>
            <w:tcBorders>
              <w:top w:val="single" w:sz="8" w:color="auto"/>
              <w:left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bottom w:val="single" w:sz="8" w:color="auto"/>
            </w:tcBorders>
            <w:gridSpan w:val="3"/>
          </w:tcPr>
          <w:p>
            <w:pPr>
              <w:jc w:val="center"/>
              <w:ind w:right="40"/>
              <w:spacing w:after="0" w:line="169" w:lineRule="exact"/>
              <w:rPr>
                <w:sz w:val="20"/>
                <w:szCs w:val="20"/>
                <w:color w:val="auto"/>
              </w:rPr>
            </w:pPr>
            <w:r>
              <w:rPr>
                <w:rFonts w:ascii="Arial" w:cs="Arial" w:eastAsia="Arial" w:hAnsi="Arial"/>
                <w:sz w:val="18"/>
                <w:szCs w:val="18"/>
                <w:b w:val="1"/>
                <w:bCs w:val="1"/>
                <w:color w:val="auto"/>
                <w:w w:val="87"/>
              </w:rPr>
              <w:t>Name of each exchange on</w:t>
            </w:r>
          </w:p>
        </w:tc>
        <w:tc>
          <w:tcPr>
            <w:tcW w:w="780" w:type="dxa"/>
            <w:vAlign w:val="bottom"/>
            <w:tcBorders>
              <w:top w:val="single" w:sz="8" w:color="auto"/>
              <w:right w:val="single" w:sz="8" w:color="auto"/>
            </w:tcBorders>
          </w:tcPr>
          <w:p>
            <w:pPr>
              <w:spacing w:after="0"/>
              <w:rPr>
                <w:sz w:val="14"/>
                <w:szCs w:val="14"/>
                <w:color w:val="auto"/>
              </w:rPr>
            </w:pPr>
          </w:p>
        </w:tc>
      </w:tr>
      <w:tr>
        <w:trPr>
          <w:trHeight w:val="196"/>
        </w:trPr>
        <w:tc>
          <w:tcPr>
            <w:tcW w:w="3840" w:type="dxa"/>
            <w:vAlign w:val="bottom"/>
            <w:tcBorders>
              <w:left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Title of Each Class</w:t>
            </w:r>
          </w:p>
        </w:tc>
        <w:tc>
          <w:tcPr>
            <w:tcW w:w="1160" w:type="dxa"/>
            <w:vAlign w:val="bottom"/>
          </w:tcPr>
          <w:p>
            <w:pPr>
              <w:spacing w:after="0"/>
              <w:rPr>
                <w:sz w:val="17"/>
                <w:szCs w:val="17"/>
                <w:color w:val="auto"/>
              </w:rPr>
            </w:pPr>
          </w:p>
        </w:tc>
        <w:tc>
          <w:tcPr>
            <w:tcW w:w="2640" w:type="dxa"/>
            <w:vAlign w:val="bottom"/>
            <w:tcBorders>
              <w:right w:val="single" w:sz="8" w:color="auto"/>
            </w:tcBorders>
            <w:gridSpan w:val="2"/>
          </w:tcPr>
          <w:p>
            <w:pPr>
              <w:jc w:val="center"/>
              <w:ind w:right="1200"/>
              <w:spacing w:after="0" w:line="196" w:lineRule="exact"/>
              <w:rPr>
                <w:sz w:val="20"/>
                <w:szCs w:val="20"/>
                <w:color w:val="auto"/>
              </w:rPr>
            </w:pPr>
            <w:r>
              <w:rPr>
                <w:rFonts w:ascii="Arial" w:cs="Arial" w:eastAsia="Arial" w:hAnsi="Arial"/>
                <w:sz w:val="18"/>
                <w:szCs w:val="18"/>
                <w:b w:val="1"/>
                <w:bCs w:val="1"/>
                <w:color w:val="auto"/>
                <w:w w:val="91"/>
              </w:rPr>
              <w:t>Trading Symbol(s)</w:t>
            </w: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Borders>
              <w:right w:val="single" w:sz="8" w:color="auto"/>
            </w:tcBorders>
            <w:gridSpan w:val="3"/>
          </w:tcPr>
          <w:p>
            <w:pPr>
              <w:jc w:val="center"/>
              <w:ind w:right="1180"/>
              <w:spacing w:after="0" w:line="196" w:lineRule="exact"/>
              <w:rPr>
                <w:sz w:val="20"/>
                <w:szCs w:val="20"/>
                <w:color w:val="auto"/>
              </w:rPr>
            </w:pPr>
            <w:r>
              <w:rPr>
                <w:rFonts w:ascii="Arial" w:cs="Arial" w:eastAsia="Arial" w:hAnsi="Arial"/>
                <w:sz w:val="18"/>
                <w:szCs w:val="18"/>
                <w:b w:val="1"/>
                <w:bCs w:val="1"/>
                <w:color w:val="auto"/>
                <w:w w:val="88"/>
              </w:rPr>
              <w:t>which registered</w:t>
            </w:r>
          </w:p>
        </w:tc>
      </w:tr>
      <w:tr>
        <w:trPr>
          <w:trHeight w:val="21"/>
        </w:trPr>
        <w:tc>
          <w:tcPr>
            <w:tcW w:w="1200" w:type="dxa"/>
            <w:vAlign w:val="bottom"/>
            <w:tcBorders>
              <w:left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38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(Par Value $0.01)</w:t>
            </w:r>
          </w:p>
        </w:tc>
        <w:tc>
          <w:tcPr>
            <w:tcW w:w="116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gridSpan w:val="2"/>
          </w:tcPr>
          <w:p>
            <w:pPr>
              <w:jc w:val="center"/>
              <w:ind w:right="1180"/>
              <w:spacing w:after="0"/>
              <w:rPr>
                <w:sz w:val="20"/>
                <w:szCs w:val="20"/>
                <w:color w:val="auto"/>
              </w:rPr>
            </w:pPr>
            <w:r>
              <w:rPr>
                <w:rFonts w:ascii="Arial" w:cs="Arial" w:eastAsia="Arial" w:hAnsi="Arial"/>
                <w:sz w:val="18"/>
                <w:szCs w:val="18"/>
                <w:color w:val="auto"/>
              </w:rPr>
              <w:t>MLM</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gridSpan w:val="3"/>
          </w:tcPr>
          <w:p>
            <w:pPr>
              <w:jc w:val="center"/>
              <w:ind w:right="1200"/>
              <w:spacing w:after="0"/>
              <w:rPr>
                <w:sz w:val="20"/>
                <w:szCs w:val="20"/>
                <w:color w:val="auto"/>
              </w:rPr>
            </w:pPr>
            <w:r>
              <w:rPr>
                <w:rFonts w:ascii="Arial" w:cs="Arial" w:eastAsia="Arial" w:hAnsi="Arial"/>
                <w:sz w:val="18"/>
                <w:szCs w:val="18"/>
                <w:color w:val="auto"/>
                <w:w w:val="97"/>
              </w:rPr>
              <w:t>NYSE</w:t>
            </w:r>
          </w:p>
        </w:tc>
      </w:tr>
    </w:tbl>
    <w:p>
      <w:pPr>
        <w:spacing w:after="0" w:line="9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4" w:lineRule="exact"/>
        <w:rPr>
          <w:sz w:val="24"/>
          <w:szCs w:val="24"/>
          <w:color w:val="auto"/>
        </w:rPr>
      </w:pPr>
    </w:p>
    <w:p>
      <w:pPr>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ind w:left="50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20" w:type="dxa"/>
            <w:vAlign w:val="bottom"/>
            <w:gridSpan w:val="2"/>
          </w:tcPr>
          <w:p>
            <w:pPr>
              <w:jc w:val="right"/>
              <w:ind w:right="49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30"/>
        </w:trPr>
        <w:tc>
          <w:tcPr>
            <w:tcW w:w="11240" w:type="dxa"/>
            <w:vAlign w:val="bottom"/>
            <w:gridSpan w:val="4"/>
          </w:tcPr>
          <w:p>
            <w:pPr>
              <w:jc w:val="right"/>
              <w:ind w:right="2250"/>
              <w:spacing w:after="0"/>
              <w:rPr>
                <w:sz w:val="20"/>
                <w:szCs w:val="20"/>
                <w:color w:val="auto"/>
              </w:rPr>
            </w:pPr>
            <w:r>
              <w:rPr>
                <w:rFonts w:ascii="Arial" w:cs="Arial" w:eastAsia="Arial" w:hAnsi="Arial"/>
                <w:sz w:val="18"/>
                <w:szCs w:val="18"/>
                <w:color w:val="auto"/>
                <w:w w:val="89"/>
              </w:rPr>
              <w:t>Indicate the number of shares outstanding of each of the issuer’s classes of Common Stock, as of the latest practicable date.</w:t>
            </w:r>
          </w:p>
        </w:tc>
      </w:tr>
      <w:tr>
        <w:trPr>
          <w:trHeight w:val="351"/>
        </w:trPr>
        <w:tc>
          <w:tcPr>
            <w:tcW w:w="5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Pr>
          <w:p>
            <w:pPr>
              <w:spacing w:after="0"/>
              <w:rPr>
                <w:sz w:val="24"/>
                <w:szCs w:val="24"/>
                <w:color w:val="auto"/>
              </w:rPr>
            </w:pPr>
          </w:p>
        </w:tc>
        <w:tc>
          <w:tcPr>
            <w:tcW w:w="5500" w:type="dxa"/>
            <w:vAlign w:val="bottom"/>
          </w:tcPr>
          <w:p>
            <w:pPr>
              <w:jc w:val="right"/>
              <w:ind w:right="1310"/>
              <w:spacing w:after="0"/>
              <w:rPr>
                <w:sz w:val="20"/>
                <w:szCs w:val="20"/>
                <w:color w:val="auto"/>
              </w:rPr>
            </w:pPr>
            <w:r>
              <w:rPr>
                <w:rFonts w:ascii="Arial" w:cs="Arial" w:eastAsia="Arial" w:hAnsi="Arial"/>
                <w:sz w:val="18"/>
                <w:szCs w:val="18"/>
                <w:b w:val="1"/>
                <w:bCs w:val="1"/>
                <w:color w:val="auto"/>
              </w:rPr>
              <w:t>Outstanding as of October 28, 2021</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62,381,891</w:t>
            </w:r>
          </w:p>
        </w:tc>
      </w:tr>
      <w:tr>
        <w:trPr>
          <w:trHeight w:val="161"/>
        </w:trPr>
        <w:tc>
          <w:tcPr>
            <w:tcW w:w="5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797"/>
        </w:trPr>
        <w:tc>
          <w:tcPr>
            <w:tcW w:w="5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80" w:type="dxa"/>
            <w:vAlign w:val="bottom"/>
            <w:gridSpan w:val="19"/>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Page</w:t>
            </w:r>
          </w:p>
        </w:tc>
        <w:tc>
          <w:tcPr>
            <w:tcW w:w="0" w:type="dxa"/>
            <w:vAlign w:val="bottom"/>
          </w:tcPr>
          <w:p>
            <w:pPr>
              <w:spacing w:after="0"/>
              <w:rPr>
                <w:sz w:val="1"/>
                <w:szCs w:val="1"/>
                <w:color w:val="auto"/>
              </w:rPr>
            </w:pPr>
          </w:p>
        </w:tc>
      </w:tr>
      <w:tr>
        <w:trPr>
          <w:trHeight w:val="227"/>
        </w:trPr>
        <w:tc>
          <w:tcPr>
            <w:tcW w:w="10680" w:type="dxa"/>
            <w:vAlign w:val="bottom"/>
            <w:gridSpan w:val="19"/>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Consolidated Balance Sheets – September 30, 2021 and December 31, 2020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20"/>
                <w:szCs w:val="20"/>
                <w:color w:val="0000EE"/>
                <w:w w:val="90"/>
              </w:rPr>
            </w:pPr>
            <w:hyperlink w:anchor="page4">
              <w:r>
                <w:rPr>
                  <w:rFonts w:ascii="Arial" w:cs="Arial" w:eastAsia="Arial" w:hAnsi="Arial"/>
                  <w:sz w:val="20"/>
                  <w:szCs w:val="20"/>
                  <w:color w:val="0000EE"/>
                  <w:w w:val="90"/>
                </w:rPr>
                <w:t xml:space="preserve">Consolidated Statements of Earnings and Comprehensive Earnings – Three and Nine Months Ended </w:t>
              </w:r>
              <w:r>
                <w:rPr>
                  <w:rFonts w:ascii="Arial" w:cs="Arial" w:eastAsia="Arial" w:hAnsi="Arial"/>
                  <w:sz w:val="21"/>
                  <w:szCs w:val="21"/>
                  <w:color w:val="0000EE"/>
                  <w:w w:val="90"/>
                </w:rPr>
                <w:t>September</w:t>
              </w:r>
              <w:r>
                <w:rPr>
                  <w:rFonts w:ascii="Arial" w:cs="Arial" w:eastAsia="Arial" w:hAnsi="Arial"/>
                  <w:sz w:val="20"/>
                  <w:szCs w:val="20"/>
                  <w:color w:val="0000EE"/>
                  <w:w w:val="90"/>
                </w:rPr>
                <w:t xml:space="preserve"> 30, 2021 and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gridSpan w:val="2"/>
          </w:tcPr>
          <w:p>
            <w:pPr>
              <w:spacing w:after="0"/>
              <w:rPr>
                <w:sz w:val="18"/>
                <w:szCs w:val="18"/>
                <w:color w:val="auto"/>
              </w:rPr>
            </w:pPr>
          </w:p>
        </w:tc>
        <w:tc>
          <w:tcPr>
            <w:tcW w:w="620" w:type="dxa"/>
            <w:vAlign w:val="bottom"/>
            <w:tcBorders>
              <w:top w:val="single" w:sz="8" w:color="0000EE"/>
            </w:tcBorders>
            <w:gridSpan w:val="3"/>
          </w:tcPr>
          <w:p>
            <w:pPr>
              <w:ind w:left="220"/>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2020</w:t>
              </w:r>
            </w:hyperlink>
          </w:p>
        </w:tc>
        <w:tc>
          <w:tcPr>
            <w:tcW w:w="4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20"/>
                <w:szCs w:val="20"/>
                <w:color w:val="0000EE"/>
              </w:rPr>
            </w:pPr>
            <w:hyperlink w:anchor="page5">
              <w:r>
                <w:rPr>
                  <w:rFonts w:ascii="Arial" w:cs="Arial" w:eastAsia="Arial" w:hAnsi="Arial"/>
                  <w:sz w:val="20"/>
                  <w:szCs w:val="20"/>
                  <w:color w:val="0000EE"/>
                </w:rPr>
                <w:t>Consolidated Statements of Cash Flows – Nine Months Ended September 30, 2021 and 2020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40" w:type="dxa"/>
            <w:vAlign w:val="bottom"/>
            <w:gridSpan w:val="17"/>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 of Total Equity – Three and Nine Months Ended September 30, 2021 and 2020</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180" w:type="dxa"/>
            <w:vAlign w:val="bottom"/>
            <w:tcBorders>
              <w:top w:val="single" w:sz="8" w:color="0000EE"/>
            </w:tcBorders>
            <w:gridSpan w:val="15"/>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206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7720" w:type="dxa"/>
            <w:vAlign w:val="bottom"/>
            <w:tcBorders>
              <w:bottom w:val="single" w:sz="8" w:color="0000EE"/>
            </w:tcBorders>
            <w:gridSpan w:val="15"/>
          </w:tcPr>
          <w:p>
            <w:pPr>
              <w:spacing w:after="0"/>
              <w:rPr>
                <w:rFonts w:ascii="Arial" w:cs="Arial" w:eastAsia="Arial" w:hAnsi="Arial"/>
                <w:sz w:val="20"/>
                <w:szCs w:val="20"/>
                <w:color w:val="0000EE"/>
                <w:w w:val="90"/>
              </w:rPr>
            </w:pPr>
            <w:hyperlink w:anchor="page28">
              <w:r>
                <w:rPr>
                  <w:rFonts w:ascii="Arial" w:cs="Arial" w:eastAsia="Arial" w:hAnsi="Arial"/>
                  <w:sz w:val="20"/>
                  <w:szCs w:val="20"/>
                  <w:color w:val="0000EE"/>
                  <w:w w:val="90"/>
                </w:rPr>
                <w:t>Item 2. Management’s Discussion and Analysis of Financial Condition and Results of Operations</w:t>
              </w:r>
            </w:hyperlink>
          </w:p>
        </w:tc>
        <w:tc>
          <w:tcPr>
            <w:tcW w:w="27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5420" w:type="dxa"/>
            <w:vAlign w:val="bottom"/>
            <w:tcBorders>
              <w:bottom w:val="single" w:sz="8" w:color="0000EE"/>
            </w:tcBorders>
            <w:gridSpan w:val="12"/>
          </w:tcPr>
          <w:p>
            <w:pPr>
              <w:spacing w:after="0"/>
              <w:rPr>
                <w:rFonts w:ascii="Arial" w:cs="Arial" w:eastAsia="Arial" w:hAnsi="Arial"/>
                <w:sz w:val="20"/>
                <w:szCs w:val="20"/>
                <w:color w:val="0000EE"/>
                <w:w w:val="91"/>
              </w:rPr>
            </w:pPr>
            <w:hyperlink w:anchor="page50">
              <w:r>
                <w:rPr>
                  <w:rFonts w:ascii="Arial" w:cs="Arial" w:eastAsia="Arial" w:hAnsi="Arial"/>
                  <w:sz w:val="20"/>
                  <w:szCs w:val="20"/>
                  <w:color w:val="0000EE"/>
                  <w:w w:val="91"/>
                </w:rPr>
                <w:t>Item 3. Quantitative and Qualitative Disclosures About Market Risk</w:t>
              </w:r>
            </w:hyperlink>
          </w:p>
        </w:tc>
        <w:tc>
          <w:tcPr>
            <w:tcW w:w="504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560" w:type="dxa"/>
            <w:vAlign w:val="bottom"/>
            <w:tcBorders>
              <w:bottom w:val="single" w:sz="8" w:color="0000EE"/>
            </w:tcBorders>
            <w:gridSpan w:val="9"/>
          </w:tcPr>
          <w:p>
            <w:pPr>
              <w:spacing w:after="0"/>
              <w:rPr>
                <w:rFonts w:ascii="Arial" w:cs="Arial" w:eastAsia="Arial" w:hAnsi="Arial"/>
                <w:sz w:val="20"/>
                <w:szCs w:val="20"/>
                <w:color w:val="0000EE"/>
                <w:w w:val="88"/>
              </w:rPr>
            </w:pPr>
            <w:hyperlink w:anchor="page51">
              <w:r>
                <w:rPr>
                  <w:rFonts w:ascii="Arial" w:cs="Arial" w:eastAsia="Arial" w:hAnsi="Arial"/>
                  <w:sz w:val="20"/>
                  <w:szCs w:val="20"/>
                  <w:color w:val="0000EE"/>
                  <w:w w:val="88"/>
                </w:rPr>
                <w:t>Item 4. Controls and Procedures</w:t>
              </w:r>
            </w:hyperlink>
          </w:p>
        </w:tc>
        <w:tc>
          <w:tcPr>
            <w:tcW w:w="79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76"/>
        </w:trPr>
        <w:tc>
          <w:tcPr>
            <w:tcW w:w="10680" w:type="dxa"/>
            <w:vAlign w:val="bottom"/>
            <w:gridSpan w:val="19"/>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620" w:type="dxa"/>
            <w:vAlign w:val="bottom"/>
            <w:gridSpan w:val="3"/>
          </w:tcPr>
          <w:p>
            <w:pPr>
              <w:spacing w:after="0"/>
              <w:rPr>
                <w:rFonts w:ascii="Arial" w:cs="Arial" w:eastAsia="Arial" w:hAnsi="Arial"/>
                <w:sz w:val="20"/>
                <w:szCs w:val="20"/>
                <w:color w:val="0000EE"/>
                <w:w w:val="94"/>
              </w:rPr>
            </w:pPr>
            <w:hyperlink w:anchor="page52">
              <w:r>
                <w:rPr>
                  <w:rFonts w:ascii="Arial" w:cs="Arial" w:eastAsia="Arial" w:hAnsi="Arial"/>
                  <w:sz w:val="20"/>
                  <w:szCs w:val="20"/>
                  <w:color w:val="0000EE"/>
                  <w:w w:val="94"/>
                </w:rPr>
                <w:t>Item 1.</w:t>
              </w:r>
            </w:hyperlink>
          </w:p>
        </w:tc>
        <w:tc>
          <w:tcPr>
            <w:tcW w:w="9840" w:type="dxa"/>
            <w:vAlign w:val="bottom"/>
            <w:gridSpan w:val="15"/>
          </w:tcPr>
          <w:p>
            <w:pPr>
              <w:spacing w:after="0"/>
              <w:rPr>
                <w:rFonts w:ascii="Arial" w:cs="Arial" w:eastAsia="Arial" w:hAnsi="Arial"/>
                <w:sz w:val="20"/>
                <w:szCs w:val="20"/>
                <w:color w:val="0000EE"/>
              </w:rPr>
            </w:pPr>
            <w:hyperlink w:anchor="page52">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90"/>
              </w:rPr>
            </w:pPr>
            <w:hyperlink w:anchor="page52">
              <w:r>
                <w:rPr>
                  <w:rFonts w:ascii="Arial" w:cs="Arial" w:eastAsia="Arial" w:hAnsi="Arial"/>
                  <w:sz w:val="20"/>
                  <w:szCs w:val="20"/>
                  <w:color w:val="0000EE"/>
                  <w:w w:val="90"/>
                </w:rPr>
                <w:t>Item 1A. Risk Factors</w:t>
              </w:r>
            </w:hyperlink>
          </w:p>
        </w:tc>
        <w:tc>
          <w:tcPr>
            <w:tcW w:w="320" w:type="dxa"/>
            <w:vAlign w:val="bottom"/>
            <w:tcBorders>
              <w:top w:val="single" w:sz="8" w:color="0000EE"/>
            </w:tcBorders>
          </w:tcPr>
          <w:p>
            <w:pPr>
              <w:spacing w:after="0"/>
              <w:rPr>
                <w:sz w:val="24"/>
                <w:szCs w:val="24"/>
                <w:color w:val="auto"/>
              </w:rPr>
            </w:pPr>
          </w:p>
        </w:tc>
        <w:tc>
          <w:tcPr>
            <w:tcW w:w="838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20"/>
                <w:szCs w:val="20"/>
                <w:color w:val="0000EE"/>
                <w:w w:val="94"/>
              </w:rPr>
            </w:pPr>
            <w:hyperlink w:anchor="page52">
              <w:r>
                <w:rPr>
                  <w:rFonts w:ascii="Arial" w:cs="Arial" w:eastAsia="Arial" w:hAnsi="Arial"/>
                  <w:sz w:val="20"/>
                  <w:szCs w:val="20"/>
                  <w:color w:val="0000EE"/>
                  <w:w w:val="94"/>
                </w:rPr>
                <w:t>Item 2.</w:t>
              </w:r>
            </w:hyperlink>
          </w:p>
        </w:tc>
        <w:tc>
          <w:tcPr>
            <w:tcW w:w="478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52">
              <w:r>
                <w:rPr>
                  <w:rFonts w:ascii="Arial" w:cs="Arial" w:eastAsia="Arial" w:hAnsi="Arial"/>
                  <w:sz w:val="20"/>
                  <w:szCs w:val="20"/>
                  <w:color w:val="0000EE"/>
                  <w:w w:val="88"/>
                </w:rPr>
                <w:t>Unregistered Sales of Equity Securities and Use of Proceeds</w:t>
              </w:r>
            </w:hyperlink>
          </w:p>
        </w:tc>
        <w:tc>
          <w:tcPr>
            <w:tcW w:w="506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20"/>
                <w:szCs w:val="20"/>
                <w:color w:val="0000EE"/>
                <w:w w:val="94"/>
              </w:rPr>
            </w:pPr>
            <w:hyperlink w:anchor="page52">
              <w:r>
                <w:rPr>
                  <w:rFonts w:ascii="Arial" w:cs="Arial" w:eastAsia="Arial" w:hAnsi="Arial"/>
                  <w:sz w:val="20"/>
                  <w:szCs w:val="20"/>
                  <w:color w:val="0000EE"/>
                  <w:w w:val="94"/>
                </w:rPr>
                <w:t>Item 4.</w:t>
              </w:r>
            </w:hyperlink>
          </w:p>
        </w:tc>
        <w:tc>
          <w:tcPr>
            <w:tcW w:w="1940" w:type="dxa"/>
            <w:vAlign w:val="bottom"/>
            <w:tcBorders>
              <w:bottom w:val="single" w:sz="8" w:color="0000EE"/>
            </w:tcBorders>
            <w:gridSpan w:val="6"/>
          </w:tcPr>
          <w:p>
            <w:pPr>
              <w:spacing w:after="0"/>
              <w:rPr>
                <w:rFonts w:ascii="Arial" w:cs="Arial" w:eastAsia="Arial" w:hAnsi="Arial"/>
                <w:sz w:val="20"/>
                <w:szCs w:val="20"/>
                <w:color w:val="0000EE"/>
                <w:w w:val="89"/>
              </w:rPr>
            </w:pPr>
            <w:hyperlink w:anchor="page52">
              <w:r>
                <w:rPr>
                  <w:rFonts w:ascii="Arial" w:cs="Arial" w:eastAsia="Arial" w:hAnsi="Arial"/>
                  <w:sz w:val="20"/>
                  <w:szCs w:val="20"/>
                  <w:color w:val="0000EE"/>
                  <w:w w:val="89"/>
                </w:rPr>
                <w:t>Mine Safety Disclosures</w:t>
              </w:r>
            </w:hyperlink>
          </w:p>
        </w:tc>
        <w:tc>
          <w:tcPr>
            <w:tcW w:w="79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20"/>
                <w:szCs w:val="20"/>
                <w:color w:val="0000EE"/>
                <w:w w:val="94"/>
              </w:rPr>
            </w:pPr>
            <w:hyperlink w:anchor="page53">
              <w:r>
                <w:rPr>
                  <w:rFonts w:ascii="Arial" w:cs="Arial" w:eastAsia="Arial" w:hAnsi="Arial"/>
                  <w:sz w:val="20"/>
                  <w:szCs w:val="20"/>
                  <w:color w:val="0000EE"/>
                  <w:w w:val="94"/>
                </w:rPr>
                <w:t>Item 6.</w:t>
              </w:r>
            </w:hyperlink>
          </w:p>
        </w:tc>
        <w:tc>
          <w:tcPr>
            <w:tcW w:w="660" w:type="dxa"/>
            <w:vAlign w:val="bottom"/>
            <w:tcBorders>
              <w:bottom w:val="single" w:sz="8" w:color="0000EE"/>
            </w:tcBorders>
            <w:gridSpan w:val="2"/>
          </w:tcPr>
          <w:p>
            <w:pPr>
              <w:spacing w:after="0"/>
              <w:rPr>
                <w:rFonts w:ascii="Arial" w:cs="Arial" w:eastAsia="Arial" w:hAnsi="Arial"/>
                <w:sz w:val="20"/>
                <w:szCs w:val="20"/>
                <w:color w:val="0000EE"/>
                <w:w w:val="91"/>
              </w:rPr>
            </w:pPr>
            <w:hyperlink w:anchor="page53">
              <w:r>
                <w:rPr>
                  <w:rFonts w:ascii="Arial" w:cs="Arial" w:eastAsia="Arial" w:hAnsi="Arial"/>
                  <w:sz w:val="20"/>
                  <w:szCs w:val="20"/>
                  <w:color w:val="0000EE"/>
                  <w:w w:val="91"/>
                </w:rPr>
                <w:t>Exhibits</w:t>
              </w:r>
            </w:hyperlink>
          </w:p>
        </w:tc>
        <w:tc>
          <w:tcPr>
            <w:tcW w:w="918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31"/>
        </w:trPr>
        <w:tc>
          <w:tcPr>
            <w:tcW w:w="10680" w:type="dxa"/>
            <w:vAlign w:val="bottom"/>
            <w:gridSpan w:val="19"/>
          </w:tcPr>
          <w:p>
            <w:pPr>
              <w:spacing w:after="0"/>
              <w:rPr>
                <w:rFonts w:ascii="Arial" w:cs="Arial" w:eastAsia="Arial" w:hAnsi="Arial"/>
                <w:sz w:val="20"/>
                <w:szCs w:val="20"/>
                <w:color w:val="0000EE"/>
              </w:rPr>
            </w:pPr>
            <w:hyperlink w:anchor="page54">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right"/>
              <w:ind w:right="880"/>
              <w:spacing w:after="0"/>
              <w:rPr>
                <w:sz w:val="20"/>
                <w:szCs w:val="20"/>
                <w:color w:val="auto"/>
              </w:rPr>
            </w:pPr>
            <w:r>
              <w:rPr>
                <w:rFonts w:ascii="Arial" w:cs="Arial" w:eastAsia="Arial" w:hAnsi="Arial"/>
                <w:sz w:val="17"/>
                <w:szCs w:val="17"/>
                <w:color w:val="auto"/>
              </w:rPr>
              <w:t>September 30,</w:t>
            </w:r>
          </w:p>
        </w:tc>
        <w:tc>
          <w:tcPr>
            <w:tcW w:w="320" w:type="dxa"/>
            <w:vAlign w:val="bottom"/>
          </w:tcPr>
          <w:p>
            <w:pPr>
              <w:spacing w:after="0"/>
              <w:rPr>
                <w:sz w:val="18"/>
                <w:szCs w:val="18"/>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7"/>
                <w:szCs w:val="17"/>
                <w:color w:val="auto"/>
              </w:rPr>
              <w:t>December 31,</w:t>
            </w:r>
          </w:p>
        </w:tc>
      </w:tr>
      <w:tr>
        <w:trPr>
          <w:trHeight w:val="218"/>
        </w:trPr>
        <w:tc>
          <w:tcPr>
            <w:tcW w:w="5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75"/>
              <w:spacing w:after="0"/>
              <w:rPr>
                <w:sz w:val="20"/>
                <w:szCs w:val="20"/>
                <w:color w:val="auto"/>
              </w:rPr>
            </w:pPr>
            <w:r>
              <w:rPr>
                <w:rFonts w:ascii="Arial" w:cs="Arial" w:eastAsia="Arial" w:hAnsi="Arial"/>
                <w:sz w:val="17"/>
                <w:szCs w:val="17"/>
                <w:color w:val="auto"/>
              </w:rPr>
              <w:t>2021</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r>
      <w:tr>
        <w:trPr>
          <w:trHeight w:val="212"/>
        </w:trPr>
        <w:tc>
          <w:tcPr>
            <w:tcW w:w="5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4"/>
          </w:tcPr>
          <w:p>
            <w:pPr>
              <w:jc w:val="right"/>
              <w:ind w:right="615"/>
              <w:spacing w:after="0"/>
              <w:rPr>
                <w:sz w:val="20"/>
                <w:szCs w:val="20"/>
                <w:color w:val="auto"/>
              </w:rPr>
            </w:pPr>
            <w:r>
              <w:rPr>
                <w:rFonts w:ascii="Arial" w:cs="Arial" w:eastAsia="Arial" w:hAnsi="Arial"/>
                <w:sz w:val="17"/>
                <w:szCs w:val="17"/>
                <w:i w:val="1"/>
                <w:iCs w:val="1"/>
                <w:color w:val="auto"/>
              </w:rPr>
              <w:t>(Dollars in Millions, Except Par Value Data)</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Current Assets: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080" w:type="dxa"/>
            <w:vAlign w:val="bottom"/>
            <w:gridSpan w:val="2"/>
            <w:shd w:val="clear" w:color="auto" w:fill="CFF0FC"/>
          </w:tcPr>
          <w:p>
            <w:pPr>
              <w:jc w:val="right"/>
              <w:ind w:right="165"/>
              <w:spacing w:after="0"/>
              <w:rPr>
                <w:sz w:val="20"/>
                <w:szCs w:val="20"/>
                <w:color w:val="auto"/>
              </w:rPr>
            </w:pPr>
            <w:r>
              <w:rPr>
                <w:rFonts w:ascii="Arial" w:cs="Arial" w:eastAsia="Arial" w:hAnsi="Arial"/>
                <w:sz w:val="17"/>
                <w:szCs w:val="17"/>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2,381.4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207.3</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Restricted cash</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97.1</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 net</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801.9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575.1</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Inventories, net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717.5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709.0</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Other current assets</w:t>
            </w:r>
          </w:p>
        </w:tc>
        <w:tc>
          <w:tcPr>
            <w:tcW w:w="7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79.8</w:t>
            </w:r>
          </w:p>
        </w:tc>
        <w:tc>
          <w:tcPr>
            <w:tcW w:w="100" w:type="dxa"/>
            <w:vAlign w:val="bottom"/>
            <w:shd w:val="clear" w:color="auto" w:fill="CFF0FC"/>
          </w:tcPr>
          <w:p>
            <w:pPr>
              <w:spacing w:after="0"/>
              <w:rPr>
                <w:sz w:val="18"/>
                <w:szCs w:val="18"/>
                <w:color w:val="auto"/>
              </w:rPr>
            </w:pPr>
          </w:p>
        </w:tc>
      </w:tr>
      <w:tr>
        <w:trPr>
          <w:trHeight w:val="209"/>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Assets</w:t>
            </w:r>
          </w:p>
        </w:tc>
        <w:tc>
          <w:tcPr>
            <w:tcW w:w="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4,000.7</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1,668.3</w:t>
            </w:r>
          </w:p>
        </w:tc>
        <w:tc>
          <w:tcPr>
            <w:tcW w:w="100" w:type="dxa"/>
            <w:vAlign w:val="bottom"/>
            <w:tcBorders>
              <w:bottom w:val="single" w:sz="8" w:color="CFF0FC"/>
            </w:tcBorders>
          </w:tcPr>
          <w:p>
            <w:pPr>
              <w:spacing w:after="0"/>
              <w:rPr>
                <w:sz w:val="18"/>
                <w:szCs w:val="18"/>
                <w:color w:val="auto"/>
              </w:rPr>
            </w:pPr>
          </w:p>
        </w:tc>
      </w:tr>
      <w:tr>
        <w:trPr>
          <w:trHeight w:val="210"/>
        </w:trPr>
        <w:tc>
          <w:tcPr>
            <w:tcW w:w="5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Property, plant and equipment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9,536.9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8,955.0</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Allowances for depreciation, depletion and amortization</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(3,926.4)</w:t>
            </w:r>
          </w:p>
        </w:tc>
        <w:tc>
          <w:tcPr>
            <w:tcW w:w="3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(3,712.7)</w:t>
            </w:r>
          </w:p>
        </w:tc>
      </w:tr>
      <w:tr>
        <w:trPr>
          <w:trHeight w:val="209"/>
        </w:trPr>
        <w:tc>
          <w:tcPr>
            <w:tcW w:w="5900" w:type="dxa"/>
            <w:vAlign w:val="bottom"/>
          </w:tcPr>
          <w:p>
            <w:pPr>
              <w:spacing w:after="0"/>
              <w:rPr>
                <w:sz w:val="20"/>
                <w:szCs w:val="20"/>
                <w:color w:val="auto"/>
              </w:rPr>
            </w:pPr>
            <w:r>
              <w:rPr>
                <w:rFonts w:ascii="Arial" w:cs="Arial" w:eastAsia="Arial" w:hAnsi="Arial"/>
                <w:sz w:val="17"/>
                <w:szCs w:val="17"/>
                <w:color w:val="auto"/>
              </w:rPr>
              <w:t>Net property, plant and equipment</w:t>
            </w:r>
          </w:p>
        </w:tc>
        <w:tc>
          <w:tcPr>
            <w:tcW w:w="7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5,610.5</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5,242.3</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2,610.6</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2,414.0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Other intangibles, net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787.2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508.0</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 net</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417.8</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453.0</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noncurrent assets</w:t>
            </w:r>
          </w:p>
        </w:tc>
        <w:tc>
          <w:tcPr>
            <w:tcW w:w="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359.4</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295.2</w:t>
            </w:r>
          </w:p>
        </w:tc>
        <w:tc>
          <w:tcPr>
            <w:tcW w:w="100" w:type="dxa"/>
            <w:vAlign w:val="bottom"/>
            <w:tcBorders>
              <w:bottom w:val="single" w:sz="8" w:color="CFF0FC"/>
            </w:tcBorders>
          </w:tcPr>
          <w:p>
            <w:pPr>
              <w:spacing w:after="0"/>
              <w:rPr>
                <w:sz w:val="18"/>
                <w:szCs w:val="18"/>
                <w:color w:val="auto"/>
              </w:rPr>
            </w:pPr>
          </w:p>
        </w:tc>
      </w:tr>
      <w:tr>
        <w:trPr>
          <w:trHeight w:val="209"/>
        </w:trPr>
        <w:tc>
          <w:tcPr>
            <w:tcW w:w="5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13,786.2</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EQUITY</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Current Liabilities: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w:t>
            </w:r>
          </w:p>
        </w:tc>
        <w:tc>
          <w:tcPr>
            <w:tcW w:w="1080" w:type="dxa"/>
            <w:vAlign w:val="bottom"/>
            <w:gridSpan w:val="2"/>
            <w:shd w:val="clear" w:color="auto" w:fill="CFF0FC"/>
          </w:tcPr>
          <w:p>
            <w:pPr>
              <w:jc w:val="right"/>
              <w:ind w:right="165"/>
              <w:spacing w:after="0"/>
              <w:rPr>
                <w:sz w:val="20"/>
                <w:szCs w:val="20"/>
                <w:color w:val="auto"/>
              </w:rPr>
            </w:pPr>
            <w:r>
              <w:rPr>
                <w:rFonts w:ascii="Arial" w:cs="Arial" w:eastAsia="Arial" w:hAnsi="Arial"/>
                <w:sz w:val="17"/>
                <w:szCs w:val="17"/>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Accrued salaries, benefits and payroll taxes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65.5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Accrued other taxes</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Current maturities of long-term debt and short-term facilities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Accrued interest</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46.1</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47.3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Other current liabilities</w:t>
            </w:r>
          </w:p>
        </w:tc>
        <w:tc>
          <w:tcPr>
            <w:tcW w:w="7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113.5</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FF0FC"/>
          </w:tcPr>
          <w:p>
            <w:pPr>
              <w:spacing w:after="0"/>
              <w:rPr>
                <w:sz w:val="18"/>
                <w:szCs w:val="18"/>
                <w:color w:val="auto"/>
              </w:rPr>
            </w:pPr>
          </w:p>
        </w:tc>
      </w:tr>
      <w:tr>
        <w:trPr>
          <w:trHeight w:val="210"/>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Current Liabilities</w:t>
            </w:r>
          </w:p>
        </w:tc>
        <w:tc>
          <w:tcPr>
            <w:tcW w:w="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601.2</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499.3</w:t>
            </w:r>
          </w:p>
        </w:tc>
        <w:tc>
          <w:tcPr>
            <w:tcW w:w="100" w:type="dxa"/>
            <w:vAlign w:val="bottom"/>
            <w:tcBorders>
              <w:bottom w:val="single" w:sz="8" w:color="CFF0FC"/>
            </w:tcBorders>
          </w:tcPr>
          <w:p>
            <w:pPr>
              <w:spacing w:after="0"/>
              <w:rPr>
                <w:sz w:val="18"/>
                <w:szCs w:val="18"/>
                <w:color w:val="auto"/>
              </w:rPr>
            </w:pPr>
          </w:p>
        </w:tc>
      </w:tr>
      <w:tr>
        <w:trPr>
          <w:trHeight w:val="209"/>
        </w:trPr>
        <w:tc>
          <w:tcPr>
            <w:tcW w:w="5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Long-term debt</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5,099.4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2,625.8</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 net</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809.3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781.5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375.9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410.4</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7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542.2</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370.5</w:t>
            </w:r>
          </w:p>
        </w:tc>
        <w:tc>
          <w:tcPr>
            <w:tcW w:w="100" w:type="dxa"/>
            <w:vAlign w:val="bottom"/>
            <w:shd w:val="clear" w:color="auto" w:fill="CFF0FC"/>
          </w:tcPr>
          <w:p>
            <w:pPr>
              <w:spacing w:after="0"/>
              <w:rPr>
                <w:sz w:val="18"/>
                <w:szCs w:val="18"/>
                <w:color w:val="auto"/>
              </w:rPr>
            </w:pPr>
          </w:p>
        </w:tc>
      </w:tr>
      <w:tr>
        <w:trPr>
          <w:trHeight w:val="209"/>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Liabilities</w:t>
            </w:r>
          </w:p>
        </w:tc>
        <w:tc>
          <w:tcPr>
            <w:tcW w:w="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7,428.0</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4,687.5</w:t>
            </w:r>
          </w:p>
        </w:tc>
        <w:tc>
          <w:tcPr>
            <w:tcW w:w="100" w:type="dxa"/>
            <w:vAlign w:val="bottom"/>
            <w:tcBorders>
              <w:bottom w:val="single" w:sz="8" w:color="CFF0FC"/>
            </w:tcBorders>
          </w:tcPr>
          <w:p>
            <w:pPr>
              <w:spacing w:after="0"/>
              <w:rPr>
                <w:sz w:val="18"/>
                <w:szCs w:val="18"/>
                <w:color w:val="auto"/>
              </w:rPr>
            </w:pPr>
          </w:p>
        </w:tc>
      </w:tr>
      <w:tr>
        <w:trPr>
          <w:trHeight w:val="210"/>
        </w:trPr>
        <w:tc>
          <w:tcPr>
            <w:tcW w:w="59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Equity:</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Common stock, par value $0.01 per share (62.4 and 62.3 shares</w:t>
            </w: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59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outstanding at September 30, 2021 and December 31, 2020, respectively)</w:t>
            </w: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FF0FC"/>
          </w:tcPr>
          <w:p>
            <w:pPr>
              <w:spacing w:after="0"/>
              <w:rPr>
                <w:sz w:val="19"/>
                <w:szCs w:val="19"/>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Preferred stock, par value $0.01 per share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3,463.3</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3,440.8</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right"/>
              <w:ind w:right="280"/>
              <w:spacing w:after="0"/>
              <w:rPr>
                <w:sz w:val="20"/>
                <w:szCs w:val="20"/>
                <w:color w:val="auto"/>
              </w:rPr>
            </w:pPr>
            <w:r>
              <w:rPr>
                <w:rFonts w:ascii="Arial" w:cs="Arial" w:eastAsia="Arial" w:hAnsi="Arial"/>
                <w:sz w:val="17"/>
                <w:szCs w:val="17"/>
                <w:color w:val="auto"/>
              </w:rPr>
              <w:t>(151.4)</w:t>
            </w:r>
          </w:p>
        </w:tc>
        <w:tc>
          <w:tcPr>
            <w:tcW w:w="32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7"/>
                <w:szCs w:val="17"/>
                <w:color w:val="auto"/>
              </w:rPr>
              <w:t>(158.4)</w:t>
            </w: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Retained earnings</w:t>
            </w:r>
          </w:p>
        </w:tc>
        <w:tc>
          <w:tcPr>
            <w:tcW w:w="7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3,043.4</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2,607.7</w:t>
            </w:r>
          </w:p>
        </w:tc>
        <w:tc>
          <w:tcPr>
            <w:tcW w:w="100" w:type="dxa"/>
            <w:vAlign w:val="bottom"/>
            <w:shd w:val="clear" w:color="auto" w:fill="CFF0FC"/>
          </w:tcPr>
          <w:p>
            <w:pPr>
              <w:spacing w:after="0"/>
              <w:rPr>
                <w:sz w:val="18"/>
                <w:szCs w:val="18"/>
                <w:color w:val="auto"/>
              </w:rPr>
            </w:pPr>
          </w:p>
        </w:tc>
      </w:tr>
      <w:tr>
        <w:trPr>
          <w:trHeight w:val="210"/>
        </w:trPr>
        <w:tc>
          <w:tcPr>
            <w:tcW w:w="5900" w:type="dxa"/>
            <w:vAlign w:val="bottom"/>
          </w:tcPr>
          <w:p>
            <w:pPr>
              <w:ind w:left="260"/>
              <w:spacing w:after="0"/>
              <w:rPr>
                <w:sz w:val="20"/>
                <w:szCs w:val="20"/>
                <w:color w:val="auto"/>
              </w:rPr>
            </w:pPr>
            <w:r>
              <w:rPr>
                <w:rFonts w:ascii="Arial" w:cs="Arial" w:eastAsia="Arial" w:hAnsi="Arial"/>
                <w:sz w:val="17"/>
                <w:szCs w:val="17"/>
                <w:color w:val="auto"/>
              </w:rPr>
              <w:t>Total Shareholders' Equity</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6,355.9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5,890.7</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7"/>
                <w:szCs w:val="17"/>
                <w:color w:val="auto"/>
              </w:rPr>
              <w:t>Noncontrolling interests</w:t>
            </w:r>
          </w:p>
        </w:tc>
        <w:tc>
          <w:tcPr>
            <w:tcW w:w="7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3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FF0FC"/>
          </w:tcPr>
          <w:p>
            <w:pPr>
              <w:spacing w:after="0"/>
              <w:rPr>
                <w:sz w:val="18"/>
                <w:szCs w:val="18"/>
                <w:color w:val="auto"/>
              </w:rPr>
            </w:pPr>
          </w:p>
        </w:tc>
      </w:tr>
      <w:tr>
        <w:trPr>
          <w:trHeight w:val="209"/>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Total Equity</w:t>
            </w:r>
          </w:p>
        </w:tc>
        <w:tc>
          <w:tcPr>
            <w:tcW w:w="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6,358.2</w:t>
            </w:r>
          </w:p>
        </w:tc>
        <w:tc>
          <w:tcPr>
            <w:tcW w:w="3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5,893.3</w:t>
            </w:r>
          </w:p>
        </w:tc>
        <w:tc>
          <w:tcPr>
            <w:tcW w:w="100" w:type="dxa"/>
            <w:vAlign w:val="bottom"/>
            <w:tcBorders>
              <w:bottom w:val="single" w:sz="8" w:color="CFF0FC"/>
            </w:tcBorders>
          </w:tcPr>
          <w:p>
            <w:pPr>
              <w:spacing w:after="0"/>
              <w:rPr>
                <w:sz w:val="18"/>
                <w:szCs w:val="18"/>
                <w:color w:val="auto"/>
              </w:rPr>
            </w:pPr>
          </w:p>
        </w:tc>
      </w:tr>
      <w:tr>
        <w:trPr>
          <w:trHeight w:val="210"/>
        </w:trPr>
        <w:tc>
          <w:tcPr>
            <w:tcW w:w="5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Total Liabilities and Equity</w:t>
            </w:r>
          </w:p>
        </w:tc>
        <w:tc>
          <w:tcPr>
            <w:tcW w:w="7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13,786.2</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10,580.8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jc w:val="right"/>
              <w:ind w:right="74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right"/>
              <w:ind w:right="7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2020</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gridSpan w:val="7"/>
          </w:tcPr>
          <w:p>
            <w:pPr>
              <w:jc w:val="right"/>
              <w:ind w:right="260"/>
              <w:spacing w:after="0"/>
              <w:rPr>
                <w:sz w:val="20"/>
                <w:szCs w:val="20"/>
                <w:color w:val="auto"/>
              </w:rPr>
            </w:pPr>
            <w:r>
              <w:rPr>
                <w:rFonts w:ascii="Arial" w:cs="Arial" w:eastAsia="Arial" w:hAnsi="Arial"/>
                <w:sz w:val="18"/>
                <w:szCs w:val="18"/>
                <w:i w:val="1"/>
                <w:iCs w:val="1"/>
                <w:color w:val="auto"/>
                <w:w w:val="92"/>
              </w:rPr>
              <w:t>(In Millions, Except Per Share Data)</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8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1,240.7</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1,557.3</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3,917.6</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 of Revenues</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income, net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23"/>
        </w:trPr>
        <w:tc>
          <w:tcPr>
            <w:tcW w:w="4880" w:type="dxa"/>
            <w:vAlign w:val="bottom"/>
          </w:tcPr>
          <w:p>
            <w:pPr>
              <w:ind w:left="260"/>
              <w:spacing w:after="0"/>
              <w:rPr>
                <w:sz w:val="20"/>
                <w:szCs w:val="20"/>
                <w:color w:val="auto"/>
              </w:rPr>
            </w:pPr>
            <w:r>
              <w:rPr>
                <w:rFonts w:ascii="Arial" w:cs="Arial" w:eastAsia="Arial" w:hAnsi="Arial"/>
                <w:sz w:val="18"/>
                <w:szCs w:val="18"/>
                <w:color w:val="auto"/>
              </w:rPr>
              <w:t>Earnings from Operations</w:t>
            </w: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880" w:type="dxa"/>
            <w:vAlign w:val="bottom"/>
          </w:tcPr>
          <w:p>
            <w:pPr>
              <w:ind w:left="260"/>
              <w:spacing w:after="0"/>
              <w:rPr>
                <w:sz w:val="20"/>
                <w:szCs w:val="20"/>
                <w:color w:val="auto"/>
              </w:rPr>
            </w:pPr>
            <w:r>
              <w:rPr>
                <w:rFonts w:ascii="Arial" w:cs="Arial" w:eastAsia="Arial" w:hAnsi="Arial"/>
                <w:sz w:val="18"/>
                <w:szCs w:val="18"/>
                <w:color w:val="auto"/>
              </w:rPr>
              <w:t>Earnings before income tax expense</w:t>
            </w:r>
          </w:p>
        </w:tc>
        <w:tc>
          <w:tcPr>
            <w:tcW w:w="5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5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Consolidated Comprehensive Earnings: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attributable to Martin Marietta Materials, Inc.</w:t>
            </w:r>
          </w:p>
        </w:tc>
        <w:tc>
          <w:tcPr>
            <w:tcW w:w="8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260"/>
              <w:spacing w:after="0"/>
              <w:rPr>
                <w:sz w:val="20"/>
                <w:szCs w:val="20"/>
                <w:color w:val="auto"/>
              </w:rPr>
            </w:pPr>
            <w:r>
              <w:rPr>
                <w:rFonts w:ascii="Arial" w:cs="Arial" w:eastAsia="Arial" w:hAnsi="Arial"/>
                <w:sz w:val="18"/>
                <w:szCs w:val="18"/>
                <w:color w:val="auto"/>
              </w:rPr>
              <w:t>Earnings attributable to noncontrolling interests</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 Common Share:</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500"/>
              <w:spacing w:after="0"/>
              <w:rPr>
                <w:sz w:val="20"/>
                <w:szCs w:val="20"/>
                <w:color w:val="auto"/>
              </w:rPr>
            </w:pPr>
            <w:r>
              <w:rPr>
                <w:rFonts w:ascii="Arial" w:cs="Arial" w:eastAsia="Arial" w:hAnsi="Arial"/>
                <w:sz w:val="18"/>
                <w:szCs w:val="18"/>
                <w:color w:val="auto"/>
              </w:rPr>
              <w:t>Basic attributable to common shareholders</w:t>
            </w:r>
          </w:p>
        </w:tc>
        <w:tc>
          <w:tcPr>
            <w:tcW w:w="5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23"/>
                <w:szCs w:val="23"/>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Diluted attributable to common shareholders</w:t>
            </w: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5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Nine Months Ended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September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5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tcPr>
          <w:p>
            <w:pPr>
              <w:spacing w:after="0"/>
              <w:rPr>
                <w:sz w:val="19"/>
                <w:szCs w:val="19"/>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8"/>
              </w:rPr>
              <w:t>(Dollars 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earnings</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right"/>
              <w:ind w:right="4970"/>
              <w:spacing w:after="0"/>
              <w:rPr>
                <w:sz w:val="20"/>
                <w:szCs w:val="20"/>
                <w:color w:val="auto"/>
              </w:rPr>
            </w:pPr>
            <w:r>
              <w:rPr>
                <w:rFonts w:ascii="Arial" w:cs="Arial" w:eastAsia="Arial" w:hAnsi="Arial"/>
                <w:sz w:val="18"/>
                <w:szCs w:val="18"/>
                <w:color w:val="auto"/>
                <w:w w:val="97"/>
              </w:rPr>
              <w:t>provided by operating activities: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divestitures and sales of assets</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(26.6)</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 net of effects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right"/>
              <w:ind w:right="4970"/>
              <w:spacing w:after="0"/>
              <w:rPr>
                <w:sz w:val="20"/>
                <w:szCs w:val="20"/>
                <w:color w:val="auto"/>
              </w:rPr>
            </w:pPr>
            <w:r>
              <w:rPr>
                <w:rFonts w:ascii="Arial" w:cs="Arial" w:eastAsia="Arial" w:hAnsi="Arial"/>
                <w:sz w:val="18"/>
                <w:szCs w:val="18"/>
                <w:color w:val="auto"/>
              </w:rPr>
              <w:t>acquisitions and divestitures:</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(218.0)</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0"/>
        </w:trPr>
        <w:tc>
          <w:tcPr>
            <w:tcW w:w="754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65.1</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7540" w:type="dxa"/>
            <w:vAlign w:val="bottom"/>
          </w:tcPr>
          <w:p>
            <w:pPr>
              <w:ind w:left="500"/>
              <w:spacing w:after="0"/>
              <w:rPr>
                <w:sz w:val="20"/>
                <w:szCs w:val="20"/>
                <w:color w:val="auto"/>
              </w:rPr>
            </w:pPr>
            <w:r>
              <w:rPr>
                <w:rFonts w:ascii="Arial" w:cs="Arial" w:eastAsia="Arial" w:hAnsi="Arial"/>
                <w:sz w:val="18"/>
                <w:szCs w:val="18"/>
                <w:color w:val="auto"/>
              </w:rPr>
              <w:t>Other assets and liabilities, net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(321.3)</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Acquisitions, net of cash acquired</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(792.9)</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Proceeds from divestitures and sales of assets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in life insurance contracts, net</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Other investing activities,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1"/>
              </w:rPr>
              <w:t>(1,058.9)</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Borrowings of debt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2,896.6</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Repayments of debt</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(400.0)</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Payments on financing leases</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(6.1)</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Distributions to owners of noncontrolling interest</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(109.7)</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Shares withheld for employees' income tax obligations</w:t>
            </w:r>
          </w:p>
        </w:tc>
        <w:tc>
          <w:tcPr>
            <w:tcW w:w="10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6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2,357.3</w:t>
            </w: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2,078.7</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320" w:type="dxa"/>
            <w:vAlign w:val="bottom"/>
            <w:tcBorders>
              <w:right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2,383.1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Shares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Common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Paid-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Retained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160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200" w:type="dxa"/>
            <w:vAlign w:val="bottom"/>
          </w:tcPr>
          <w:p>
            <w:pPr>
              <w:spacing w:after="0"/>
              <w:rPr>
                <w:sz w:val="20"/>
                <w:szCs w:val="20"/>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 Capital</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Earnings</w:t>
            </w: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Interests</w:t>
            </w:r>
          </w:p>
        </w:tc>
        <w:tc>
          <w:tcPr>
            <w:tcW w:w="1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Equity</w:t>
            </w:r>
          </w:p>
        </w:tc>
      </w:tr>
      <w:tr>
        <w:trPr>
          <w:trHeight w:val="223"/>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$ 2,827.2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Consolidated net earnings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Dividends declared ($0.61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20"/>
                <w:szCs w:val="20"/>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income tax obligations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6"/>
              </w:rPr>
              <w:t>Stock-based compensation</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0"/>
                <w:szCs w:val="20"/>
                <w:color w:val="auto"/>
              </w:rPr>
            </w:pPr>
          </w:p>
        </w:tc>
      </w:tr>
      <w:tr>
        <w:trPr>
          <w:trHeight w:val="209"/>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22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3,463.3</w:t>
            </w:r>
          </w:p>
        </w:tc>
        <w:tc>
          <w:tcPr>
            <w:tcW w:w="140" w:type="dxa"/>
            <w:vAlign w:val="bottom"/>
          </w:tcPr>
          <w:p>
            <w:pPr>
              <w:spacing w:after="0"/>
              <w:rPr>
                <w:sz w:val="23"/>
                <w:szCs w:val="23"/>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(151.4)</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$ 3,043.4</w:t>
            </w:r>
          </w:p>
        </w:tc>
        <w:tc>
          <w:tcPr>
            <w:tcW w:w="2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6,355.9</w:t>
            </w:r>
          </w:p>
        </w:tc>
        <w:tc>
          <w:tcPr>
            <w:tcW w:w="120" w:type="dxa"/>
            <w:vAlign w:val="bottom"/>
          </w:tcPr>
          <w:p>
            <w:pPr>
              <w:spacing w:after="0"/>
              <w:rPr>
                <w:sz w:val="23"/>
                <w:szCs w:val="23"/>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6,358.2</w:t>
            </w:r>
          </w:p>
        </w:tc>
        <w:tc>
          <w:tcPr>
            <w:tcW w:w="100" w:type="dxa"/>
            <w:vAlign w:val="bottom"/>
          </w:tcPr>
          <w:p>
            <w:pPr>
              <w:spacing w:after="0"/>
              <w:rPr>
                <w:sz w:val="23"/>
                <w:szCs w:val="23"/>
                <w:color w:val="auto"/>
              </w:rPr>
            </w:pPr>
          </w:p>
        </w:tc>
      </w:tr>
      <w:tr>
        <w:trPr>
          <w:trHeight w:val="210"/>
        </w:trPr>
        <w:tc>
          <w:tcPr>
            <w:tcW w:w="2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3,440.8</w:t>
            </w:r>
          </w:p>
        </w:tc>
        <w:tc>
          <w:tcPr>
            <w:tcW w:w="140" w:type="dxa"/>
            <w:vAlign w:val="bottom"/>
          </w:tcPr>
          <w:p>
            <w:pPr>
              <w:spacing w:after="0"/>
              <w:rPr>
                <w:sz w:val="20"/>
                <w:szCs w:val="20"/>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(158.4)</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$ 2,607.7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5,890.7</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5,893.3</w:t>
            </w:r>
          </w:p>
        </w:tc>
        <w:tc>
          <w:tcPr>
            <w:tcW w:w="100" w:type="dxa"/>
            <w:vAlign w:val="bottom"/>
          </w:tcPr>
          <w:p>
            <w:pPr>
              <w:spacing w:after="0"/>
              <w:rPr>
                <w:sz w:val="20"/>
                <w:szCs w:val="20"/>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Consolidated net earnings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FF0FC"/>
          </w:tcPr>
          <w:p>
            <w:pPr>
              <w:spacing w:after="0"/>
              <w:rPr>
                <w:sz w:val="19"/>
                <w:szCs w:val="19"/>
                <w:color w:val="auto"/>
              </w:rPr>
            </w:pP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 ($1.75</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per share)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(110.0)</w:t>
            </w: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withheld for</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employees'</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income tax obligations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w:t>
            </w:r>
          </w:p>
        </w:tc>
      </w:tr>
      <w:tr>
        <w:trPr>
          <w:trHeight w:val="215"/>
        </w:trPr>
        <w:tc>
          <w:tcPr>
            <w:tcW w:w="2380" w:type="dxa"/>
            <w:vAlign w:val="bottom"/>
            <w:gridSpan w:val="2"/>
          </w:tcPr>
          <w:p>
            <w:pPr>
              <w:ind w:left="260"/>
              <w:spacing w:after="0"/>
              <w:rPr>
                <w:sz w:val="20"/>
                <w:szCs w:val="20"/>
                <w:color w:val="auto"/>
              </w:rPr>
            </w:pPr>
            <w:r>
              <w:rPr>
                <w:rFonts w:ascii="Arial" w:cs="Arial" w:eastAsia="Arial" w:hAnsi="Arial"/>
                <w:sz w:val="18"/>
                <w:szCs w:val="18"/>
                <w:color w:val="auto"/>
                <w:w w:val="96"/>
              </w:rPr>
              <w:t>Stock-based compensation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r>
      <w:tr>
        <w:trPr>
          <w:trHeight w:val="215"/>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Distributions to owners of</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noncontrolling interest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r>
      <w:tr>
        <w:trPr>
          <w:trHeight w:val="209"/>
        </w:trPr>
        <w:tc>
          <w:tcPr>
            <w:tcW w:w="2380" w:type="dxa"/>
            <w:vAlign w:val="bottom"/>
            <w:gridSpan w:val="2"/>
          </w:tcPr>
          <w:p>
            <w:pPr>
              <w:spacing w:after="0"/>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3,463.3</w:t>
            </w:r>
          </w:p>
        </w:tc>
        <w:tc>
          <w:tcPr>
            <w:tcW w:w="140" w:type="dxa"/>
            <w:vAlign w:val="bottom"/>
          </w:tcPr>
          <w:p>
            <w:pPr>
              <w:spacing w:after="0"/>
              <w:rPr>
                <w:sz w:val="20"/>
                <w:szCs w:val="20"/>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(151.4)</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$ 3,043.4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6,355.9</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6,358.2</w:t>
            </w:r>
          </w:p>
        </w:tc>
        <w:tc>
          <w:tcPr>
            <w:tcW w:w="100" w:type="dxa"/>
            <w:vAlign w:val="bottom"/>
          </w:tcPr>
          <w:p>
            <w:pPr>
              <w:spacing w:after="0"/>
              <w:rPr>
                <w:sz w:val="20"/>
                <w:szCs w:val="20"/>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jc w:val="both"/>
        <w:ind w:left="2480" w:right="2460" w:firstLine="11"/>
        <w:spacing w:after="0" w:line="308" w:lineRule="auto"/>
        <w:rPr>
          <w:sz w:val="20"/>
          <w:szCs w:val="20"/>
          <w:color w:val="auto"/>
        </w:rPr>
      </w:pPr>
      <w:r>
        <w:rPr>
          <w:rFonts w:ascii="Arial" w:cs="Arial" w:eastAsia="Arial" w:hAnsi="Arial"/>
          <w:sz w:val="17"/>
          <w:szCs w:val="17"/>
          <w:color w:val="auto"/>
        </w:rPr>
        <w:t>MARTIN MARIETTA MATERIALS, INC. AND CONSOLIDATED SUBSIDIARIES (UNAUDITED) CONSOLIDATED STATEMENTS OF TOTAL EQUITY (Continued)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(In Millions, Except Per</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5"/>
              </w:rPr>
              <w:t>Common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Paid-</w:t>
            </w:r>
          </w:p>
        </w:tc>
        <w:tc>
          <w:tcPr>
            <w:tcW w:w="8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Accumulated Other</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Retained</w:t>
            </w: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Shareholders'</w:t>
            </w:r>
          </w:p>
        </w:tc>
        <w:tc>
          <w:tcPr>
            <w:tcW w:w="1580" w:type="dxa"/>
            <w:vAlign w:val="bottom"/>
            <w:gridSpan w:val="4"/>
          </w:tcPr>
          <w:p>
            <w:pPr>
              <w:ind w:left="80"/>
              <w:spacing w:after="0"/>
              <w:rPr>
                <w:sz w:val="20"/>
                <w:szCs w:val="20"/>
                <w:color w:val="auto"/>
              </w:rPr>
            </w:pPr>
            <w:r>
              <w:rPr>
                <w:rFonts w:ascii="Arial" w:cs="Arial" w:eastAsia="Arial" w:hAnsi="Arial"/>
                <w:sz w:val="18"/>
                <w:szCs w:val="18"/>
                <w:color w:val="auto"/>
              </w:rPr>
              <w:t>Noncontrolling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i w:val="1"/>
                <w:iCs w:val="1"/>
                <w:color w:val="auto"/>
              </w:rPr>
              <w:t>Share Data)</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Stock</w:t>
            </w:r>
          </w:p>
        </w:tc>
        <w:tc>
          <w:tcPr>
            <w:tcW w:w="180" w:type="dxa"/>
            <w:vAlign w:val="bottom"/>
          </w:tcPr>
          <w:p>
            <w:pPr>
              <w:spacing w:after="0"/>
              <w:rPr>
                <w:sz w:val="20"/>
                <w:szCs w:val="20"/>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in Capital</w:t>
            </w:r>
          </w:p>
        </w:tc>
        <w:tc>
          <w:tcPr>
            <w:tcW w:w="172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Comprehensive Loss</w:t>
            </w:r>
          </w:p>
        </w:tc>
        <w:tc>
          <w:tcPr>
            <w:tcW w:w="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Earnings</w:t>
            </w:r>
          </w:p>
        </w:tc>
        <w:tc>
          <w:tcPr>
            <w:tcW w:w="1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Equity</w:t>
            </w:r>
          </w:p>
        </w:tc>
      </w:tr>
      <w:tr>
        <w:trPr>
          <w:trHeight w:val="223"/>
        </w:trPr>
        <w:tc>
          <w:tcPr>
            <w:tcW w:w="19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Balance at June 30, 2020</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9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$ 2,201.7</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5,493.6</w:t>
            </w:r>
          </w:p>
        </w:tc>
        <w:tc>
          <w:tcPr>
            <w:tcW w:w="80" w:type="dxa"/>
            <w:vAlign w:val="bottom"/>
          </w:tcPr>
          <w:p>
            <w:pPr>
              <w:spacing w:after="0"/>
              <w:rPr>
                <w:sz w:val="19"/>
                <w:szCs w:val="19"/>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Consolidated net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($0.57 per share)</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w:t>
            </w: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0"/>
                <w:szCs w:val="20"/>
                <w:color w:val="auto"/>
              </w:rPr>
            </w:pPr>
          </w:p>
        </w:tc>
      </w:tr>
      <w:tr>
        <w:trPr>
          <w:trHeight w:val="195"/>
        </w:trPr>
        <w:tc>
          <w:tcPr>
            <w:tcW w:w="2160" w:type="dxa"/>
            <w:vAlign w:val="bottom"/>
            <w:gridSpan w:val="2"/>
          </w:tcPr>
          <w:p>
            <w:pPr>
              <w:spacing w:after="0" w:line="195" w:lineRule="exact"/>
              <w:rPr>
                <w:sz w:val="20"/>
                <w:szCs w:val="20"/>
                <w:color w:val="auto"/>
              </w:rPr>
            </w:pPr>
            <w:r>
              <w:rPr>
                <w:rFonts w:ascii="Arial" w:cs="Arial" w:eastAsia="Arial" w:hAnsi="Arial"/>
                <w:sz w:val="18"/>
                <w:szCs w:val="18"/>
                <w:color w:val="auto"/>
              </w:rPr>
              <w:t>Balance at September 30,</w:t>
            </w: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3,433.9</w:t>
            </w:r>
          </w:p>
        </w:tc>
        <w:tc>
          <w:tcPr>
            <w:tcW w:w="120" w:type="dxa"/>
            <w:vAlign w:val="bottom"/>
          </w:tcPr>
          <w:p>
            <w:pPr>
              <w:spacing w:after="0"/>
              <w:rPr>
                <w:sz w:val="23"/>
                <w:szCs w:val="23"/>
                <w:color w:val="auto"/>
              </w:rPr>
            </w:pPr>
          </w:p>
        </w:tc>
        <w:tc>
          <w:tcPr>
            <w:tcW w:w="64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$ 2,460.5</w:t>
            </w:r>
          </w:p>
        </w:tc>
        <w:tc>
          <w:tcPr>
            <w:tcW w:w="2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5,756.4</w:t>
            </w:r>
          </w:p>
        </w:tc>
        <w:tc>
          <w:tcPr>
            <w:tcW w:w="120" w:type="dxa"/>
            <w:vAlign w:val="bottom"/>
          </w:tcPr>
          <w:p>
            <w:pPr>
              <w:spacing w:after="0"/>
              <w:rPr>
                <w:sz w:val="23"/>
                <w:szCs w:val="23"/>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5,758.9</w:t>
            </w:r>
          </w:p>
        </w:tc>
        <w:tc>
          <w:tcPr>
            <w:tcW w:w="80" w:type="dxa"/>
            <w:vAlign w:val="bottom"/>
          </w:tcPr>
          <w:p>
            <w:pPr>
              <w:spacing w:after="0"/>
              <w:rPr>
                <w:sz w:val="23"/>
                <w:szCs w:val="23"/>
                <w:color w:val="auto"/>
              </w:rPr>
            </w:pPr>
          </w:p>
        </w:tc>
      </w:tr>
      <w:tr>
        <w:trPr>
          <w:trHeight w:val="210"/>
        </w:trPr>
        <w:tc>
          <w:tcPr>
            <w:tcW w:w="1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216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3,418.8</w:t>
            </w:r>
          </w:p>
        </w:tc>
        <w:tc>
          <w:tcPr>
            <w:tcW w:w="120" w:type="dxa"/>
            <w:vAlign w:val="bottom"/>
          </w:tcPr>
          <w:p>
            <w:pPr>
              <w:spacing w:after="0"/>
              <w:rPr>
                <w:sz w:val="20"/>
                <w:szCs w:val="20"/>
                <w:color w:val="auto"/>
              </w:rPr>
            </w:pPr>
          </w:p>
        </w:tc>
        <w:tc>
          <w:tcPr>
            <w:tcW w:w="64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$ 2,077.2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5,350.8</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5,353.3</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Consolidated net</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80" w:type="dxa"/>
            <w:vAlign w:val="bottom"/>
            <w:shd w:val="clear" w:color="auto" w:fill="CFF0FC"/>
          </w:tcPr>
          <w:p>
            <w:pPr>
              <w:spacing w:after="0"/>
              <w:rPr>
                <w:sz w:val="20"/>
                <w:szCs w:val="20"/>
                <w:color w:val="auto"/>
              </w:rPr>
            </w:pP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Other comprehensive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earnings,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net of tax</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declared</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($1.67 per share)</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(104.7)</w:t>
            </w: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Issuances of common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stock for stock</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award plans</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withheld for</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employees'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1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income tax</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obligations</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r>
        <w:trPr>
          <w:trHeight w:val="215"/>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Repurchases of</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gridSpan w:val="2"/>
          </w:tcPr>
          <w:p>
            <w:pPr>
              <w:ind w:left="260"/>
              <w:spacing w:after="0"/>
              <w:rPr>
                <w:sz w:val="20"/>
                <w:szCs w:val="20"/>
                <w:color w:val="auto"/>
              </w:rPr>
            </w:pPr>
            <w:r>
              <w:rPr>
                <w:rFonts w:ascii="Arial" w:cs="Arial" w:eastAsia="Arial" w:hAnsi="Arial"/>
                <w:sz w:val="18"/>
                <w:szCs w:val="18"/>
                <w:color w:val="auto"/>
              </w:rPr>
              <w:t>common stock</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5"/>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FF0FC"/>
          </w:tcPr>
          <w:p>
            <w:pPr>
              <w:spacing w:after="0"/>
              <w:rPr>
                <w:sz w:val="20"/>
                <w:szCs w:val="20"/>
                <w:color w:val="auto"/>
              </w:rPr>
            </w:pPr>
          </w:p>
        </w:tc>
      </w:tr>
      <w:tr>
        <w:trPr>
          <w:trHeight w:val="195"/>
        </w:trPr>
        <w:tc>
          <w:tcPr>
            <w:tcW w:w="2160" w:type="dxa"/>
            <w:vAlign w:val="bottom"/>
            <w:gridSpan w:val="2"/>
          </w:tcPr>
          <w:p>
            <w:pPr>
              <w:spacing w:after="0" w:line="195" w:lineRule="exact"/>
              <w:rPr>
                <w:sz w:val="20"/>
                <w:szCs w:val="20"/>
                <w:color w:val="auto"/>
              </w:rPr>
            </w:pPr>
            <w:r>
              <w:rPr>
                <w:rFonts w:ascii="Arial" w:cs="Arial" w:eastAsia="Arial" w:hAnsi="Arial"/>
                <w:sz w:val="18"/>
                <w:szCs w:val="18"/>
                <w:color w:val="auto"/>
              </w:rPr>
              <w:t>Balance at September 30,</w:t>
            </w: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3,433.9</w:t>
            </w:r>
          </w:p>
        </w:tc>
        <w:tc>
          <w:tcPr>
            <w:tcW w:w="120" w:type="dxa"/>
            <w:vAlign w:val="bottom"/>
          </w:tcPr>
          <w:p>
            <w:pPr>
              <w:spacing w:after="0"/>
              <w:rPr>
                <w:sz w:val="20"/>
                <w:szCs w:val="20"/>
                <w:color w:val="auto"/>
              </w:rPr>
            </w:pPr>
          </w:p>
        </w:tc>
        <w:tc>
          <w:tcPr>
            <w:tcW w:w="64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$ 2,460.5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5,756.4</w:t>
            </w:r>
          </w:p>
        </w:tc>
        <w:tc>
          <w:tcPr>
            <w:tcW w:w="12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5,758.9</w:t>
            </w:r>
          </w:p>
        </w:tc>
        <w:tc>
          <w:tcPr>
            <w:tcW w:w="80" w:type="dxa"/>
            <w:vAlign w:val="bottom"/>
          </w:tcPr>
          <w:p>
            <w:pPr>
              <w:spacing w:after="0"/>
              <w:rPr>
                <w:sz w:val="20"/>
                <w:szCs w:val="20"/>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Page 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280" w:right="8340" w:hanging="272"/>
        <w:spacing w:after="0" w:line="355" w:lineRule="auto"/>
        <w:tabs>
          <w:tab w:leader="none" w:pos="269"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2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Martin Marietta Materials, Inc. (the Company or Martin Marietta) is a natural resource-based building materials company. As of September 30, 2021, the Company supplies aggregates (crushed stone, sand and gravel) through its network of approximately 320 quarries, mines and distribution yards in 26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72" w:lineRule="exact"/>
        <w:rPr>
          <w:rFonts w:ascii="Arial" w:cs="Arial" w:eastAsia="Arial" w:hAnsi="Arial"/>
          <w:sz w:val="20"/>
          <w:szCs w:val="20"/>
          <w:b w:val="1"/>
          <w:bCs w:val="1"/>
          <w:color w:val="auto"/>
        </w:rPr>
      </w:pPr>
    </w:p>
    <w:p>
      <w:pPr>
        <w:ind w:left="280"/>
        <w:spacing w:after="0"/>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two reportable segments: the East Group and the West Group.</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Reportable Segments</w:t>
            </w:r>
          </w:p>
        </w:tc>
        <w:tc>
          <w:tcPr>
            <w:tcW w:w="39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20"/>
                <w:szCs w:val="20"/>
                <w:color w:val="auto"/>
                <w:w w:val="88"/>
              </w:rPr>
              <w:t>East Group</w:t>
            </w: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31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80" w:type="dxa"/>
            <w:vAlign w:val="bottom"/>
          </w:tcPr>
          <w:p>
            <w:pPr>
              <w:spacing w:after="0"/>
              <w:rPr>
                <w:sz w:val="17"/>
                <w:szCs w:val="17"/>
                <w:color w:val="auto"/>
              </w:rPr>
            </w:pPr>
          </w:p>
        </w:tc>
        <w:tc>
          <w:tcPr>
            <w:tcW w:w="372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Alabama, Florida, Georgia, Indiana,</w:t>
            </w:r>
          </w:p>
        </w:tc>
        <w:tc>
          <w:tcPr>
            <w:tcW w:w="180" w:type="dxa"/>
            <w:vAlign w:val="bottom"/>
          </w:tcPr>
          <w:p>
            <w:pPr>
              <w:spacing w:after="0"/>
              <w:rPr>
                <w:sz w:val="17"/>
                <w:szCs w:val="17"/>
                <w:color w:val="auto"/>
              </w:rPr>
            </w:pPr>
          </w:p>
        </w:tc>
        <w:tc>
          <w:tcPr>
            <w:tcW w:w="40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90"/>
              </w:rPr>
              <w:t>Iowa, Kansas, Kentucky, Maryland,</w:t>
            </w:r>
          </w:p>
        </w:tc>
        <w:tc>
          <w:tcPr>
            <w:tcW w:w="4000" w:type="dxa"/>
            <w:vAlign w:val="bottom"/>
          </w:tcPr>
          <w:p>
            <w:pPr>
              <w:jc w:val="center"/>
              <w:spacing w:after="0"/>
              <w:rPr>
                <w:sz w:val="20"/>
                <w:szCs w:val="20"/>
                <w:color w:val="auto"/>
              </w:rPr>
            </w:pPr>
            <w:r>
              <w:rPr>
                <w:rFonts w:ascii="Arial" w:cs="Arial" w:eastAsia="Arial" w:hAnsi="Arial"/>
                <w:sz w:val="20"/>
                <w:szCs w:val="20"/>
                <w:color w:val="auto"/>
                <w:w w:val="88"/>
              </w:rPr>
              <w:t>Nebraska, Oklahoma, Texas, Utah,</w:t>
            </w: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Minnesota, Missouri, eastern</w:t>
            </w: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90"/>
              </w:rPr>
              <w:t>Nebraska, North Carolina, Ohio,</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Pennsylvania, South Carolina,</w:t>
            </w:r>
          </w:p>
        </w:tc>
        <w:tc>
          <w:tcPr>
            <w:tcW w:w="4000" w:type="dxa"/>
            <w:vAlign w:val="bottom"/>
          </w:tcPr>
          <w:p>
            <w:pPr>
              <w:spacing w:after="0"/>
              <w:rPr>
                <w:sz w:val="19"/>
                <w:szCs w:val="19"/>
                <w:color w:val="auto"/>
              </w:rPr>
            </w:pPr>
          </w:p>
        </w:tc>
      </w:tr>
      <w:tr>
        <w:trPr>
          <w:trHeight w:val="230"/>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Tennessee, Virginia, West Virginia,</w:t>
            </w:r>
          </w:p>
        </w:tc>
        <w:tc>
          <w:tcPr>
            <w:tcW w:w="4000" w:type="dxa"/>
            <w:vAlign w:val="bottom"/>
          </w:tcPr>
          <w:p>
            <w:pPr>
              <w:spacing w:after="0"/>
              <w:rPr>
                <w:sz w:val="19"/>
                <w:szCs w:val="19"/>
                <w:color w:val="auto"/>
              </w:rPr>
            </w:pP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00" w:type="dxa"/>
            <w:vAlign w:val="bottom"/>
            <w:gridSpan w:val="2"/>
          </w:tcPr>
          <w:p>
            <w:pPr>
              <w:jc w:val="center"/>
              <w:ind w:right="180"/>
              <w:spacing w:after="0"/>
              <w:rPr>
                <w:sz w:val="20"/>
                <w:szCs w:val="20"/>
                <w:color w:val="auto"/>
              </w:rPr>
            </w:pPr>
            <w:r>
              <w:rPr>
                <w:rFonts w:ascii="Arial" w:cs="Arial" w:eastAsia="Arial" w:hAnsi="Arial"/>
                <w:sz w:val="20"/>
                <w:szCs w:val="20"/>
                <w:color w:val="auto"/>
                <w:w w:val="88"/>
              </w:rPr>
              <w:t>Nova Scotia and The Bahamas</w:t>
            </w:r>
          </w:p>
        </w:tc>
        <w:tc>
          <w:tcPr>
            <w:tcW w:w="4000" w:type="dxa"/>
            <w:vAlign w:val="bottom"/>
          </w:tcPr>
          <w:p>
            <w:pPr>
              <w:spacing w:after="0"/>
              <w:rPr>
                <w:sz w:val="21"/>
                <w:szCs w:val="21"/>
                <w:color w:val="auto"/>
              </w:rPr>
            </w:pPr>
          </w:p>
        </w:tc>
      </w:tr>
      <w:tr>
        <w:trPr>
          <w:trHeight w:val="438"/>
        </w:trPr>
        <w:tc>
          <w:tcPr>
            <w:tcW w:w="3340" w:type="dxa"/>
            <w:vAlign w:val="bottom"/>
            <w:gridSpan w:val="2"/>
          </w:tcPr>
          <w:p>
            <w:pPr>
              <w:spacing w:after="0"/>
              <w:rPr>
                <w:sz w:val="20"/>
                <w:szCs w:val="20"/>
                <w:color w:val="auto"/>
              </w:rPr>
            </w:pPr>
            <w:r>
              <w:rPr>
                <w:rFonts w:ascii="Arial" w:cs="Arial" w:eastAsia="Arial" w:hAnsi="Arial"/>
                <w:sz w:val="20"/>
                <w:szCs w:val="20"/>
                <w:color w:val="auto"/>
              </w:rPr>
              <w:t>Product Lines</w:t>
            </w:r>
          </w:p>
        </w:tc>
        <w:tc>
          <w:tcPr>
            <w:tcW w:w="3900" w:type="dxa"/>
            <w:vAlign w:val="bottom"/>
            <w:gridSpan w:val="2"/>
          </w:tcPr>
          <w:p>
            <w:pPr>
              <w:jc w:val="center"/>
              <w:ind w:right="160"/>
              <w:spacing w:after="0"/>
              <w:rPr>
                <w:sz w:val="20"/>
                <w:szCs w:val="20"/>
                <w:color w:val="auto"/>
              </w:rPr>
            </w:pPr>
            <w:r>
              <w:rPr>
                <w:rFonts w:ascii="Arial" w:cs="Arial" w:eastAsia="Arial" w:hAnsi="Arial"/>
                <w:sz w:val="20"/>
                <w:szCs w:val="20"/>
                <w:color w:val="auto"/>
                <w:w w:val="88"/>
              </w:rPr>
              <w:t>Aggregates and Asphalt</w:t>
            </w:r>
          </w:p>
        </w:tc>
        <w:tc>
          <w:tcPr>
            <w:tcW w:w="400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 Concrete,</w:t>
            </w:r>
          </w:p>
        </w:tc>
      </w:tr>
      <w:tr>
        <w:trPr>
          <w:trHeight w:val="250"/>
        </w:trPr>
        <w:tc>
          <w:tcPr>
            <w:tcW w:w="3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Pr>
          <w:p>
            <w:pPr>
              <w:jc w:val="center"/>
              <w:spacing w:after="0"/>
              <w:rPr>
                <w:sz w:val="20"/>
                <w:szCs w:val="20"/>
                <w:color w:val="auto"/>
              </w:rPr>
            </w:pPr>
            <w:r>
              <w:rPr>
                <w:rFonts w:ascii="Arial" w:cs="Arial" w:eastAsia="Arial" w:hAnsi="Arial"/>
                <w:sz w:val="20"/>
                <w:szCs w:val="20"/>
                <w:color w:val="auto"/>
                <w:w w:val="90"/>
              </w:rPr>
              <w:t>Asphalt and Paving</w:t>
            </w:r>
          </w:p>
        </w:tc>
      </w:tr>
    </w:tbl>
    <w:p>
      <w:pPr>
        <w:spacing w:after="0" w:line="195" w:lineRule="exact"/>
        <w:rPr>
          <w:sz w:val="20"/>
          <w:szCs w:val="20"/>
          <w:color w:val="auto"/>
        </w:rPr>
      </w:pPr>
    </w:p>
    <w:p>
      <w:pPr>
        <w:jc w:val="both"/>
        <w:ind w:left="280"/>
        <w:spacing w:after="0" w:line="291" w:lineRule="auto"/>
        <w:rPr>
          <w:sz w:val="20"/>
          <w:szCs w:val="20"/>
          <w:color w:val="auto"/>
        </w:rPr>
      </w:pPr>
      <w:r>
        <w:rPr>
          <w:rFonts w:ascii="Arial" w:cs="Arial" w:eastAsia="Arial" w:hAnsi="Arial"/>
          <w:sz w:val="18"/>
          <w:szCs w:val="18"/>
          <w:color w:val="auto"/>
        </w:rPr>
        <w:t>The Company’s Magnesia Specialties business, which represents a separate reportable segment, has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280"/>
        <w:spacing w:after="0" w:line="255" w:lineRule="auto"/>
        <w:rPr>
          <w:sz w:val="20"/>
          <w:szCs w:val="20"/>
          <w:color w:val="auto"/>
        </w:rPr>
      </w:pPr>
      <w:r>
        <w:rPr>
          <w:rFonts w:ascii="Arial" w:cs="Arial" w:eastAsia="Arial" w:hAnsi="Arial"/>
          <w:sz w:val="19"/>
          <w:szCs w:val="19"/>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The Company has continued to follow the accounting policies set forth in the audited consolidated financial statements and related notes thereto included in the Company’s Annual Report on Form 10-K for the year ended December 31, 2020.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nine months ended September 30, 2021 are not necessarily indicative of the results expected for other interim periods or the full year. The consolidated balance sheet at December 31, 2020 has been derived from the audited consolidated financial statements at that date but does not include all of the information and notes required by U.S. GAAP for complete financial statements. These consolidated financial statements should be read in conjunction with the audited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280" w:right="20"/>
        <w:spacing w:after="0" w:line="260" w:lineRule="auto"/>
        <w:rPr>
          <w:sz w:val="20"/>
          <w:szCs w:val="20"/>
          <w:color w:val="auto"/>
        </w:rPr>
      </w:pPr>
      <w:r>
        <w:rPr>
          <w:rFonts w:ascii="Arial" w:cs="Arial" w:eastAsia="Arial" w:hAnsi="Arial"/>
          <w:sz w:val="20"/>
          <w:szCs w:val="20"/>
          <w:color w:val="auto"/>
        </w:rPr>
        <w:t>consolidated financial statements and notes thereto included in the Company’s Annual Report on Form 10-K for the year ended December 31, 2020.</w:t>
      </w:r>
    </w:p>
    <w:p>
      <w:pPr>
        <w:spacing w:after="0" w:line="69" w:lineRule="exact"/>
        <w:rPr>
          <w:sz w:val="20"/>
          <w:szCs w:val="20"/>
          <w:color w:val="auto"/>
        </w:rPr>
      </w:pPr>
    </w:p>
    <w:p>
      <w:pPr>
        <w:jc w:val="both"/>
        <w:ind w:left="280"/>
        <w:spacing w:after="0" w:line="246" w:lineRule="auto"/>
        <w:rPr>
          <w:sz w:val="20"/>
          <w:szCs w:val="20"/>
          <w:color w:val="auto"/>
        </w:rPr>
      </w:pPr>
      <w:r>
        <w:rPr>
          <w:rFonts w:ascii="Arial" w:cs="Arial" w:eastAsia="Arial" w:hAnsi="Arial"/>
          <w:sz w:val="20"/>
          <w:szCs w:val="20"/>
          <w:color w:val="auto"/>
        </w:rPr>
        <w:t>The preparation of the Company’s consolidated financial statements requires management to make certain estimates and assumptions about future events. As future events and their effects cannot be fully determined with precision, actual results could differ significantly from estimates. Changes in estimates are reflected in the consolidated financial statements in the period in which the change in estimate occurs.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Reclassifications</w:t>
      </w:r>
    </w:p>
    <w:p>
      <w:pPr>
        <w:spacing w:after="0" w:line="114" w:lineRule="exact"/>
        <w:rPr>
          <w:sz w:val="20"/>
          <w:szCs w:val="20"/>
          <w:color w:val="auto"/>
        </w:rPr>
      </w:pPr>
    </w:p>
    <w:p>
      <w:pPr>
        <w:jc w:val="both"/>
        <w:ind w:left="280"/>
        <w:spacing w:after="0" w:line="269" w:lineRule="auto"/>
        <w:rPr>
          <w:sz w:val="20"/>
          <w:szCs w:val="20"/>
          <w:color w:val="auto"/>
        </w:rPr>
      </w:pPr>
      <w:r>
        <w:rPr>
          <w:rFonts w:ascii="Arial" w:cs="Arial" w:eastAsia="Arial" w:hAnsi="Arial"/>
          <w:sz w:val="19"/>
          <w:szCs w:val="19"/>
          <w:color w:val="auto"/>
        </w:rPr>
        <w:t xml:space="preserve">As of January 1, 2021, the Company reclassified accrued income taxes from </w:t>
      </w:r>
      <w:r>
        <w:rPr>
          <w:rFonts w:ascii="Arial" w:cs="Arial" w:eastAsia="Arial" w:hAnsi="Arial"/>
          <w:sz w:val="19"/>
          <w:szCs w:val="19"/>
          <w:i w:val="1"/>
          <w:iCs w:val="1"/>
          <w:color w:val="auto"/>
        </w:rPr>
        <w:t>Other current liabilities</w:t>
      </w:r>
      <w:r>
        <w:rPr>
          <w:rFonts w:ascii="Arial" w:cs="Arial" w:eastAsia="Arial" w:hAnsi="Arial"/>
          <w:sz w:val="19"/>
          <w:szCs w:val="19"/>
          <w:color w:val="auto"/>
        </w:rPr>
        <w:t xml:space="preserve"> to </w:t>
      </w:r>
      <w:r>
        <w:rPr>
          <w:rFonts w:ascii="Arial" w:cs="Arial" w:eastAsia="Arial" w:hAnsi="Arial"/>
          <w:sz w:val="19"/>
          <w:szCs w:val="19"/>
          <w:i w:val="1"/>
          <w:iCs w:val="1"/>
          <w:color w:val="auto"/>
        </w:rPr>
        <w:t>Accrued other taxes</w:t>
      </w:r>
      <w:r>
        <w:rPr>
          <w:rFonts w:ascii="Arial" w:cs="Arial" w:eastAsia="Arial" w:hAnsi="Arial"/>
          <w:sz w:val="19"/>
          <w:szCs w:val="19"/>
          <w:color w:val="auto"/>
        </w:rPr>
        <w:t xml:space="preserve"> on the Company’s consolidated balance sheet. Prior-year information has been reclassified to conform to current year presentation. The reclassification had no impact on the Company’s previously reported results of operations, financial position or cash flows.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Consolidated Comprehensive Earnings and Accumulated Other Comprehensive Loss</w:t>
      </w:r>
    </w:p>
    <w:p>
      <w:pPr>
        <w:spacing w:after="0" w:line="114"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Consolidated comprehensive earnings and accumulated other comprehensive loss consist of consolidated net earnings; adjustments for the funded status of pension and postretirement benefit plans; and foreign currency translation adjustments; and are presented in the Company’s consolidated statements of earnings and comprehensive earnings.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Comprehensive earnings attributable to Martin Marietta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5"/>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26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Arial" w:cs="Arial" w:eastAsia="Arial" w:hAnsi="Arial"/>
                <w:sz w:val="20"/>
                <w:szCs w:val="20"/>
                <w:color w:val="auto"/>
              </w:rPr>
              <w:t>Nine Months Ended</w:t>
            </w:r>
          </w:p>
        </w:tc>
      </w:tr>
      <w:tr>
        <w:trPr>
          <w:trHeight w:val="246"/>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5"/>
          </w:tcPr>
          <w:p>
            <w:pPr>
              <w:jc w:val="center"/>
              <w:ind w:right="520"/>
              <w:spacing w:after="0"/>
              <w:rPr>
                <w:sz w:val="20"/>
                <w:szCs w:val="20"/>
                <w:color w:val="auto"/>
              </w:rPr>
            </w:pPr>
            <w:r>
              <w:rPr>
                <w:rFonts w:ascii="Arial" w:cs="Arial" w:eastAsia="Arial" w:hAnsi="Arial"/>
                <w:sz w:val="20"/>
                <w:szCs w:val="20"/>
                <w:color w:val="auto"/>
                <w:w w:val="86"/>
              </w:rPr>
              <w:t>September 30,</w:t>
            </w:r>
          </w:p>
        </w:tc>
        <w:tc>
          <w:tcPr>
            <w:tcW w:w="2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2021</w:t>
            </w: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w w:val="85"/>
              </w:rPr>
              <w:t>2020</w:t>
            </w:r>
          </w:p>
        </w:tc>
        <w:tc>
          <w:tcPr>
            <w:tcW w:w="100" w:type="dxa"/>
            <w:vAlign w:val="bottom"/>
          </w:tcPr>
          <w:p>
            <w:pPr>
              <w:spacing w:after="0"/>
              <w:rPr>
                <w:sz w:val="20"/>
                <w:szCs w:val="20"/>
                <w:color w:val="auto"/>
              </w:rPr>
            </w:pPr>
          </w:p>
        </w:tc>
      </w:tr>
      <w:tr>
        <w:trPr>
          <w:trHeight w:val="236"/>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5"/>
          </w:tcPr>
          <w:p>
            <w:pPr>
              <w:ind w:left="320"/>
              <w:spacing w:after="0"/>
              <w:rPr>
                <w:sz w:val="20"/>
                <w:szCs w:val="20"/>
                <w:color w:val="auto"/>
              </w:rPr>
            </w:pPr>
            <w:r>
              <w:rPr>
                <w:rFonts w:ascii="Arial" w:cs="Arial" w:eastAsia="Arial" w:hAnsi="Arial"/>
                <w:sz w:val="20"/>
                <w:szCs w:val="20"/>
                <w:i w:val="1"/>
                <w:iCs w:val="1"/>
                <w:color w:val="auto"/>
              </w:rPr>
              <w:t>(Dollars in Millions)</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538.0</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w:t>
            </w:r>
          </w:p>
        </w:tc>
        <w:tc>
          <w:tcPr>
            <w:tcW w:w="100" w:type="dxa"/>
            <w:vAlign w:val="bottom"/>
            <w:tcBorders>
              <w:bottom w:val="single" w:sz="8" w:color="CFF0FC"/>
            </w:tcBorders>
          </w:tcPr>
          <w:p>
            <w:pPr>
              <w:spacing w:after="0"/>
              <w:rPr>
                <w:sz w:val="21"/>
                <w:szCs w:val="21"/>
                <w:color w:val="auto"/>
              </w:rPr>
            </w:pPr>
          </w:p>
        </w:tc>
      </w:tr>
      <w:tr>
        <w:trPr>
          <w:trHeight w:val="220"/>
        </w:trPr>
        <w:tc>
          <w:tcPr>
            <w:tcW w:w="524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256.2</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552.7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545.2</w:t>
            </w:r>
          </w:p>
        </w:tc>
        <w:tc>
          <w:tcPr>
            <w:tcW w:w="100" w:type="dxa"/>
            <w:vAlign w:val="bottom"/>
            <w:shd w:val="clear" w:color="auto" w:fill="CFF0FC"/>
          </w:tcPr>
          <w:p>
            <w:pPr>
              <w:spacing w:after="0"/>
              <w:rPr>
                <w:sz w:val="21"/>
                <w:szCs w:val="2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Changes in accumulated other comprehensive loss, net of tax,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9"/>
                <w:szCs w:val="19"/>
                <w:i w:val="1"/>
                <w:iCs w:val="1"/>
                <w:color w:val="auto"/>
                <w:w w:val="98"/>
              </w:rPr>
              <w:t>(Dollars in Millions)</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300"/>
              <w:spacing w:after="0" w:line="216" w:lineRule="exact"/>
              <w:rPr>
                <w:sz w:val="20"/>
                <w:szCs w:val="20"/>
                <w:color w:val="auto"/>
              </w:rPr>
            </w:pPr>
            <w:r>
              <w:rPr>
                <w:rFonts w:ascii="Arial" w:cs="Arial" w:eastAsia="Arial" w:hAnsi="Arial"/>
                <w:sz w:val="19"/>
                <w:szCs w:val="19"/>
                <w:color w:val="auto"/>
                <w:w w:val="90"/>
              </w:rPr>
              <w:t>Postretirement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0"/>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center"/>
              <w:ind w:right="300"/>
              <w:spacing w:after="0"/>
              <w:rPr>
                <w:sz w:val="20"/>
                <w:szCs w:val="20"/>
                <w:color w:val="auto"/>
              </w:rPr>
            </w:pPr>
            <w:r>
              <w:rPr>
                <w:rFonts w:ascii="Arial" w:cs="Arial" w:eastAsia="Arial" w:hAnsi="Arial"/>
                <w:sz w:val="19"/>
                <w:szCs w:val="19"/>
                <w:color w:val="auto"/>
                <w:w w:val="89"/>
              </w:rPr>
              <w:t>Benefit Plans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9"/>
                <w:szCs w:val="19"/>
                <w:color w:val="auto"/>
                <w:w w:val="91"/>
              </w:rPr>
              <w:t>Foreign Currency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12"/>
          </w:tcPr>
          <w:p>
            <w:pPr>
              <w:jc w:val="center"/>
              <w:ind w:right="46"/>
              <w:spacing w:after="0"/>
              <w:rPr>
                <w:sz w:val="20"/>
                <w:szCs w:val="20"/>
                <w:color w:val="auto"/>
              </w:rPr>
            </w:pPr>
            <w:r>
              <w:rPr>
                <w:rFonts w:ascii="Arial" w:cs="Arial" w:eastAsia="Arial" w:hAnsi="Arial"/>
                <w:sz w:val="19"/>
                <w:szCs w:val="19"/>
                <w:color w:val="auto"/>
                <w:w w:val="89"/>
              </w:rPr>
              <w:t>Three Months Ended September 30, 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(153.5)</w:t>
            </w:r>
          </w:p>
        </w:tc>
        <w:tc>
          <w:tcPr>
            <w:tcW w:w="760" w:type="dxa"/>
            <w:vAlign w:val="bottom"/>
            <w:gridSpan w:val="3"/>
          </w:tcPr>
          <w:p>
            <w:pPr>
              <w:jc w:val="right"/>
              <w:ind w:right="466"/>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0.5</w:t>
            </w:r>
          </w:p>
        </w:tc>
        <w:tc>
          <w:tcPr>
            <w:tcW w:w="260" w:type="dxa"/>
            <w:vAlign w:val="bottom"/>
          </w:tcPr>
          <w:p>
            <w:pPr>
              <w:spacing w:after="0"/>
              <w:rPr>
                <w:sz w:val="19"/>
                <w:szCs w:val="19"/>
                <w:color w:val="auto"/>
              </w:rPr>
            </w:pPr>
          </w:p>
        </w:tc>
        <w:tc>
          <w:tcPr>
            <w:tcW w:w="14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(153.0)</w:t>
            </w:r>
          </w:p>
        </w:tc>
        <w:tc>
          <w:tcPr>
            <w:tcW w:w="0" w:type="dxa"/>
            <w:vAlign w:val="bottom"/>
          </w:tcPr>
          <w:p>
            <w:pPr>
              <w:spacing w:after="0"/>
              <w:rPr>
                <w:sz w:val="1"/>
                <w:szCs w:val="1"/>
                <w:color w:val="auto"/>
              </w:rPr>
            </w:pPr>
          </w:p>
        </w:tc>
      </w:tr>
      <w:tr>
        <w:trPr>
          <w:trHeight w:val="207"/>
        </w:trPr>
        <w:tc>
          <w:tcPr>
            <w:tcW w:w="608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Other comprehensive loss before reclassifications,</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0FC"/>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(0.6)</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9"/>
                <w:szCs w:val="19"/>
                <w:color w:val="auto"/>
              </w:rPr>
              <w:t>(0.6)</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FF0FC"/>
            </w:tcBorders>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(0.6)</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(151.3)</w:t>
            </w:r>
          </w:p>
        </w:tc>
        <w:tc>
          <w:tcPr>
            <w:tcW w:w="100" w:type="dxa"/>
            <w:vAlign w:val="bottom"/>
            <w:vMerge w:val="continue"/>
          </w:tcPr>
          <w:p>
            <w:pPr>
              <w:spacing w:after="0"/>
              <w:rPr>
                <w:sz w:val="19"/>
                <w:szCs w:val="19"/>
                <w:color w:val="auto"/>
              </w:rPr>
            </w:pPr>
          </w:p>
        </w:tc>
        <w:tc>
          <w:tcPr>
            <w:tcW w:w="660" w:type="dxa"/>
            <w:vAlign w:val="bottom"/>
            <w:gridSpan w:val="2"/>
          </w:tcPr>
          <w:p>
            <w:pPr>
              <w:jc w:val="right"/>
              <w:ind w:right="466"/>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180"/>
              <w:spacing w:after="0"/>
              <w:rPr>
                <w:sz w:val="20"/>
                <w:szCs w:val="20"/>
                <w:color w:val="auto"/>
              </w:rPr>
            </w:pPr>
            <w:r>
              <w:rPr>
                <w:rFonts w:ascii="Arial" w:cs="Arial" w:eastAsia="Arial" w:hAnsi="Arial"/>
                <w:sz w:val="19"/>
                <w:szCs w:val="19"/>
                <w:color w:val="auto"/>
              </w:rPr>
              <w:t>(0.1)</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(151.4)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2"/>
          </w:tcPr>
          <w:p>
            <w:pPr>
              <w:jc w:val="center"/>
              <w:ind w:right="46"/>
              <w:spacing w:after="0"/>
              <w:rPr>
                <w:sz w:val="20"/>
                <w:szCs w:val="20"/>
                <w:color w:val="auto"/>
              </w:rPr>
            </w:pPr>
            <w:r>
              <w:rPr>
                <w:rFonts w:ascii="Arial" w:cs="Arial" w:eastAsia="Arial" w:hAnsi="Arial"/>
                <w:sz w:val="19"/>
                <w:szCs w:val="19"/>
                <w:color w:val="auto"/>
                <w:w w:val="89"/>
              </w:rPr>
              <w:t>Three Months Ended September 30,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(140.0)</w:t>
            </w:r>
          </w:p>
        </w:tc>
        <w:tc>
          <w:tcPr>
            <w:tcW w:w="760" w:type="dxa"/>
            <w:vAlign w:val="bottom"/>
            <w:gridSpan w:val="3"/>
          </w:tcPr>
          <w:p>
            <w:pPr>
              <w:jc w:val="right"/>
              <w:ind w:right="466"/>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9"/>
                <w:szCs w:val="19"/>
                <w:color w:val="auto"/>
              </w:rPr>
              <w:t>(2.2)</w:t>
            </w:r>
          </w:p>
        </w:tc>
        <w:tc>
          <w:tcPr>
            <w:tcW w:w="140" w:type="dxa"/>
            <w:vAlign w:val="bottom"/>
            <w:gridSpan w:val="3"/>
          </w:tcPr>
          <w:p>
            <w:pPr>
              <w:jc w:val="right"/>
              <w:spacing w:after="0"/>
              <w:rPr>
                <w:sz w:val="20"/>
                <w:szCs w:val="20"/>
                <w:color w:val="auto"/>
              </w:rPr>
            </w:pPr>
            <w:r>
              <w:rPr>
                <w:rFonts w:ascii="Arial" w:cs="Arial" w:eastAsia="Arial" w:hAnsi="Arial"/>
                <w:sz w:val="19"/>
                <w:szCs w:val="19"/>
                <w:color w:val="auto"/>
                <w:w w:val="94"/>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(142.2)</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earnings before reclassifications,</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6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60" w:type="dxa"/>
            <w:vAlign w:val="bottom"/>
            <w:tcBorders>
              <w:left w:val="single" w:sz="8" w:color="CFF2FA"/>
            </w:tcBorders>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net of tax</w:t>
            </w:r>
          </w:p>
        </w:tc>
        <w:tc>
          <w:tcPr>
            <w:tcW w:w="140" w:type="dxa"/>
            <w:vAlign w:val="bottom"/>
            <w:shd w:val="clear" w:color="auto" w:fill="CFF2FA"/>
          </w:tcPr>
          <w:p>
            <w:pPr>
              <w:spacing w:after="0"/>
              <w:rPr>
                <w:sz w:val="20"/>
                <w:szCs w:val="20"/>
                <w:color w:val="auto"/>
              </w:rPr>
            </w:pPr>
          </w:p>
        </w:tc>
        <w:tc>
          <w:tcPr>
            <w:tcW w:w="1500" w:type="dxa"/>
            <w:vAlign w:val="bottom"/>
            <w:gridSpan w:val="3"/>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640" w:type="dxa"/>
            <w:vAlign w:val="bottom"/>
            <w:shd w:val="clear" w:color="auto" w:fill="CFF2FA"/>
          </w:tcPr>
          <w:p>
            <w:pPr>
              <w:spacing w:after="0"/>
              <w:rPr>
                <w:sz w:val="20"/>
                <w:szCs w:val="20"/>
                <w:color w:val="auto"/>
              </w:rPr>
            </w:pPr>
          </w:p>
        </w:tc>
        <w:tc>
          <w:tcPr>
            <w:tcW w:w="86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260" w:type="dxa"/>
            <w:vAlign w:val="bottom"/>
            <w:tcBorders>
              <w:left w:val="single" w:sz="8" w:color="CFF2FA"/>
            </w:tcBorders>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 other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comprehensive loss, net of tax</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2FA"/>
            </w:tcBorders>
            <w:shd w:val="clear" w:color="auto" w:fill="CFF2FA"/>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shd w:val="clear" w:color="auto" w:fill="CFF2FA"/>
          </w:tcPr>
          <w:p>
            <w:pPr>
              <w:spacing w:after="0"/>
              <w:rPr>
                <w:sz w:val="19"/>
                <w:szCs w:val="19"/>
                <w:color w:val="auto"/>
              </w:rPr>
            </w:pPr>
          </w:p>
        </w:tc>
        <w:tc>
          <w:tcPr>
            <w:tcW w:w="13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3.1</w:t>
            </w:r>
          </w:p>
        </w:tc>
        <w:tc>
          <w:tcPr>
            <w:tcW w:w="2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auto"/>
              <w:bottom w:val="single" w:sz="8" w:color="auto"/>
            </w:tcBorders>
            <w:shd w:val="clear" w:color="auto" w:fill="CFF2FA"/>
          </w:tcPr>
          <w:p>
            <w:pPr>
              <w:spacing w:after="0"/>
              <w:rPr>
                <w:sz w:val="19"/>
                <w:szCs w:val="19"/>
                <w:color w:val="auto"/>
              </w:rPr>
            </w:pPr>
          </w:p>
        </w:tc>
        <w:tc>
          <w:tcPr>
            <w:tcW w:w="640" w:type="dxa"/>
            <w:vAlign w:val="bottom"/>
            <w:tcBorders>
              <w:top w:val="single" w:sz="8" w:color="auto"/>
              <w:bottom w:val="single" w:sz="8" w:color="auto"/>
            </w:tcBorders>
            <w:shd w:val="clear" w:color="auto" w:fill="CFF2FA"/>
          </w:tcPr>
          <w:p>
            <w:pPr>
              <w:spacing w:after="0"/>
              <w:rPr>
                <w:sz w:val="19"/>
                <w:szCs w:val="19"/>
                <w:color w:val="auto"/>
              </w:rPr>
            </w:pPr>
          </w:p>
        </w:tc>
        <w:tc>
          <w:tcPr>
            <w:tcW w:w="8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0.5</w:t>
            </w:r>
          </w:p>
        </w:tc>
        <w:tc>
          <w:tcPr>
            <w:tcW w:w="260" w:type="dxa"/>
            <w:vAlign w:val="bottom"/>
            <w:tcBorders>
              <w:top w:val="single" w:sz="8" w:color="CFF2FA"/>
              <w:left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2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auto"/>
              <w:bottom w:val="single" w:sz="8" w:color="auto"/>
            </w:tcBorders>
            <w:shd w:val="clear" w:color="auto" w:fill="CFF2FA"/>
          </w:tcPr>
          <w:p>
            <w:pPr>
              <w:spacing w:after="0"/>
              <w:rPr>
                <w:sz w:val="19"/>
                <w:szCs w:val="19"/>
                <w:color w:val="auto"/>
              </w:rPr>
            </w:pPr>
          </w:p>
        </w:tc>
        <w:tc>
          <w:tcPr>
            <w:tcW w:w="13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9"/>
                <w:szCs w:val="19"/>
                <w:color w:val="auto"/>
              </w:rPr>
              <w:t>3.6</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(136.9)</w:t>
            </w:r>
          </w:p>
        </w:tc>
        <w:tc>
          <w:tcPr>
            <w:tcW w:w="100" w:type="dxa"/>
            <w:vAlign w:val="bottom"/>
          </w:tcPr>
          <w:p>
            <w:pPr>
              <w:spacing w:after="0"/>
              <w:rPr>
                <w:sz w:val="19"/>
                <w:szCs w:val="19"/>
                <w:color w:val="auto"/>
              </w:rPr>
            </w:pPr>
          </w:p>
        </w:tc>
        <w:tc>
          <w:tcPr>
            <w:tcW w:w="660" w:type="dxa"/>
            <w:vAlign w:val="bottom"/>
            <w:gridSpan w:val="2"/>
          </w:tcPr>
          <w:p>
            <w:pPr>
              <w:jc w:val="right"/>
              <w:ind w:right="466"/>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180"/>
              <w:spacing w:after="0"/>
              <w:rPr>
                <w:sz w:val="20"/>
                <w:szCs w:val="20"/>
                <w:color w:val="auto"/>
              </w:rPr>
            </w:pPr>
            <w:r>
              <w:rPr>
                <w:rFonts w:ascii="Arial" w:cs="Arial" w:eastAsia="Arial" w:hAnsi="Arial"/>
                <w:sz w:val="19"/>
                <w:szCs w:val="19"/>
                <w:color w:val="auto"/>
              </w:rPr>
              <w:t>(1.7)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(138.6)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9"/>
                <w:szCs w:val="19"/>
                <w:i w:val="1"/>
                <w:iCs w:val="1"/>
                <w:color w:val="auto"/>
                <w:w w:val="98"/>
              </w:rPr>
              <w:t>(Dollars in Millions)</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ind w:right="46"/>
              <w:spacing w:after="0" w:line="201" w:lineRule="exact"/>
              <w:rPr>
                <w:sz w:val="20"/>
                <w:szCs w:val="20"/>
                <w:color w:val="auto"/>
              </w:rPr>
            </w:pPr>
            <w:r>
              <w:rPr>
                <w:rFonts w:ascii="Arial" w:cs="Arial" w:eastAsia="Arial" w:hAnsi="Arial"/>
                <w:sz w:val="19"/>
                <w:szCs w:val="19"/>
                <w:color w:val="auto"/>
                <w:w w:val="91"/>
              </w:rPr>
              <w:t>Accumulated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300"/>
              <w:spacing w:after="0" w:line="216" w:lineRule="exact"/>
              <w:rPr>
                <w:sz w:val="20"/>
                <w:szCs w:val="20"/>
                <w:color w:val="auto"/>
              </w:rPr>
            </w:pPr>
            <w:r>
              <w:rPr>
                <w:rFonts w:ascii="Arial" w:cs="Arial" w:eastAsia="Arial" w:hAnsi="Arial"/>
                <w:sz w:val="19"/>
                <w:szCs w:val="19"/>
                <w:color w:val="auto"/>
                <w:w w:val="87"/>
              </w:rPr>
              <w:t>Pension 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line="216" w:lineRule="exact"/>
              <w:rPr>
                <w:sz w:val="20"/>
                <w:szCs w:val="20"/>
                <w:color w:val="auto"/>
              </w:rPr>
            </w:pPr>
            <w:r>
              <w:rPr>
                <w:rFonts w:ascii="Arial" w:cs="Arial" w:eastAsia="Arial" w:hAnsi="Arial"/>
                <w:sz w:val="19"/>
                <w:szCs w:val="19"/>
                <w:color w:val="auto"/>
                <w:w w:val="92"/>
              </w:rPr>
              <w:t>Other</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center"/>
              <w:ind w:right="280"/>
              <w:spacing w:after="0" w:line="216" w:lineRule="exact"/>
              <w:rPr>
                <w:sz w:val="20"/>
                <w:szCs w:val="20"/>
                <w:color w:val="auto"/>
              </w:rPr>
            </w:pPr>
            <w:r>
              <w:rPr>
                <w:rFonts w:ascii="Arial" w:cs="Arial" w:eastAsia="Arial" w:hAnsi="Arial"/>
                <w:sz w:val="19"/>
                <w:szCs w:val="19"/>
                <w:color w:val="auto"/>
                <w:w w:val="89"/>
              </w:rPr>
              <w:t>Postretirement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80"/>
              <w:spacing w:after="0" w:line="216" w:lineRule="exact"/>
              <w:rPr>
                <w:sz w:val="20"/>
                <w:szCs w:val="20"/>
                <w:color w:val="auto"/>
              </w:rPr>
            </w:pPr>
            <w:r>
              <w:rPr>
                <w:rFonts w:ascii="Arial" w:cs="Arial" w:eastAsia="Arial" w:hAnsi="Arial"/>
                <w:sz w:val="19"/>
                <w:szCs w:val="19"/>
                <w:color w:val="auto"/>
                <w:w w:val="88"/>
              </w:rPr>
              <w:t>Comprehensive</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9"/>
                <w:szCs w:val="19"/>
                <w:color w:val="auto"/>
                <w:w w:val="91"/>
              </w:rPr>
              <w:t>Benefit Plans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9"/>
                <w:szCs w:val="19"/>
                <w:color w:val="auto"/>
                <w:w w:val="91"/>
              </w:rPr>
              <w:t>Foreign Currency</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Loss</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FF2FA"/>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900" w:type="dxa"/>
            <w:vAlign w:val="bottom"/>
            <w:tcBorders>
              <w:top w:val="single" w:sz="8" w:color="auto"/>
              <w:bottom w:val="single" w:sz="8" w:color="auto"/>
            </w:tcBorders>
            <w:gridSpan w:val="12"/>
          </w:tcPr>
          <w:p>
            <w:pPr>
              <w:jc w:val="center"/>
              <w:ind w:right="46"/>
              <w:spacing w:after="0"/>
              <w:rPr>
                <w:sz w:val="20"/>
                <w:szCs w:val="20"/>
                <w:color w:val="auto"/>
              </w:rPr>
            </w:pPr>
            <w:r>
              <w:rPr>
                <w:rFonts w:ascii="Arial" w:cs="Arial" w:eastAsia="Arial" w:hAnsi="Arial"/>
                <w:sz w:val="19"/>
                <w:szCs w:val="19"/>
                <w:color w:val="auto"/>
                <w:w w:val="89"/>
              </w:rPr>
              <w:t>Nine Months Ended September 30, 2021</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shd w:val="clear" w:color="auto" w:fill="CFF2FA"/>
          </w:tcPr>
          <w:p>
            <w:pPr>
              <w:jc w:val="right"/>
              <w:ind w:right="80"/>
              <w:spacing w:after="0"/>
              <w:rPr>
                <w:sz w:val="20"/>
                <w:szCs w:val="20"/>
                <w:color w:val="auto"/>
              </w:rPr>
            </w:pPr>
            <w:r>
              <w:rPr>
                <w:rFonts w:ascii="Arial" w:cs="Arial" w:eastAsia="Arial" w:hAnsi="Arial"/>
                <w:sz w:val="19"/>
                <w:szCs w:val="19"/>
                <w:color w:val="auto"/>
              </w:rPr>
              <w:t>(158.1)</w:t>
            </w:r>
          </w:p>
        </w:tc>
        <w:tc>
          <w:tcPr>
            <w:tcW w:w="760" w:type="dxa"/>
            <w:vAlign w:val="bottom"/>
            <w:gridSpan w:val="3"/>
            <w:shd w:val="clear" w:color="auto" w:fill="CFF2FA"/>
          </w:tcPr>
          <w:p>
            <w:pPr>
              <w:jc w:val="right"/>
              <w:ind w:right="446"/>
              <w:spacing w:after="0"/>
              <w:rPr>
                <w:sz w:val="20"/>
                <w:szCs w:val="20"/>
                <w:color w:val="auto"/>
              </w:rPr>
            </w:pPr>
            <w:r>
              <w:rPr>
                <w:rFonts w:ascii="Arial" w:cs="Arial" w:eastAsia="Arial" w:hAnsi="Arial"/>
                <w:sz w:val="19"/>
                <w:szCs w:val="19"/>
                <w:color w:val="auto"/>
              </w:rPr>
              <w:t>$</w:t>
            </w:r>
          </w:p>
        </w:tc>
        <w:tc>
          <w:tcPr>
            <w:tcW w:w="1120" w:type="dxa"/>
            <w:vAlign w:val="bottom"/>
            <w:gridSpan w:val="2"/>
            <w:shd w:val="clear" w:color="auto" w:fill="CFF2FA"/>
          </w:tcPr>
          <w:p>
            <w:pPr>
              <w:jc w:val="right"/>
              <w:ind w:right="180"/>
              <w:spacing w:after="0"/>
              <w:rPr>
                <w:sz w:val="20"/>
                <w:szCs w:val="20"/>
                <w:color w:val="auto"/>
              </w:rPr>
            </w:pPr>
            <w:r>
              <w:rPr>
                <w:rFonts w:ascii="Arial" w:cs="Arial" w:eastAsia="Arial" w:hAnsi="Arial"/>
                <w:sz w:val="19"/>
                <w:szCs w:val="19"/>
                <w:color w:val="auto"/>
              </w:rPr>
              <w:t>(0.3)</w:t>
            </w:r>
          </w:p>
        </w:tc>
        <w:tc>
          <w:tcPr>
            <w:tcW w:w="140" w:type="dxa"/>
            <w:vAlign w:val="bottom"/>
            <w:gridSpan w:val="3"/>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(158.4)</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Other comprehensive earnings before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tcPr>
          <w:p>
            <w:pPr>
              <w:spacing w:after="0"/>
              <w:rPr>
                <w:sz w:val="20"/>
                <w:szCs w:val="20"/>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0.2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6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60" w:type="dxa"/>
            <w:vAlign w:val="bottom"/>
            <w:tcBorders>
              <w:left w:val="single" w:sz="8" w:color="CFF2FA"/>
            </w:tcBorders>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shd w:val="clear" w:color="auto" w:fill="CFF2FA"/>
          </w:tcPr>
          <w:p>
            <w:pPr>
              <w:spacing w:after="0"/>
              <w:rPr>
                <w:sz w:val="20"/>
                <w:szCs w:val="20"/>
                <w:color w:val="auto"/>
              </w:rPr>
            </w:pPr>
          </w:p>
        </w:tc>
        <w:tc>
          <w:tcPr>
            <w:tcW w:w="1360" w:type="dxa"/>
            <w:vAlign w:val="bottom"/>
            <w:gridSpan w:val="2"/>
            <w:shd w:val="clear" w:color="auto" w:fill="CFF2FA"/>
          </w:tcPr>
          <w:p>
            <w:pPr>
              <w:jc w:val="right"/>
              <w:ind w:right="20"/>
              <w:spacing w:after="0"/>
              <w:rPr>
                <w:sz w:val="20"/>
                <w:szCs w:val="20"/>
                <w:color w:val="auto"/>
              </w:rPr>
            </w:pPr>
            <w:r>
              <w:rPr>
                <w:rFonts w:ascii="Arial" w:cs="Arial" w:eastAsia="Arial" w:hAnsi="Arial"/>
                <w:sz w:val="19"/>
                <w:szCs w:val="19"/>
                <w:color w:val="auto"/>
              </w:rPr>
              <w:t>6.8</w:t>
            </w:r>
          </w:p>
        </w:tc>
        <w:tc>
          <w:tcPr>
            <w:tcW w:w="14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640" w:type="dxa"/>
            <w:vAlign w:val="bottom"/>
            <w:shd w:val="clear" w:color="auto" w:fill="CFF2FA"/>
          </w:tcPr>
          <w:p>
            <w:pPr>
              <w:spacing w:after="0"/>
              <w:rPr>
                <w:sz w:val="20"/>
                <w:szCs w:val="20"/>
                <w:color w:val="auto"/>
              </w:rPr>
            </w:pPr>
          </w:p>
        </w:tc>
        <w:tc>
          <w:tcPr>
            <w:tcW w:w="1120" w:type="dxa"/>
            <w:vAlign w:val="bottom"/>
            <w:gridSpan w:val="2"/>
            <w:shd w:val="clear" w:color="auto" w:fill="CFF2FA"/>
          </w:tcPr>
          <w:p>
            <w:pPr>
              <w:jc w:val="right"/>
              <w:ind w:right="260"/>
              <w:spacing w:after="0"/>
              <w:rPr>
                <w:sz w:val="20"/>
                <w:szCs w:val="20"/>
                <w:color w:val="auto"/>
              </w:rPr>
            </w:pPr>
            <w:r>
              <w:rPr>
                <w:rFonts w:ascii="Arial" w:cs="Arial" w:eastAsia="Arial" w:hAnsi="Arial"/>
                <w:sz w:val="19"/>
                <w:szCs w:val="19"/>
                <w:color w:val="auto"/>
              </w:rPr>
              <w:t>—</w:t>
            </w:r>
          </w:p>
        </w:tc>
        <w:tc>
          <w:tcPr>
            <w:tcW w:w="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6.8</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FF2FA"/>
            </w:tcBorders>
          </w:tcPr>
          <w:p>
            <w:pPr>
              <w:spacing w:after="0"/>
              <w:rPr>
                <w:sz w:val="20"/>
                <w:szCs w:val="20"/>
                <w:color w:val="auto"/>
              </w:rPr>
            </w:pPr>
            <w:r>
              <w:rPr>
                <w:rFonts w:ascii="Arial" w:cs="Arial" w:eastAsia="Arial" w:hAnsi="Arial"/>
                <w:sz w:val="19"/>
                <w:szCs w:val="19"/>
                <w:color w:val="auto"/>
              </w:rPr>
              <w:t>Other comprehensive earnings, net of tax</w:t>
            </w: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6.8</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20" w:type="dxa"/>
            <w:vAlign w:val="bottom"/>
            <w:tcBorders>
              <w:bottom w:val="single" w:sz="8" w:color="CFF2FA"/>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0.2</w:t>
            </w:r>
          </w:p>
        </w:tc>
        <w:tc>
          <w:tcPr>
            <w:tcW w:w="260" w:type="dxa"/>
            <w:vAlign w:val="bottom"/>
            <w:tcBorders>
              <w:bottom w:val="single" w:sz="8" w:color="CFF2FA"/>
            </w:tcBorders>
          </w:tcPr>
          <w:p>
            <w:pPr>
              <w:spacing w:after="0"/>
              <w:rPr>
                <w:sz w:val="19"/>
                <w:szCs w:val="19"/>
                <w:color w:val="auto"/>
              </w:rPr>
            </w:pPr>
          </w:p>
        </w:tc>
        <w:tc>
          <w:tcPr>
            <w:tcW w:w="20" w:type="dxa"/>
            <w:vAlign w:val="bottom"/>
            <w:tcBorders>
              <w:bottom w:val="single" w:sz="8" w:color="CFF2FA"/>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7.0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CFF2FA"/>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shd w:val="clear" w:color="auto" w:fill="CFF2FA"/>
          </w:tcPr>
          <w:p>
            <w:pPr>
              <w:jc w:val="right"/>
              <w:ind w:right="80"/>
              <w:spacing w:after="0"/>
              <w:rPr>
                <w:sz w:val="20"/>
                <w:szCs w:val="20"/>
                <w:color w:val="auto"/>
              </w:rPr>
            </w:pPr>
            <w:r>
              <w:rPr>
                <w:rFonts w:ascii="Arial" w:cs="Arial" w:eastAsia="Arial" w:hAnsi="Arial"/>
                <w:sz w:val="19"/>
                <w:szCs w:val="19"/>
                <w:color w:val="auto"/>
              </w:rPr>
              <w:t>(151.3)</w:t>
            </w:r>
          </w:p>
        </w:tc>
        <w:tc>
          <w:tcPr>
            <w:tcW w:w="120" w:type="dxa"/>
            <w:vAlign w:val="bottom"/>
            <w:gridSpan w:val="2"/>
            <w:shd w:val="clear" w:color="auto" w:fill="CFF2FA"/>
          </w:tcPr>
          <w:p>
            <w:pPr>
              <w:spacing w:after="0"/>
              <w:rPr>
                <w:sz w:val="19"/>
                <w:szCs w:val="19"/>
                <w:color w:val="auto"/>
              </w:rPr>
            </w:pPr>
          </w:p>
        </w:tc>
        <w:tc>
          <w:tcPr>
            <w:tcW w:w="640" w:type="dxa"/>
            <w:vAlign w:val="bottom"/>
            <w:shd w:val="clear" w:color="auto" w:fill="CFF2FA"/>
          </w:tcPr>
          <w:p>
            <w:pPr>
              <w:jc w:val="right"/>
              <w:ind w:right="446"/>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CFF2FA"/>
          </w:tcPr>
          <w:p>
            <w:pPr>
              <w:jc w:val="right"/>
              <w:ind w:right="180"/>
              <w:spacing w:after="0"/>
              <w:rPr>
                <w:sz w:val="20"/>
                <w:szCs w:val="20"/>
                <w:color w:val="auto"/>
              </w:rPr>
            </w:pPr>
            <w:r>
              <w:rPr>
                <w:rFonts w:ascii="Arial" w:cs="Arial" w:eastAsia="Arial" w:hAnsi="Arial"/>
                <w:sz w:val="19"/>
                <w:szCs w:val="19"/>
                <w:color w:val="auto"/>
              </w:rPr>
              <w:t>(0.1)</w:t>
            </w:r>
          </w:p>
        </w:tc>
        <w:tc>
          <w:tcPr>
            <w:tcW w:w="20" w:type="dxa"/>
            <w:vAlign w:val="bottom"/>
            <w:shd w:val="clear" w:color="auto" w:fill="CFF2FA"/>
          </w:tcPr>
          <w:p>
            <w:pPr>
              <w:spacing w:after="0"/>
              <w:rPr>
                <w:sz w:val="19"/>
                <w:szCs w:val="19"/>
                <w:color w:val="auto"/>
              </w:rPr>
            </w:pPr>
          </w:p>
        </w:tc>
        <w:tc>
          <w:tcPr>
            <w:tcW w:w="120" w:type="dxa"/>
            <w:vAlign w:val="bottom"/>
            <w:gridSpan w:val="2"/>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(151.4)</w:t>
            </w:r>
          </w:p>
        </w:tc>
        <w:tc>
          <w:tcPr>
            <w:tcW w:w="0" w:type="dxa"/>
            <w:vAlign w:val="bottom"/>
          </w:tcPr>
          <w:p>
            <w:pPr>
              <w:spacing w:after="0"/>
              <w:rPr>
                <w:sz w:val="1"/>
                <w:szCs w:val="1"/>
                <w:color w:val="auto"/>
              </w:rPr>
            </w:pPr>
          </w:p>
        </w:tc>
      </w:tr>
      <w:tr>
        <w:trPr>
          <w:trHeight w:val="20"/>
        </w:trPr>
        <w:tc>
          <w:tcPr>
            <w:tcW w:w="6080" w:type="dxa"/>
            <w:vAlign w:val="bottom"/>
            <w:tcBorders>
              <w:top w:val="single" w:sz="8" w:color="CFF2FA"/>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2FA"/>
            </w:tcBorders>
            <w:gridSpan w:val="3"/>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FF2FA"/>
            </w:tcBorders>
            <w:gridSpan w:val="2"/>
          </w:tcPr>
          <w:p>
            <w:pPr>
              <w:spacing w:after="0" w:line="20" w:lineRule="exact"/>
              <w:rPr>
                <w:sz w:val="1"/>
                <w:szCs w:val="1"/>
                <w:color w:val="auto"/>
              </w:rPr>
            </w:pPr>
          </w:p>
        </w:tc>
        <w:tc>
          <w:tcPr>
            <w:tcW w:w="1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2"/>
          </w:tcPr>
          <w:p>
            <w:pPr>
              <w:jc w:val="center"/>
              <w:ind w:right="46"/>
              <w:spacing w:after="0"/>
              <w:rPr>
                <w:sz w:val="20"/>
                <w:szCs w:val="20"/>
                <w:color w:val="auto"/>
              </w:rPr>
            </w:pPr>
            <w:r>
              <w:rPr>
                <w:rFonts w:ascii="Arial" w:cs="Arial" w:eastAsia="Arial" w:hAnsi="Arial"/>
                <w:sz w:val="19"/>
                <w:szCs w:val="19"/>
                <w:color w:val="auto"/>
                <w:w w:val="89"/>
              </w:rPr>
              <w:t>Nine Months Ended September 30,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9"/>
                <w:szCs w:val="19"/>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(144.9)</w:t>
            </w:r>
          </w:p>
        </w:tc>
        <w:tc>
          <w:tcPr>
            <w:tcW w:w="760" w:type="dxa"/>
            <w:vAlign w:val="bottom"/>
            <w:gridSpan w:val="3"/>
          </w:tcPr>
          <w:p>
            <w:pPr>
              <w:jc w:val="right"/>
              <w:ind w:right="446"/>
              <w:spacing w:after="0"/>
              <w:rPr>
                <w:sz w:val="20"/>
                <w:szCs w:val="20"/>
                <w:color w:val="auto"/>
              </w:rPr>
            </w:pPr>
            <w:r>
              <w:rPr>
                <w:rFonts w:ascii="Arial" w:cs="Arial" w:eastAsia="Arial" w:hAnsi="Arial"/>
                <w:sz w:val="19"/>
                <w:szCs w:val="19"/>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9"/>
                <w:szCs w:val="19"/>
                <w:color w:val="auto"/>
              </w:rPr>
              <w:t>(0.9)</w:t>
            </w:r>
          </w:p>
        </w:tc>
        <w:tc>
          <w:tcPr>
            <w:tcW w:w="140" w:type="dxa"/>
            <w:vAlign w:val="bottom"/>
            <w:gridSpan w:val="3"/>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(145.8)</w:t>
            </w:r>
          </w:p>
        </w:tc>
        <w:tc>
          <w:tcPr>
            <w:tcW w:w="0" w:type="dxa"/>
            <w:vAlign w:val="bottom"/>
          </w:tcPr>
          <w:p>
            <w:pPr>
              <w:spacing w:after="0"/>
              <w:rPr>
                <w:sz w:val="1"/>
                <w:szCs w:val="1"/>
                <w:color w:val="auto"/>
              </w:rPr>
            </w:pPr>
          </w:p>
        </w:tc>
      </w:tr>
      <w:tr>
        <w:trPr>
          <w:trHeight w:val="207"/>
        </w:trPr>
        <w:tc>
          <w:tcPr>
            <w:tcW w:w="6080" w:type="dxa"/>
            <w:vAlign w:val="bottom"/>
            <w:shd w:val="clear" w:color="auto" w:fill="CFF2FA"/>
          </w:tcPr>
          <w:p>
            <w:pPr>
              <w:spacing w:after="0" w:line="207" w:lineRule="exact"/>
              <w:rPr>
                <w:sz w:val="20"/>
                <w:szCs w:val="20"/>
                <w:color w:val="auto"/>
              </w:rPr>
            </w:pPr>
            <w:r>
              <w:rPr>
                <w:rFonts w:ascii="Arial" w:cs="Arial" w:eastAsia="Arial" w:hAnsi="Arial"/>
                <w:sz w:val="19"/>
                <w:szCs w:val="19"/>
                <w:color w:val="auto"/>
              </w:rPr>
              <w:t>Other comprehensive loss before</w:t>
            </w:r>
          </w:p>
        </w:tc>
        <w:tc>
          <w:tcPr>
            <w:tcW w:w="140" w:type="dxa"/>
            <w:vAlign w:val="bottom"/>
            <w:shd w:val="clear" w:color="auto" w:fill="CFF2FA"/>
          </w:tcPr>
          <w:p>
            <w:pPr>
              <w:spacing w:after="0"/>
              <w:rPr>
                <w:sz w:val="18"/>
                <w:szCs w:val="18"/>
                <w:color w:val="auto"/>
              </w:rPr>
            </w:pPr>
          </w:p>
        </w:tc>
        <w:tc>
          <w:tcPr>
            <w:tcW w:w="134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4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640" w:type="dxa"/>
            <w:vAlign w:val="bottom"/>
            <w:shd w:val="clear" w:color="auto" w:fill="CFF2FA"/>
          </w:tcPr>
          <w:p>
            <w:pPr>
              <w:spacing w:after="0"/>
              <w:rPr>
                <w:sz w:val="18"/>
                <w:szCs w:val="18"/>
                <w:color w:val="auto"/>
              </w:rPr>
            </w:pPr>
          </w:p>
        </w:tc>
        <w:tc>
          <w:tcPr>
            <w:tcW w:w="860" w:type="dxa"/>
            <w:vAlign w:val="bottom"/>
            <w:shd w:val="clear" w:color="auto" w:fill="CFF2FA"/>
          </w:tcPr>
          <w:p>
            <w:pPr>
              <w:spacing w:after="0"/>
              <w:rPr>
                <w:sz w:val="18"/>
                <w:szCs w:val="18"/>
                <w:color w:val="auto"/>
              </w:rPr>
            </w:pPr>
          </w:p>
        </w:tc>
        <w:tc>
          <w:tcPr>
            <w:tcW w:w="260" w:type="dxa"/>
            <w:vAlign w:val="bottom"/>
            <w:tcBorders>
              <w:left w:val="single" w:sz="8" w:color="CFF2FA"/>
            </w:tcBorders>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2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c>
          <w:tcPr>
            <w:tcW w:w="138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shd w:val="clear" w:color="auto" w:fill="CFF2FA"/>
          </w:tcPr>
          <w:p>
            <w:pPr>
              <w:ind w:left="140"/>
              <w:spacing w:after="0"/>
              <w:rPr>
                <w:sz w:val="20"/>
                <w:szCs w:val="20"/>
                <w:color w:val="auto"/>
              </w:rPr>
            </w:pPr>
            <w:r>
              <w:rPr>
                <w:rFonts w:ascii="Arial" w:cs="Arial" w:eastAsia="Arial" w:hAnsi="Arial"/>
                <w:sz w:val="19"/>
                <w:szCs w:val="19"/>
                <w:color w:val="auto"/>
              </w:rPr>
              <w:t>reclassifications, net of tax</w:t>
            </w:r>
          </w:p>
        </w:tc>
        <w:tc>
          <w:tcPr>
            <w:tcW w:w="140" w:type="dxa"/>
            <w:vAlign w:val="bottom"/>
            <w:shd w:val="clear" w:color="auto" w:fill="CFF2FA"/>
          </w:tcPr>
          <w:p>
            <w:pPr>
              <w:spacing w:after="0"/>
              <w:rPr>
                <w:sz w:val="20"/>
                <w:szCs w:val="20"/>
                <w:color w:val="auto"/>
              </w:rPr>
            </w:pPr>
          </w:p>
        </w:tc>
        <w:tc>
          <w:tcPr>
            <w:tcW w:w="1500" w:type="dxa"/>
            <w:vAlign w:val="bottom"/>
            <w:gridSpan w:val="3"/>
            <w:shd w:val="clear" w:color="auto" w:fill="CFF2FA"/>
          </w:tcPr>
          <w:p>
            <w:pPr>
              <w:jc w:val="right"/>
              <w:ind w:right="16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640" w:type="dxa"/>
            <w:vAlign w:val="bottom"/>
            <w:shd w:val="clear" w:color="auto" w:fill="CFF2FA"/>
          </w:tcPr>
          <w:p>
            <w:pPr>
              <w:spacing w:after="0"/>
              <w:rPr>
                <w:sz w:val="20"/>
                <w:szCs w:val="20"/>
                <w:color w:val="auto"/>
              </w:rPr>
            </w:pPr>
          </w:p>
        </w:tc>
        <w:tc>
          <w:tcPr>
            <w:tcW w:w="1120" w:type="dxa"/>
            <w:vAlign w:val="bottom"/>
            <w:gridSpan w:val="2"/>
            <w:shd w:val="clear" w:color="auto" w:fill="CFF2FA"/>
          </w:tcPr>
          <w:p>
            <w:pPr>
              <w:jc w:val="right"/>
              <w:ind w:right="180"/>
              <w:spacing w:after="0"/>
              <w:rPr>
                <w:sz w:val="20"/>
                <w:szCs w:val="20"/>
                <w:color w:val="auto"/>
              </w:rPr>
            </w:pPr>
            <w:r>
              <w:rPr>
                <w:rFonts w:ascii="Arial" w:cs="Arial" w:eastAsia="Arial" w:hAnsi="Arial"/>
                <w:sz w:val="19"/>
                <w:szCs w:val="19"/>
                <w:color w:val="auto"/>
              </w:rPr>
              <w:t>(0.8)</w:t>
            </w:r>
          </w:p>
        </w:tc>
        <w:tc>
          <w:tcPr>
            <w:tcW w:w="20" w:type="dxa"/>
            <w:vAlign w:val="bottom"/>
            <w:shd w:val="clear" w:color="auto" w:fill="CFF2FA"/>
          </w:tcPr>
          <w:p>
            <w:pPr>
              <w:spacing w:after="0"/>
              <w:rPr>
                <w:sz w:val="20"/>
                <w:szCs w:val="20"/>
                <w:color w:val="auto"/>
              </w:rPr>
            </w:pPr>
          </w:p>
        </w:tc>
        <w:tc>
          <w:tcPr>
            <w:tcW w:w="20" w:type="dxa"/>
            <w:vAlign w:val="bottom"/>
            <w:shd w:val="clear" w:color="auto" w:fill="CFF2FA"/>
          </w:tcPr>
          <w:p>
            <w:pPr>
              <w:spacing w:after="0"/>
              <w:rPr>
                <w:sz w:val="20"/>
                <w:szCs w:val="20"/>
                <w:color w:val="auto"/>
              </w:rPr>
            </w:pPr>
          </w:p>
        </w:tc>
        <w:tc>
          <w:tcPr>
            <w:tcW w:w="100" w:type="dxa"/>
            <w:vAlign w:val="bottom"/>
            <w:shd w:val="clear" w:color="auto" w:fill="CFF2FA"/>
          </w:tcPr>
          <w:p>
            <w:pPr>
              <w:spacing w:after="0"/>
              <w:rPr>
                <w:sz w:val="20"/>
                <w:szCs w:val="20"/>
                <w:color w:val="auto"/>
              </w:rPr>
            </w:pPr>
          </w:p>
        </w:tc>
        <w:tc>
          <w:tcPr>
            <w:tcW w:w="1500" w:type="dxa"/>
            <w:vAlign w:val="bottom"/>
            <w:gridSpan w:val="2"/>
            <w:shd w:val="clear" w:color="auto" w:fill="CFF2FA"/>
          </w:tcPr>
          <w:p>
            <w:pPr>
              <w:jc w:val="right"/>
              <w:ind w:right="60"/>
              <w:spacing w:after="0"/>
              <w:rPr>
                <w:sz w:val="20"/>
                <w:szCs w:val="20"/>
                <w:color w:val="auto"/>
              </w:rPr>
            </w:pPr>
            <w:r>
              <w:rPr>
                <w:rFonts w:ascii="Arial" w:cs="Arial" w:eastAsia="Arial" w:hAnsi="Arial"/>
                <w:sz w:val="19"/>
                <w:szCs w:val="19"/>
                <w:color w:val="auto"/>
              </w:rPr>
              <w:t>(0.8)</w:t>
            </w:r>
          </w:p>
        </w:tc>
        <w:tc>
          <w:tcPr>
            <w:tcW w:w="0" w:type="dxa"/>
            <w:vAlign w:val="bottom"/>
          </w:tcPr>
          <w:p>
            <w:pPr>
              <w:spacing w:after="0"/>
              <w:rPr>
                <w:sz w:val="1"/>
                <w:szCs w:val="1"/>
                <w:color w:val="auto"/>
              </w:rPr>
            </w:pPr>
          </w:p>
        </w:tc>
      </w:tr>
      <w:tr>
        <w:trPr>
          <w:trHeight w:val="207"/>
        </w:trPr>
        <w:tc>
          <w:tcPr>
            <w:tcW w:w="6080" w:type="dxa"/>
            <w:vAlign w:val="bottom"/>
          </w:tcPr>
          <w:p>
            <w:pPr>
              <w:spacing w:after="0" w:line="207" w:lineRule="exact"/>
              <w:rPr>
                <w:sz w:val="20"/>
                <w:szCs w:val="20"/>
                <w:color w:val="auto"/>
              </w:rPr>
            </w:pPr>
            <w:r>
              <w:rPr>
                <w:rFonts w:ascii="Arial" w:cs="Arial" w:eastAsia="Arial" w:hAnsi="Arial"/>
                <w:sz w:val="19"/>
                <w:szCs w:val="19"/>
                <w:color w:val="auto"/>
              </w:rPr>
              <w:t>Amounts reclassified from accumulated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FF2FA"/>
            </w:tcBorders>
          </w:tcPr>
          <w:p>
            <w:pPr>
              <w:ind w:left="140"/>
              <w:spacing w:after="0"/>
              <w:rPr>
                <w:sz w:val="20"/>
                <w:szCs w:val="20"/>
                <w:color w:val="auto"/>
              </w:rPr>
            </w:pPr>
            <w:r>
              <w:rPr>
                <w:rFonts w:ascii="Arial" w:cs="Arial" w:eastAsia="Arial" w:hAnsi="Arial"/>
                <w:sz w:val="19"/>
                <w:szCs w:val="19"/>
                <w:color w:val="auto"/>
              </w:rPr>
              <w:t>other comprehensive loss, net of tax</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8.0</w:t>
            </w:r>
          </w:p>
        </w:tc>
        <w:tc>
          <w:tcPr>
            <w:tcW w:w="140" w:type="dxa"/>
            <w:vAlign w:val="bottom"/>
            <w:tcBorders>
              <w:bottom w:val="single" w:sz="8" w:color="CFF2FA"/>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c>
          <w:tcPr>
            <w:tcW w:w="20" w:type="dxa"/>
            <w:vAlign w:val="bottom"/>
            <w:tcBorders>
              <w:bottom w:val="single" w:sz="8" w:color="CFF2FA"/>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60" w:type="dxa"/>
            <w:vAlign w:val="bottom"/>
            <w:tcBorders>
              <w:bottom w:val="single" w:sz="8" w:color="CFF2FA"/>
            </w:tcBorders>
          </w:tcPr>
          <w:p>
            <w:pPr>
              <w:spacing w:after="0"/>
              <w:rPr>
                <w:sz w:val="20"/>
                <w:szCs w:val="20"/>
                <w:color w:val="auto"/>
              </w:rPr>
            </w:pPr>
          </w:p>
        </w:tc>
        <w:tc>
          <w:tcPr>
            <w:tcW w:w="20" w:type="dxa"/>
            <w:vAlign w:val="bottom"/>
            <w:tcBorders>
              <w:bottom w:val="single" w:sz="8" w:color="CFF2FA"/>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w:t>
            </w:r>
          </w:p>
        </w:tc>
        <w:tc>
          <w:tcPr>
            <w:tcW w:w="120" w:type="dxa"/>
            <w:vAlign w:val="bottom"/>
            <w:tcBorders>
              <w:bottom w:val="single" w:sz="8" w:color="CFF2FA"/>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shd w:val="clear" w:color="auto" w:fill="CFF2FA"/>
          </w:tcPr>
          <w:p>
            <w:pPr>
              <w:spacing w:after="0"/>
              <w:rPr>
                <w:sz w:val="20"/>
                <w:szCs w:val="20"/>
                <w:color w:val="auto"/>
              </w:rPr>
            </w:pPr>
            <w:r>
              <w:rPr>
                <w:rFonts w:ascii="Arial" w:cs="Arial" w:eastAsia="Arial" w:hAnsi="Arial"/>
                <w:sz w:val="19"/>
                <w:szCs w:val="19"/>
                <w:color w:val="auto"/>
              </w:rPr>
              <w:t>Other comprehensive earnings (loss), net of tax</w:t>
            </w:r>
          </w:p>
        </w:tc>
        <w:tc>
          <w:tcPr>
            <w:tcW w:w="140" w:type="dxa"/>
            <w:vAlign w:val="bottom"/>
            <w:shd w:val="clear" w:color="auto" w:fill="CFF2FA"/>
          </w:tcPr>
          <w:p>
            <w:pPr>
              <w:spacing w:after="0"/>
              <w:rPr>
                <w:sz w:val="19"/>
                <w:szCs w:val="19"/>
                <w:color w:val="auto"/>
              </w:rPr>
            </w:pPr>
          </w:p>
        </w:tc>
        <w:tc>
          <w:tcPr>
            <w:tcW w:w="1360" w:type="dxa"/>
            <w:vAlign w:val="bottom"/>
            <w:gridSpan w:val="2"/>
            <w:shd w:val="clear" w:color="auto" w:fill="CFF2FA"/>
          </w:tcPr>
          <w:p>
            <w:pPr>
              <w:jc w:val="right"/>
              <w:ind w:right="20"/>
              <w:spacing w:after="0"/>
              <w:rPr>
                <w:sz w:val="20"/>
                <w:szCs w:val="20"/>
                <w:color w:val="auto"/>
              </w:rPr>
            </w:pPr>
            <w:r>
              <w:rPr>
                <w:rFonts w:ascii="Arial" w:cs="Arial" w:eastAsia="Arial" w:hAnsi="Arial"/>
                <w:sz w:val="19"/>
                <w:szCs w:val="19"/>
                <w:color w:val="auto"/>
              </w:rPr>
              <w:t>8.0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640" w:type="dxa"/>
            <w:vAlign w:val="bottom"/>
            <w:shd w:val="clear" w:color="auto" w:fill="CFF2FA"/>
          </w:tcPr>
          <w:p>
            <w:pPr>
              <w:spacing w:after="0"/>
              <w:rPr>
                <w:sz w:val="19"/>
                <w:szCs w:val="19"/>
                <w:color w:val="auto"/>
              </w:rPr>
            </w:pPr>
          </w:p>
        </w:tc>
        <w:tc>
          <w:tcPr>
            <w:tcW w:w="1120" w:type="dxa"/>
            <w:vAlign w:val="bottom"/>
            <w:gridSpan w:val="2"/>
            <w:shd w:val="clear" w:color="auto" w:fill="CFF2FA"/>
          </w:tcPr>
          <w:p>
            <w:pPr>
              <w:jc w:val="right"/>
              <w:ind w:right="180"/>
              <w:spacing w:after="0"/>
              <w:rPr>
                <w:sz w:val="20"/>
                <w:szCs w:val="20"/>
                <w:color w:val="auto"/>
              </w:rPr>
            </w:pPr>
            <w:r>
              <w:rPr>
                <w:rFonts w:ascii="Arial" w:cs="Arial" w:eastAsia="Arial" w:hAnsi="Arial"/>
                <w:sz w:val="19"/>
                <w:szCs w:val="19"/>
                <w:color w:val="auto"/>
              </w:rPr>
              <w:t>(0.8)</w:t>
            </w:r>
          </w:p>
        </w:tc>
        <w:tc>
          <w:tcPr>
            <w:tcW w:w="2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380" w:type="dxa"/>
            <w:vAlign w:val="bottom"/>
            <w:shd w:val="clear" w:color="auto" w:fill="CFF2FA"/>
          </w:tcPr>
          <w:p>
            <w:pPr>
              <w:jc w:val="right"/>
              <w:spacing w:after="0"/>
              <w:rPr>
                <w:sz w:val="20"/>
                <w:szCs w:val="20"/>
                <w:color w:val="auto"/>
              </w:rPr>
            </w:pPr>
            <w:r>
              <w:rPr>
                <w:rFonts w:ascii="Arial" w:cs="Arial" w:eastAsia="Arial" w:hAnsi="Arial"/>
                <w:sz w:val="19"/>
                <w:szCs w:val="19"/>
                <w:color w:val="auto"/>
              </w:rPr>
              <w:t>7.2</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9"/>
                <w:szCs w:val="19"/>
                <w:color w:val="auto"/>
              </w:rPr>
              <w:t>Balance at end of period</w:t>
            </w:r>
          </w:p>
        </w:tc>
        <w:tc>
          <w:tcPr>
            <w:tcW w:w="14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00" w:type="dxa"/>
            <w:vAlign w:val="bottom"/>
            <w:gridSpan w:val="3"/>
          </w:tcPr>
          <w:p>
            <w:pPr>
              <w:jc w:val="right"/>
              <w:ind w:right="80"/>
              <w:spacing w:after="0"/>
              <w:rPr>
                <w:sz w:val="20"/>
                <w:szCs w:val="20"/>
                <w:color w:val="auto"/>
              </w:rPr>
            </w:pPr>
            <w:r>
              <w:rPr>
                <w:rFonts w:ascii="Arial" w:cs="Arial" w:eastAsia="Arial" w:hAnsi="Arial"/>
                <w:sz w:val="19"/>
                <w:szCs w:val="19"/>
                <w:color w:val="auto"/>
              </w:rPr>
              <w:t>(136.9)</w:t>
            </w:r>
          </w:p>
        </w:tc>
        <w:tc>
          <w:tcPr>
            <w:tcW w:w="120" w:type="dxa"/>
            <w:vAlign w:val="bottom"/>
            <w:gridSpan w:val="2"/>
            <w:vMerge w:val="continue"/>
          </w:tcPr>
          <w:p>
            <w:pPr>
              <w:spacing w:after="0"/>
              <w:rPr>
                <w:sz w:val="19"/>
                <w:szCs w:val="19"/>
                <w:color w:val="auto"/>
              </w:rPr>
            </w:pPr>
          </w:p>
        </w:tc>
        <w:tc>
          <w:tcPr>
            <w:tcW w:w="640" w:type="dxa"/>
            <w:vAlign w:val="bottom"/>
          </w:tcPr>
          <w:p>
            <w:pPr>
              <w:jc w:val="right"/>
              <w:ind w:right="446"/>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180"/>
              <w:spacing w:after="0"/>
              <w:rPr>
                <w:sz w:val="20"/>
                <w:szCs w:val="20"/>
                <w:color w:val="auto"/>
              </w:rPr>
            </w:pPr>
            <w:r>
              <w:rPr>
                <w:rFonts w:ascii="Arial" w:cs="Arial" w:eastAsia="Arial" w:hAnsi="Arial"/>
                <w:sz w:val="19"/>
                <w:szCs w:val="19"/>
                <w:color w:val="auto"/>
              </w:rPr>
              <w:t>(1.7)</w:t>
            </w:r>
          </w:p>
        </w:tc>
        <w:tc>
          <w:tcPr>
            <w:tcW w:w="2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9"/>
                <w:szCs w:val="19"/>
                <w:color w:val="auto"/>
              </w:rPr>
              <w:t>(138.6)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color w:val="auto"/>
        </w:rPr>
        <w:t>Changes in net noncurrent deferred tax assets related to accumulated other comprehensive loss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11"/>
          </w:tcPr>
          <w:p>
            <w:pPr>
              <w:jc w:val="right"/>
              <w:ind w:right="60"/>
              <w:spacing w:after="0"/>
              <w:rPr>
                <w:sz w:val="20"/>
                <w:szCs w:val="20"/>
                <w:color w:val="auto"/>
              </w:rPr>
            </w:pPr>
            <w:r>
              <w:rPr>
                <w:rFonts w:ascii="Arial" w:cs="Arial" w:eastAsia="Arial" w:hAnsi="Arial"/>
                <w:sz w:val="20"/>
                <w:szCs w:val="20"/>
                <w:color w:val="auto"/>
                <w:w w:val="90"/>
              </w:rPr>
              <w:t>Pension and Postretirement Benefit Plans</w:t>
            </w: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5"/>
          </w:tcPr>
          <w:p>
            <w:pPr>
              <w:jc w:val="right"/>
              <w:ind w:right="3"/>
              <w:spacing w:after="0"/>
              <w:rPr>
                <w:sz w:val="20"/>
                <w:szCs w:val="20"/>
                <w:color w:val="auto"/>
              </w:rPr>
            </w:pPr>
            <w:r>
              <w:rPr>
                <w:rFonts w:ascii="Arial" w:cs="Arial" w:eastAsia="Arial" w:hAnsi="Arial"/>
                <w:sz w:val="20"/>
                <w:szCs w:val="20"/>
                <w:color w:val="auto"/>
                <w:w w:val="87"/>
              </w:rPr>
              <w:t>Three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5"/>
          </w:tcPr>
          <w:p>
            <w:pPr>
              <w:jc w:val="right"/>
              <w:ind w:right="621"/>
              <w:spacing w:after="0"/>
              <w:rPr>
                <w:sz w:val="20"/>
                <w:szCs w:val="20"/>
                <w:color w:val="auto"/>
              </w:rPr>
            </w:pPr>
            <w:r>
              <w:rPr>
                <w:rFonts w:ascii="Arial" w:cs="Arial" w:eastAsia="Arial" w:hAnsi="Arial"/>
                <w:sz w:val="20"/>
                <w:szCs w:val="20"/>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5"/>
          </w:tcPr>
          <w:p>
            <w:pPr>
              <w:jc w:val="right"/>
              <w:ind w:right="263"/>
              <w:spacing w:after="0"/>
              <w:rPr>
                <w:sz w:val="20"/>
                <w:szCs w:val="20"/>
                <w:color w:val="auto"/>
              </w:rPr>
            </w:pPr>
            <w:r>
              <w:rPr>
                <w:rFonts w:ascii="Arial" w:cs="Arial" w:eastAsia="Arial" w:hAnsi="Arial"/>
                <w:sz w:val="20"/>
                <w:szCs w:val="20"/>
                <w:color w:val="auto"/>
              </w:rPr>
              <w:t>September 30,</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20"/>
                <w:szCs w:val="20"/>
                <w:color w:val="auto"/>
                <w:w w:val="94"/>
              </w:rPr>
              <w:t>2021</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20"/>
                <w:szCs w:val="20"/>
                <w:color w:val="auto"/>
              </w:rPr>
              <w:t>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color w:val="auto"/>
              </w:rPr>
              <w:t>2021</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8"/>
          </w:tcPr>
          <w:p>
            <w:pPr>
              <w:jc w:val="right"/>
              <w:ind w:right="860"/>
              <w:spacing w:after="0"/>
              <w:rPr>
                <w:sz w:val="20"/>
                <w:szCs w:val="20"/>
                <w:color w:val="auto"/>
              </w:rPr>
            </w:pPr>
            <w:r>
              <w:rPr>
                <w:rFonts w:ascii="Arial" w:cs="Arial" w:eastAsia="Arial" w:hAnsi="Arial"/>
                <w:sz w:val="20"/>
                <w:szCs w:val="20"/>
                <w:i w:val="1"/>
                <w:iCs w:val="1"/>
                <w:color w:val="auto"/>
              </w:rPr>
              <w:t>(Dollars in Millions)</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720" w:type="dxa"/>
            <w:vAlign w:val="bottom"/>
          </w:tcPr>
          <w:p>
            <w:pPr>
              <w:spacing w:after="0"/>
              <w:rPr>
                <w:sz w:val="20"/>
                <w:szCs w:val="20"/>
                <w:color w:val="auto"/>
              </w:rPr>
            </w:pPr>
            <w:r>
              <w:rPr>
                <w:rFonts w:ascii="Arial" w:cs="Arial" w:eastAsia="Arial" w:hAnsi="Arial"/>
                <w:sz w:val="20"/>
                <w:szCs w:val="20"/>
                <w:color w:val="auto"/>
                <w:w w:val="99"/>
              </w:rPr>
              <w:t>Balance at beginning of period</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143"/>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87.9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6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20"/>
                <w:szCs w:val="20"/>
                <w:color w:val="auto"/>
              </w:rPr>
              <w:t>83.6</w:t>
            </w:r>
          </w:p>
        </w:tc>
        <w:tc>
          <w:tcPr>
            <w:tcW w:w="240" w:type="dxa"/>
            <w:vAlign w:val="bottom"/>
          </w:tcPr>
          <w:p>
            <w:pPr>
              <w:spacing w:after="0"/>
              <w:rPr>
                <w:sz w:val="21"/>
                <w:szCs w:val="21"/>
                <w:color w:val="auto"/>
              </w:rPr>
            </w:pPr>
          </w:p>
        </w:tc>
        <w:tc>
          <w:tcPr>
            <w:tcW w:w="240" w:type="dxa"/>
            <w:vAlign w:val="bottom"/>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89.4</w:t>
            </w:r>
          </w:p>
        </w:tc>
        <w:tc>
          <w:tcPr>
            <w:tcW w:w="180" w:type="dxa"/>
            <w:vAlign w:val="bottom"/>
          </w:tcPr>
          <w:p>
            <w:pPr>
              <w:spacing w:after="0"/>
              <w:rPr>
                <w:sz w:val="21"/>
                <w:szCs w:val="21"/>
                <w:color w:val="auto"/>
              </w:rPr>
            </w:pPr>
          </w:p>
        </w:tc>
        <w:tc>
          <w:tcPr>
            <w:tcW w:w="520" w:type="dxa"/>
            <w:vAlign w:val="bottom"/>
            <w:gridSpan w:val="2"/>
          </w:tcPr>
          <w:p>
            <w:pPr>
              <w:jc w:val="right"/>
              <w:ind w:right="26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Tax effect of other comprehensive earnings</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(0.8)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20" w:type="dxa"/>
            <w:vAlign w:val="bottom"/>
            <w:gridSpan w:val="4"/>
            <w:shd w:val="clear" w:color="auto" w:fill="CFF0FC"/>
          </w:tcPr>
          <w:p>
            <w:pPr>
              <w:jc w:val="right"/>
              <w:ind w:right="160"/>
              <w:spacing w:after="0"/>
              <w:rPr>
                <w:sz w:val="20"/>
                <w:szCs w:val="20"/>
                <w:color w:val="auto"/>
              </w:rPr>
            </w:pPr>
            <w:r>
              <w:rPr>
                <w:rFonts w:ascii="Arial" w:cs="Arial" w:eastAsia="Arial" w:hAnsi="Arial"/>
                <w:sz w:val="20"/>
                <w:szCs w:val="20"/>
                <w:color w:val="auto"/>
              </w:rPr>
              <w:t>(1.1)</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(2.3)</w:t>
            </w:r>
          </w:p>
        </w:tc>
        <w:tc>
          <w:tcPr>
            <w:tcW w:w="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r>
              <w:rPr>
                <w:rFonts w:ascii="Arial" w:cs="Arial" w:eastAsia="Arial" w:hAnsi="Arial"/>
                <w:sz w:val="20"/>
                <w:szCs w:val="20"/>
                <w:color w:val="auto"/>
              </w:rPr>
              <w:t>Balance at end of period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82.5</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gridSpan w:val="8"/>
            <w:vMerge w:val="restart"/>
          </w:tcPr>
          <w:p>
            <w:pPr>
              <w:ind w:left="280"/>
              <w:spacing w:after="0"/>
              <w:rPr>
                <w:sz w:val="20"/>
                <w:szCs w:val="20"/>
                <w:color w:val="auto"/>
              </w:rPr>
            </w:pPr>
            <w:r>
              <w:rPr>
                <w:rFonts w:ascii="Arial" w:cs="Arial" w:eastAsia="Arial" w:hAnsi="Arial"/>
                <w:sz w:val="20"/>
                <w:szCs w:val="20"/>
                <w:color w:val="auto"/>
                <w:w w:val="88"/>
              </w:rPr>
              <w:t>Reclassifications out of accumulated other comprehensive</w:t>
            </w: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60" w:type="dxa"/>
            <w:vAlign w:val="bottom"/>
            <w:gridSpan w:val="8"/>
            <w:vMerge w:val="continue"/>
          </w:tcPr>
          <w:p>
            <w:pPr>
              <w:spacing w:after="0"/>
              <w:rPr>
                <w:sz w:val="20"/>
                <w:szCs w:val="20"/>
                <w:color w:val="auto"/>
              </w:rPr>
            </w:pPr>
          </w:p>
        </w:tc>
        <w:tc>
          <w:tcPr>
            <w:tcW w:w="1620" w:type="dxa"/>
            <w:vAlign w:val="bottom"/>
            <w:gridSpan w:val="7"/>
          </w:tcPr>
          <w:p>
            <w:pPr>
              <w:jc w:val="right"/>
              <w:ind w:right="20"/>
              <w:spacing w:after="0"/>
              <w:rPr>
                <w:sz w:val="20"/>
                <w:szCs w:val="20"/>
                <w:color w:val="auto"/>
              </w:rPr>
            </w:pPr>
            <w:r>
              <w:rPr>
                <w:rFonts w:ascii="Arial" w:cs="Arial" w:eastAsia="Arial" w:hAnsi="Arial"/>
                <w:sz w:val="20"/>
                <w:szCs w:val="20"/>
                <w:color w:val="auto"/>
                <w:w w:val="93"/>
              </w:rPr>
              <w:t>loss are as follows: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7"/>
          </w:tcPr>
          <w:p>
            <w:pPr>
              <w:jc w:val="right"/>
              <w:ind w:right="420"/>
              <w:spacing w:after="0"/>
              <w:rPr>
                <w:sz w:val="20"/>
                <w:szCs w:val="20"/>
                <w:color w:val="auto"/>
              </w:rPr>
            </w:pPr>
            <w:r>
              <w:rPr>
                <w:rFonts w:ascii="Arial" w:cs="Arial" w:eastAsia="Arial" w:hAnsi="Arial"/>
                <w:sz w:val="19"/>
                <w:szCs w:val="19"/>
                <w:color w:val="auto"/>
                <w:w w:val="94"/>
              </w:rPr>
              <w:t>Three Months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center"/>
              <w:ind w:left="144"/>
              <w:spacing w:after="0"/>
              <w:rPr>
                <w:sz w:val="20"/>
                <w:szCs w:val="20"/>
                <w:color w:val="auto"/>
              </w:rPr>
            </w:pPr>
            <w:r>
              <w:rPr>
                <w:rFonts w:ascii="Arial" w:cs="Arial" w:eastAsia="Arial" w:hAnsi="Arial"/>
                <w:sz w:val="19"/>
                <w:szCs w:val="19"/>
                <w:color w:val="auto"/>
                <w:w w:val="91"/>
              </w:rPr>
              <w:t>Nine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gridSpan w:val="6"/>
          </w:tcPr>
          <w:p>
            <w:pPr>
              <w:jc w:val="center"/>
              <w:ind w:right="500"/>
              <w:spacing w:after="0"/>
              <w:rPr>
                <w:sz w:val="20"/>
                <w:szCs w:val="20"/>
                <w:color w:val="auto"/>
              </w:rPr>
            </w:pPr>
            <w:r>
              <w:rPr>
                <w:rFonts w:ascii="Arial" w:cs="Arial" w:eastAsia="Arial" w:hAnsi="Arial"/>
                <w:sz w:val="19"/>
                <w:szCs w:val="19"/>
                <w:color w:val="auto"/>
                <w:w w:val="92"/>
              </w:rPr>
              <w:t>Affected line items in the</w:t>
            </w: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7"/>
          </w:tcPr>
          <w:p>
            <w:pPr>
              <w:jc w:val="right"/>
              <w:ind w:right="660"/>
              <w:spacing w:after="0"/>
              <w:rPr>
                <w:sz w:val="20"/>
                <w:szCs w:val="20"/>
                <w:color w:val="auto"/>
              </w:rPr>
            </w:pPr>
            <w:r>
              <w:rPr>
                <w:rFonts w:ascii="Arial" w:cs="Arial" w:eastAsia="Arial" w:hAnsi="Arial"/>
                <w:sz w:val="19"/>
                <w:szCs w:val="19"/>
                <w:color w:val="auto"/>
              </w:rPr>
              <w:t>September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5"/>
          </w:tcPr>
          <w:p>
            <w:pPr>
              <w:jc w:val="center"/>
              <w:ind w:left="144"/>
              <w:spacing w:after="0"/>
              <w:rPr>
                <w:sz w:val="20"/>
                <w:szCs w:val="20"/>
                <w:color w:val="auto"/>
              </w:rPr>
            </w:pPr>
            <w:r>
              <w:rPr>
                <w:rFonts w:ascii="Arial" w:cs="Arial" w:eastAsia="Arial" w:hAnsi="Arial"/>
                <w:sz w:val="19"/>
                <w:szCs w:val="19"/>
                <w:color w:val="auto"/>
                <w:w w:val="86"/>
              </w:rPr>
              <w:t>September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7"/>
          </w:tcPr>
          <w:p>
            <w:pPr>
              <w:jc w:val="center"/>
              <w:ind w:right="240"/>
              <w:spacing w:after="0"/>
              <w:rPr>
                <w:sz w:val="20"/>
                <w:szCs w:val="20"/>
                <w:color w:val="auto"/>
              </w:rPr>
            </w:pPr>
            <w:r>
              <w:rPr>
                <w:rFonts w:ascii="Arial" w:cs="Arial" w:eastAsia="Arial" w:hAnsi="Arial"/>
                <w:sz w:val="19"/>
                <w:szCs w:val="19"/>
                <w:color w:val="auto"/>
                <w:w w:val="88"/>
              </w:rPr>
              <w:t>consolidated statements of earnings</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9"/>
                <w:szCs w:val="19"/>
                <w:color w:val="auto"/>
              </w:rPr>
              <w:t>2021</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ind w:right="223"/>
              <w:spacing w:after="0"/>
              <w:rPr>
                <w:sz w:val="20"/>
                <w:szCs w:val="20"/>
                <w:color w:val="auto"/>
              </w:rPr>
            </w:pPr>
            <w:r>
              <w:rPr>
                <w:rFonts w:ascii="Arial" w:cs="Arial" w:eastAsia="Arial" w:hAnsi="Arial"/>
                <w:sz w:val="19"/>
                <w:szCs w:val="19"/>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9"/>
                <w:szCs w:val="19"/>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3"/>
          </w:tcPr>
          <w:p>
            <w:pPr>
              <w:jc w:val="right"/>
              <w:ind w:right="224"/>
              <w:spacing w:after="0"/>
              <w:rPr>
                <w:sz w:val="20"/>
                <w:szCs w:val="20"/>
                <w:color w:val="auto"/>
              </w:rPr>
            </w:pPr>
            <w:r>
              <w:rPr>
                <w:rFonts w:ascii="Arial" w:cs="Arial" w:eastAsia="Arial" w:hAnsi="Arial"/>
                <w:sz w:val="19"/>
                <w:szCs w:val="19"/>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9"/>
                <w:szCs w:val="19"/>
                <w:color w:val="auto"/>
                <w:w w:val="87"/>
              </w:rPr>
              <w:t>and comprehensive earnings</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8"/>
          </w:tcPr>
          <w:p>
            <w:pPr>
              <w:jc w:val="right"/>
              <w:ind w:right="380"/>
              <w:spacing w:after="0"/>
              <w:rPr>
                <w:sz w:val="20"/>
                <w:szCs w:val="20"/>
                <w:color w:val="auto"/>
              </w:rPr>
            </w:pPr>
            <w:r>
              <w:rPr>
                <w:rFonts w:ascii="Arial" w:cs="Arial" w:eastAsia="Arial" w:hAnsi="Arial"/>
                <w:sz w:val="19"/>
                <w:szCs w:val="19"/>
                <w:i w:val="1"/>
                <w:iCs w:val="1"/>
                <w:color w:val="auto"/>
              </w:rPr>
              <w:t>(Dollars in Millions)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72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Pension and postretirement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20" w:type="dxa"/>
            <w:vAlign w:val="bottom"/>
            <w:shd w:val="clear" w:color="auto" w:fill="CFF0FC"/>
          </w:tcPr>
          <w:p>
            <w:pPr>
              <w:ind w:left="140"/>
              <w:spacing w:after="0"/>
              <w:rPr>
                <w:sz w:val="20"/>
                <w:szCs w:val="20"/>
                <w:color w:val="auto"/>
              </w:rPr>
            </w:pPr>
            <w:r>
              <w:rPr>
                <w:rFonts w:ascii="Arial" w:cs="Arial" w:eastAsia="Arial" w:hAnsi="Arial"/>
                <w:sz w:val="19"/>
                <w:szCs w:val="19"/>
                <w:color w:val="auto"/>
              </w:rPr>
              <w:t>benefit plans</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60"/>
              <w:spacing w:after="0"/>
              <w:rPr>
                <w:sz w:val="20"/>
                <w:szCs w:val="20"/>
                <w:color w:val="auto"/>
              </w:rPr>
            </w:pPr>
            <w:r>
              <w:rPr>
                <w:rFonts w:ascii="Arial" w:cs="Arial" w:eastAsia="Arial" w:hAnsi="Arial"/>
                <w:sz w:val="19"/>
                <w:szCs w:val="19"/>
                <w:color w:val="auto"/>
              </w:rPr>
              <w:t>Amortization of:</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ind w:left="500"/>
              <w:spacing w:after="0"/>
              <w:rPr>
                <w:sz w:val="20"/>
                <w:szCs w:val="20"/>
                <w:color w:val="auto"/>
              </w:rPr>
            </w:pPr>
            <w:r>
              <w:rPr>
                <w:rFonts w:ascii="Arial" w:cs="Arial" w:eastAsia="Arial" w:hAnsi="Arial"/>
                <w:sz w:val="19"/>
                <w:szCs w:val="19"/>
                <w:color w:val="auto"/>
              </w:rPr>
              <w:t>Prior service credit</w:t>
            </w:r>
          </w:p>
        </w:tc>
        <w:tc>
          <w:tcPr>
            <w:tcW w:w="460" w:type="dxa"/>
            <w:vAlign w:val="bottom"/>
            <w:gridSpan w:val="2"/>
            <w:shd w:val="clear" w:color="auto" w:fill="CFF0FC"/>
          </w:tcPr>
          <w:p>
            <w:pPr>
              <w:jc w:val="right"/>
              <w:ind w:right="27"/>
              <w:spacing w:after="0"/>
              <w:rPr>
                <w:sz w:val="20"/>
                <w:szCs w:val="20"/>
                <w:color w:val="auto"/>
              </w:rPr>
            </w:pPr>
            <w:r>
              <w:rPr>
                <w:rFonts w:ascii="Arial" w:cs="Arial" w:eastAsia="Arial" w:hAnsi="Arial"/>
                <w:sz w:val="19"/>
                <w:szCs w:val="19"/>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9"/>
                <w:szCs w:val="19"/>
                <w:color w:val="auto"/>
              </w:rPr>
              <w:t>—</w:t>
            </w:r>
          </w:p>
        </w:tc>
        <w:tc>
          <w:tcPr>
            <w:tcW w:w="280" w:type="dxa"/>
            <w:vAlign w:val="bottom"/>
            <w:gridSpan w:val="2"/>
            <w:shd w:val="clear" w:color="auto" w:fill="CFF0FC"/>
          </w:tcPr>
          <w:p>
            <w:pPr>
              <w:jc w:val="right"/>
              <w:ind w:right="6"/>
              <w:spacing w:after="0"/>
              <w:rPr>
                <w:sz w:val="20"/>
                <w:szCs w:val="20"/>
                <w:color w:val="auto"/>
              </w:rPr>
            </w:pPr>
            <w:r>
              <w:rPr>
                <w:rFonts w:ascii="Arial" w:cs="Arial" w:eastAsia="Arial" w:hAnsi="Arial"/>
                <w:sz w:val="19"/>
                <w:szCs w:val="19"/>
                <w:color w:val="auto"/>
              </w:rPr>
              <w:t>$</w:t>
            </w:r>
          </w:p>
        </w:tc>
        <w:tc>
          <w:tcPr>
            <w:tcW w:w="4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9"/>
                <w:szCs w:val="19"/>
                <w:color w:val="auto"/>
              </w:rPr>
              <w:t>—</w:t>
            </w:r>
          </w:p>
        </w:tc>
        <w:tc>
          <w:tcPr>
            <w:tcW w:w="800" w:type="dxa"/>
            <w:vAlign w:val="bottom"/>
            <w:gridSpan w:val="2"/>
            <w:shd w:val="clear" w:color="auto" w:fill="CFF0FC"/>
          </w:tcPr>
          <w:p>
            <w:pPr>
              <w:jc w:val="right"/>
              <w:ind w:right="443"/>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rPr>
              <w:t>(0.1)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500"/>
              <w:spacing w:after="0"/>
              <w:rPr>
                <w:sz w:val="20"/>
                <w:szCs w:val="20"/>
                <w:color w:val="auto"/>
              </w:rPr>
            </w:pPr>
            <w:r>
              <w:rPr>
                <w:rFonts w:ascii="Arial" w:cs="Arial" w:eastAsia="Arial" w:hAnsi="Arial"/>
                <w:sz w:val="19"/>
                <w:szCs w:val="19"/>
                <w:color w:val="auto"/>
              </w:rPr>
              <w:t>Actuarial loss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9"/>
                <w:szCs w:val="19"/>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11"/>
          </w:tcPr>
          <w:p>
            <w:pPr>
              <w:jc w:val="right"/>
              <w:ind w:right="980"/>
              <w:spacing w:after="0"/>
              <w:rPr>
                <w:sz w:val="20"/>
                <w:szCs w:val="20"/>
                <w:color w:val="auto"/>
              </w:rPr>
            </w:pPr>
            <w:r>
              <w:rPr>
                <w:rFonts w:ascii="Arial" w:cs="Arial" w:eastAsia="Arial" w:hAnsi="Arial"/>
                <w:sz w:val="19"/>
                <w:szCs w:val="19"/>
                <w:color w:val="auto"/>
                <w:w w:val="92"/>
              </w:rPr>
              <w:t>10.8   Other nonoperating income, net</w:t>
            </w: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4.2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9.1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6"/>
              </w:rPr>
              <w:t>10.7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60"/>
              <w:spacing w:after="0"/>
              <w:rPr>
                <w:sz w:val="20"/>
                <w:szCs w:val="20"/>
                <w:color w:val="auto"/>
              </w:rPr>
            </w:pPr>
            <w:r>
              <w:rPr>
                <w:rFonts w:ascii="Arial" w:cs="Arial" w:eastAsia="Arial" w:hAnsi="Arial"/>
                <w:sz w:val="19"/>
                <w:szCs w:val="19"/>
                <w:color w:val="auto"/>
              </w:rPr>
              <w:t>Tax benefit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9"/>
                <w:szCs w:val="19"/>
                <w:color w:val="auto"/>
              </w:rPr>
              <w:t>(0.8)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9"/>
                <w:szCs w:val="19"/>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9"/>
                <w:szCs w:val="19"/>
                <w:color w:val="auto"/>
              </w:rPr>
              <w:t>(2.3)</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0" w:type="dxa"/>
            <w:vAlign w:val="bottom"/>
            <w:gridSpan w:val="7"/>
          </w:tcPr>
          <w:p>
            <w:pPr>
              <w:jc w:val="right"/>
              <w:ind w:right="320"/>
              <w:spacing w:after="0"/>
              <w:rPr>
                <w:sz w:val="20"/>
                <w:szCs w:val="20"/>
                <w:color w:val="auto"/>
              </w:rPr>
            </w:pPr>
            <w:r>
              <w:rPr>
                <w:rFonts w:ascii="Arial" w:cs="Arial" w:eastAsia="Arial" w:hAnsi="Arial"/>
                <w:sz w:val="19"/>
                <w:szCs w:val="19"/>
                <w:color w:val="auto"/>
                <w:w w:val="93"/>
              </w:rPr>
              <w:t>(2.7)  Income tax expense</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9"/>
                <w:szCs w:val="19"/>
                <w:color w:val="auto"/>
              </w:rPr>
              <w:t>6.8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43"/>
              <w:spacing w:after="0"/>
              <w:rPr>
                <w:sz w:val="20"/>
                <w:szCs w:val="20"/>
                <w:color w:val="auto"/>
              </w:rPr>
            </w:pPr>
            <w:r>
              <w:rPr>
                <w:rFonts w:ascii="Arial" w:cs="Arial" w:eastAsia="Arial" w:hAnsi="Arial"/>
                <w:sz w:val="19"/>
                <w:szCs w:val="19"/>
                <w:color w:val="auto"/>
                <w:w w:val="75"/>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Earnings per Common Share</w:t>
      </w:r>
    </w:p>
    <w:p>
      <w:pPr>
        <w:spacing w:after="0" w:line="114" w:lineRule="exact"/>
        <w:rPr>
          <w:sz w:val="20"/>
          <w:szCs w:val="20"/>
          <w:color w:val="auto"/>
        </w:rPr>
      </w:pPr>
    </w:p>
    <w:p>
      <w:pPr>
        <w:jc w:val="both"/>
        <w:ind w:left="2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nine months ended September 30, 2021 and 2020, the diluted per-share computations reflect the number of common shares outstanding to include the number of additional shares that would have been outstanding if the potentially dilutive common shares had been issued.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5"/>
          </w:tcPr>
          <w:p>
            <w:pPr>
              <w:jc w:val="center"/>
              <w:ind w:right="540"/>
              <w:spacing w:after="0"/>
              <w:rPr>
                <w:sz w:val="20"/>
                <w:szCs w:val="20"/>
                <w:color w:val="auto"/>
              </w:rPr>
            </w:pPr>
            <w:r>
              <w:rPr>
                <w:rFonts w:ascii="Arial" w:cs="Arial" w:eastAsia="Arial" w:hAnsi="Arial"/>
                <w:sz w:val="20"/>
                <w:szCs w:val="20"/>
                <w:color w:val="auto"/>
                <w:w w:val="89"/>
              </w:rPr>
              <w:t>Three Months Ended</w:t>
            </w:r>
          </w:p>
        </w:tc>
        <w:tc>
          <w:tcPr>
            <w:tcW w:w="420" w:type="dxa"/>
            <w:vAlign w:val="bottom"/>
          </w:tcPr>
          <w:p>
            <w:pPr>
              <w:spacing w:after="0"/>
              <w:rPr>
                <w:sz w:val="21"/>
                <w:szCs w:val="21"/>
                <w:color w:val="auto"/>
              </w:rPr>
            </w:pPr>
          </w:p>
        </w:tc>
        <w:tc>
          <w:tcPr>
            <w:tcW w:w="2520" w:type="dxa"/>
            <w:vAlign w:val="bottom"/>
            <w:gridSpan w:val="5"/>
          </w:tcPr>
          <w:p>
            <w:pPr>
              <w:ind w:left="200"/>
              <w:spacing w:after="0"/>
              <w:rPr>
                <w:sz w:val="20"/>
                <w:szCs w:val="20"/>
                <w:color w:val="auto"/>
              </w:rPr>
            </w:pPr>
            <w:r>
              <w:rPr>
                <w:rFonts w:ascii="Arial" w:cs="Arial" w:eastAsia="Arial" w:hAnsi="Arial"/>
                <w:sz w:val="20"/>
                <w:szCs w:val="20"/>
                <w:color w:val="auto"/>
              </w:rPr>
              <w:t>Nine Months Ended</w:t>
            </w:r>
          </w:p>
        </w:tc>
      </w:tr>
      <w:tr>
        <w:trPr>
          <w:trHeight w:val="246"/>
        </w:trPr>
        <w:tc>
          <w:tcPr>
            <w:tcW w:w="5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80" w:type="dxa"/>
            <w:vAlign w:val="bottom"/>
            <w:gridSpan w:val="5"/>
          </w:tcPr>
          <w:p>
            <w:pPr>
              <w:jc w:val="center"/>
              <w:ind w:right="520"/>
              <w:spacing w:after="0"/>
              <w:rPr>
                <w:sz w:val="20"/>
                <w:szCs w:val="20"/>
                <w:color w:val="auto"/>
              </w:rPr>
            </w:pPr>
            <w:r>
              <w:rPr>
                <w:rFonts w:ascii="Arial" w:cs="Arial" w:eastAsia="Arial" w:hAnsi="Arial"/>
                <w:sz w:val="20"/>
                <w:szCs w:val="20"/>
                <w:color w:val="auto"/>
                <w:w w:val="86"/>
              </w:rPr>
              <w:t>September 30,</w:t>
            </w:r>
          </w:p>
        </w:tc>
        <w:tc>
          <w:tcPr>
            <w:tcW w:w="4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2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w w:val="89"/>
              </w:rPr>
              <w:t>2021</w:t>
            </w:r>
          </w:p>
        </w:tc>
        <w:tc>
          <w:tcPr>
            <w:tcW w:w="2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w w:val="85"/>
              </w:rPr>
              <w:t>2020</w:t>
            </w:r>
          </w:p>
        </w:tc>
        <w:tc>
          <w:tcPr>
            <w:tcW w:w="100" w:type="dxa"/>
            <w:vAlign w:val="bottom"/>
          </w:tcPr>
          <w:p>
            <w:pPr>
              <w:spacing w:after="0"/>
              <w:rPr>
                <w:sz w:val="20"/>
                <w:szCs w:val="20"/>
                <w:color w:val="auto"/>
              </w:rPr>
            </w:pPr>
          </w:p>
        </w:tc>
      </w:tr>
      <w:tr>
        <w:trPr>
          <w:trHeight w:val="237"/>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20"/>
                <w:szCs w:val="20"/>
                <w:i w:val="1"/>
                <w:iCs w:val="1"/>
                <w:color w:val="auto"/>
              </w:rPr>
              <w:t>(In Millions)</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538.0</w:t>
            </w:r>
          </w:p>
        </w:tc>
        <w:tc>
          <w:tcPr>
            <w:tcW w:w="100" w:type="dxa"/>
            <w:vAlign w:val="bottom"/>
            <w:shd w:val="clear" w:color="auto" w:fill="CFF0FC"/>
          </w:tcPr>
          <w:p>
            <w:pPr>
              <w:spacing w:after="0"/>
              <w:rPr>
                <w:sz w:val="21"/>
                <w:szCs w:val="21"/>
                <w:color w:val="auto"/>
              </w:rPr>
            </w:pPr>
          </w:p>
        </w:tc>
      </w:tr>
      <w:tr>
        <w:trPr>
          <w:trHeight w:val="226"/>
        </w:trPr>
        <w:tc>
          <w:tcPr>
            <w:tcW w:w="524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5240" w:type="dxa"/>
            <w:vAlign w:val="bottom"/>
          </w:tcPr>
          <w:p>
            <w:pPr>
              <w:ind w:left="160"/>
              <w:spacing w:after="0"/>
              <w:rPr>
                <w:sz w:val="20"/>
                <w:szCs w:val="20"/>
                <w:color w:val="auto"/>
              </w:rPr>
            </w:pPr>
            <w:r>
              <w:rPr>
                <w:rFonts w:ascii="Arial" w:cs="Arial" w:eastAsia="Arial" w:hAnsi="Arial"/>
                <w:sz w:val="20"/>
                <w:szCs w:val="20"/>
                <w:color w:val="auto"/>
              </w:rPr>
              <w:t>attributable to unvested awards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0.3</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0.5</w:t>
            </w:r>
          </w:p>
        </w:tc>
        <w:tc>
          <w:tcPr>
            <w:tcW w:w="100" w:type="dxa"/>
            <w:vAlign w:val="bottom"/>
          </w:tcPr>
          <w:p>
            <w:pPr>
              <w:spacing w:after="0"/>
              <w:rPr>
                <w:sz w:val="21"/>
                <w:szCs w:val="21"/>
                <w:color w:val="auto"/>
              </w:rPr>
            </w:pPr>
          </w:p>
        </w:tc>
      </w:tr>
      <w:tr>
        <w:trPr>
          <w:trHeight w:val="220"/>
        </w:trPr>
        <w:tc>
          <w:tcPr>
            <w:tcW w:w="5240" w:type="dxa"/>
            <w:vAlign w:val="bottom"/>
            <w:tcBorders>
              <w:top w:val="single" w:sz="8" w:color="CFF0FC"/>
            </w:tcBorders>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46"/>
        </w:trPr>
        <w:tc>
          <w:tcPr>
            <w:tcW w:w="52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shareholders attributable to Martin Marietta</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294.1</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545.7</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4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537.5</w:t>
            </w:r>
          </w:p>
        </w:tc>
        <w:tc>
          <w:tcPr>
            <w:tcW w:w="100" w:type="dxa"/>
            <w:vAlign w:val="bottom"/>
            <w:shd w:val="clear" w:color="auto" w:fill="CFF0FC"/>
          </w:tcPr>
          <w:p>
            <w:pPr>
              <w:spacing w:after="0"/>
              <w:rPr>
                <w:sz w:val="21"/>
                <w:szCs w:val="2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24"/>
        </w:trPr>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62.3</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0.2</w:t>
            </w:r>
          </w:p>
        </w:tc>
        <w:tc>
          <w:tcPr>
            <w:tcW w:w="240" w:type="dxa"/>
            <w:vAlign w:val="bottom"/>
            <w:tcBorders>
              <w:bottom w:val="single" w:sz="8" w:color="CFF0F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w:t>
            </w:r>
          </w:p>
        </w:tc>
        <w:tc>
          <w:tcPr>
            <w:tcW w:w="100" w:type="dxa"/>
            <w:vAlign w:val="bottom"/>
            <w:tcBorders>
              <w:bottom w:val="single" w:sz="8" w:color="CFF0FC"/>
            </w:tcBorders>
          </w:tcPr>
          <w:p>
            <w:pPr>
              <w:spacing w:after="0"/>
              <w:rPr>
                <w:sz w:val="21"/>
                <w:szCs w:val="21"/>
                <w:color w:val="auto"/>
              </w:rPr>
            </w:pPr>
          </w:p>
        </w:tc>
      </w:tr>
      <w:tr>
        <w:trPr>
          <w:trHeight w:val="220"/>
        </w:trPr>
        <w:tc>
          <w:tcPr>
            <w:tcW w:w="524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Diluted weighted-average common shares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outstanding</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62.6</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Restricted Cash</w:t>
      </w:r>
    </w:p>
    <w:p>
      <w:pPr>
        <w:spacing w:after="0" w:line="114" w:lineRule="exact"/>
        <w:rPr>
          <w:sz w:val="20"/>
          <w:szCs w:val="20"/>
          <w:color w:val="auto"/>
        </w:rPr>
      </w:pPr>
    </w:p>
    <w:p>
      <w:pPr>
        <w:jc w:val="both"/>
        <w:ind w:left="280"/>
        <w:spacing w:after="0" w:line="316" w:lineRule="auto"/>
        <w:rPr>
          <w:sz w:val="20"/>
          <w:szCs w:val="20"/>
          <w:color w:val="auto"/>
        </w:rPr>
      </w:pPr>
      <w:r>
        <w:rPr>
          <w:rFonts w:ascii="Arial" w:cs="Arial" w:eastAsia="Arial" w:hAnsi="Arial"/>
          <w:sz w:val="16"/>
          <w:szCs w:val="16"/>
          <w:color w:val="auto"/>
        </w:rPr>
        <w:t>At September 30, 2021 and December 31, 2020, the Company had restricted cash of $1.7 million and $97.1 million, respectively, which is invested in an account designated for the purchase of like-kind exchange replacement assets under Section 1031 of the Internal Revenue Code and related IRS procedures (Section 1031). The Company is restricted from utilizing the cash for purposes other than the purchase of the qualified assets for a designated period from receipt of the proceeds from the sale of the exchanged property. Any unused cash at the end of the designated period will be transferred to unrestricted accounts of the Company and can then be used for general corporate purposes. The Company has until January 10, 2022 to use the remaining restricted cash to purchase qualified assets under Section 1031.</w:t>
      </w:r>
    </w:p>
    <w:p>
      <w:pPr>
        <w:spacing w:after="0" w:line="32" w:lineRule="exact"/>
        <w:rPr>
          <w:sz w:val="20"/>
          <w:szCs w:val="20"/>
          <w:color w:val="auto"/>
        </w:rPr>
      </w:pPr>
    </w:p>
    <w:p>
      <w:pPr>
        <w:jc w:val="both"/>
        <w:ind w:left="280"/>
        <w:spacing w:after="0" w:line="260" w:lineRule="auto"/>
        <w:rPr>
          <w:sz w:val="20"/>
          <w:szCs w:val="20"/>
          <w:color w:val="auto"/>
        </w:rPr>
      </w:pPr>
      <w:r>
        <w:rPr>
          <w:rFonts w:ascii="Arial" w:cs="Arial" w:eastAsia="Arial" w:hAnsi="Arial"/>
          <w:sz w:val="20"/>
          <w:szCs w:val="20"/>
          <w:color w:val="auto"/>
        </w:rPr>
        <w:t xml:space="preserve">In connection with Accounting Standards Update 2016-18, </w:t>
      </w:r>
      <w:r>
        <w:rPr>
          <w:rFonts w:ascii="Arial" w:cs="Arial" w:eastAsia="Arial" w:hAnsi="Arial"/>
          <w:sz w:val="20"/>
          <w:szCs w:val="20"/>
          <w:i w:val="1"/>
          <w:iCs w:val="1"/>
          <w:color w:val="auto"/>
        </w:rPr>
        <w:t>Statement of Cash Flows (Topic 230),</w:t>
      </w:r>
      <w:r>
        <w:rPr>
          <w:rFonts w:ascii="Arial" w:cs="Arial" w:eastAsia="Arial" w:hAnsi="Arial"/>
          <w:sz w:val="20"/>
          <w:szCs w:val="20"/>
          <w:color w:val="auto"/>
        </w:rPr>
        <w:t xml:space="preserve"> the statement of cash flows reflects cash flow changes and balances for cash, cash equivalents and restricted cash on an aggregated basis.</w:t>
      </w:r>
    </w:p>
    <w:p>
      <w:pPr>
        <w:spacing w:after="0" w:line="69" w:lineRule="exact"/>
        <w:rPr>
          <w:sz w:val="20"/>
          <w:szCs w:val="20"/>
          <w:color w:val="auto"/>
        </w:rPr>
      </w:pPr>
    </w:p>
    <w:p>
      <w:pPr>
        <w:jc w:val="both"/>
        <w:ind w:left="280" w:right="20"/>
        <w:spacing w:after="0" w:line="260" w:lineRule="auto"/>
        <w:rPr>
          <w:sz w:val="20"/>
          <w:szCs w:val="20"/>
          <w:color w:val="auto"/>
        </w:rPr>
      </w:pPr>
      <w:r>
        <w:rPr>
          <w:rFonts w:ascii="Arial" w:cs="Arial" w:eastAsia="Arial" w:hAnsi="Arial"/>
          <w:sz w:val="20"/>
          <w:szCs w:val="20"/>
          <w:color w:val="auto"/>
        </w:rPr>
        <w:t>The following table reconciles cash, cash equivalents and restricted cash as reported on the consolidated balance sheets to the aggregated amounts presented on the 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jc w:val="right"/>
              <w:ind w:right="321"/>
              <w:spacing w:after="0"/>
              <w:rPr>
                <w:sz w:val="20"/>
                <w:szCs w:val="20"/>
                <w:color w:val="auto"/>
              </w:rPr>
            </w:pPr>
            <w:r>
              <w:rPr>
                <w:rFonts w:ascii="Arial" w:cs="Arial" w:eastAsia="Arial" w:hAnsi="Arial"/>
                <w:sz w:val="20"/>
                <w:szCs w:val="20"/>
                <w:color w:val="auto"/>
                <w:w w:val="97"/>
              </w:rPr>
              <w:t>September 30,</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Arial" w:cs="Arial" w:eastAsia="Arial" w:hAnsi="Arial"/>
                <w:sz w:val="20"/>
                <w:szCs w:val="20"/>
                <w:color w:val="auto"/>
              </w:rPr>
              <w:t>December 31,</w:t>
            </w:r>
          </w:p>
        </w:tc>
      </w:tr>
      <w:tr>
        <w:trPr>
          <w:trHeight w:val="246"/>
        </w:trPr>
        <w:tc>
          <w:tcPr>
            <w:tcW w:w="5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color w:val="auto"/>
              </w:rPr>
              <w:t>2021</w:t>
            </w: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1"/>
                <w:szCs w:val="21"/>
                <w:color w:val="auto"/>
              </w:rPr>
            </w:pPr>
          </w:p>
        </w:tc>
      </w:tr>
      <w:tr>
        <w:trPr>
          <w:trHeight w:val="237"/>
        </w:trPr>
        <w:tc>
          <w:tcPr>
            <w:tcW w:w="5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4"/>
          </w:tcPr>
          <w:p>
            <w:pPr>
              <w:jc w:val="right"/>
              <w:ind w:right="1281"/>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2,381.4</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207.3</w:t>
            </w: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Restricted cash</w:t>
            </w:r>
          </w:p>
        </w:tc>
        <w:tc>
          <w:tcPr>
            <w:tcW w:w="10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3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97.1</w:t>
            </w:r>
          </w:p>
        </w:tc>
        <w:tc>
          <w:tcPr>
            <w:tcW w:w="100" w:type="dxa"/>
            <w:vAlign w:val="bottom"/>
            <w:tcBorders>
              <w:bottom w:val="single" w:sz="8" w:color="CFF0FC"/>
            </w:tcBorders>
          </w:tcPr>
          <w:p>
            <w:pPr>
              <w:spacing w:after="0"/>
              <w:rPr>
                <w:sz w:val="21"/>
                <w:szCs w:val="21"/>
                <w:color w:val="auto"/>
              </w:rPr>
            </w:pPr>
          </w:p>
        </w:tc>
      </w:tr>
      <w:tr>
        <w:trPr>
          <w:trHeight w:val="220"/>
        </w:trPr>
        <w:tc>
          <w:tcPr>
            <w:tcW w:w="576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Total cash, cash equivalents and restricted cash presented in</w:t>
            </w: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760" w:type="dxa"/>
            <w:vAlign w:val="bottom"/>
            <w:shd w:val="clear" w:color="auto" w:fill="CFF0FC"/>
          </w:tcPr>
          <w:p>
            <w:pPr>
              <w:ind w:left="160"/>
              <w:spacing w:after="0"/>
              <w:rPr>
                <w:sz w:val="20"/>
                <w:szCs w:val="20"/>
                <w:color w:val="auto"/>
              </w:rPr>
            </w:pPr>
            <w:r>
              <w:rPr>
                <w:rFonts w:ascii="Arial" w:cs="Arial" w:eastAsia="Arial" w:hAnsi="Arial"/>
                <w:sz w:val="20"/>
                <w:szCs w:val="20"/>
                <w:color w:val="auto"/>
              </w:rPr>
              <w:t>the consolidated statements of cash flows</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2,383.1</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304.4</w:t>
            </w:r>
          </w:p>
        </w:tc>
        <w:tc>
          <w:tcPr>
            <w:tcW w:w="100" w:type="dxa"/>
            <w:vAlign w:val="bottom"/>
            <w:shd w:val="clear" w:color="auto" w:fill="CFF0FC"/>
          </w:tcPr>
          <w:p>
            <w:pPr>
              <w:spacing w:after="0"/>
              <w:rPr>
                <w:sz w:val="21"/>
                <w:szCs w:val="21"/>
                <w:color w:val="auto"/>
              </w:rPr>
            </w:pPr>
          </w:p>
        </w:tc>
      </w:tr>
      <w:tr>
        <w:trPr>
          <w:trHeight w:val="20"/>
        </w:trPr>
        <w:tc>
          <w:tcPr>
            <w:tcW w:w="57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New Accounting Pronouncement</w:t>
      </w:r>
    </w:p>
    <w:p>
      <w:pPr>
        <w:spacing w:after="0" w:line="114"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In March 2020, the FASB issued Accounting Standards Update (ASU) 2020-04, “</w:t>
      </w:r>
      <w:r>
        <w:rPr>
          <w:rFonts w:ascii="Arial" w:cs="Arial" w:eastAsia="Arial" w:hAnsi="Arial"/>
          <w:sz w:val="20"/>
          <w:szCs w:val="20"/>
          <w:i w:val="1"/>
          <w:iCs w:val="1"/>
          <w:color w:val="auto"/>
        </w:rPr>
        <w:t>Reference Rate Reform (Topic 848): Facilitation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Effects of Reference Rate Reform on Financial Reporting</w:t>
      </w:r>
      <w:r>
        <w:rPr>
          <w:rFonts w:ascii="Arial" w:cs="Arial" w:eastAsia="Arial" w:hAnsi="Arial"/>
          <w:sz w:val="20"/>
          <w:szCs w:val="20"/>
          <w:color w:val="auto"/>
        </w:rPr>
        <w:t>”, an optional guidance for a limited period of time to ease the transition from</w:t>
      </w:r>
      <w:r>
        <w:rPr>
          <w:rFonts w:ascii="Arial" w:cs="Arial" w:eastAsia="Arial" w:hAnsi="Arial"/>
          <w:sz w:val="20"/>
          <w:szCs w:val="20"/>
          <w:i w:val="1"/>
          <w:iCs w:val="1"/>
          <w:color w:val="auto"/>
        </w:rPr>
        <w:t xml:space="preserve"> </w:t>
      </w:r>
      <w:r>
        <w:rPr>
          <w:rFonts w:ascii="Arial" w:cs="Arial" w:eastAsia="Arial" w:hAnsi="Arial"/>
          <w:sz w:val="20"/>
          <w:szCs w:val="20"/>
          <w:color w:val="auto"/>
        </w:rPr>
        <w:t>the London interbank offered rate (“LIBOR”) to an alternative reference rate.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ind w:left="280"/>
        <w:spacing w:after="0" w:line="246" w:lineRule="auto"/>
        <w:rPr>
          <w:sz w:val="20"/>
          <w:szCs w:val="20"/>
          <w:color w:val="auto"/>
        </w:rPr>
      </w:pPr>
      <w:r>
        <w:rPr>
          <w:rFonts w:ascii="Arial" w:cs="Arial" w:eastAsia="Arial" w:hAnsi="Arial"/>
          <w:sz w:val="20"/>
          <w:szCs w:val="20"/>
          <w:color w:val="auto"/>
        </w:rPr>
        <w:t>ASU intends to address certain concerns relating to accounting for contract modifications and hedge accounting. These optional expedients and exceptions to applying U.S. GAAP, assuming certain criteria are met, are allowed through December 31, 2022, and any amendments should be applied on a prospective basis. The Company does not expect the transition from LIBOR to have a material impact on its consolidated financial statements.</w:t>
      </w:r>
    </w:p>
    <w:p>
      <w:pPr>
        <w:spacing w:after="0" w:line="293"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28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are recognized using the percentage-of-completion method under the cost-to-cost approach. Freight revenues reflect delivery arranged by the Company using a third party on behalf of the customer and are recognized consistently with the timing of the product revenues.</w:t>
      </w:r>
    </w:p>
    <w:p>
      <w:pPr>
        <w:spacing w:after="0" w:line="56" w:lineRule="exact"/>
        <w:rPr>
          <w:rFonts w:ascii="Arial" w:cs="Arial" w:eastAsia="Arial" w:hAnsi="Arial"/>
          <w:sz w:val="20"/>
          <w:szCs w:val="20"/>
          <w:b w:val="1"/>
          <w:bCs w:val="1"/>
          <w:color w:val="auto"/>
        </w:rPr>
      </w:pPr>
    </w:p>
    <w:p>
      <w:pPr>
        <w:jc w:val="both"/>
        <w:ind w:left="2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2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September 30, 2021 and 2020 were $183.0 million and $150.2 million, respectively, where the remaining periods to complete these obligations ranged from one month to 21 months and one month to 13 months,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rPr>
          <w:sz w:val="20"/>
          <w:szCs w:val="20"/>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7"/>
              </w:rPr>
              <w:t>September 30, 2021</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641.8</w:t>
            </w:r>
          </w:p>
        </w:tc>
        <w:tc>
          <w:tcPr>
            <w:tcW w:w="5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42.3</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684.1</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749.0</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45.8</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794.8</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1,390.8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88.1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1,478.9</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71.9</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78.4</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1,462.7</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94.6</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1,557.3</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color w:val="auto"/>
                <w:w w:val="87"/>
              </w:rPr>
              <w:t>September 30, 2020</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1"/>
              <w:spacing w:after="0" w:line="220" w:lineRule="exact"/>
              <w:rPr>
                <w:sz w:val="20"/>
                <w:szCs w:val="20"/>
                <w:color w:val="auto"/>
              </w:rPr>
            </w:pPr>
            <w:r>
              <w:rPr>
                <w:rFonts w:ascii="Arial" w:cs="Arial" w:eastAsia="Arial" w:hAnsi="Arial"/>
                <w:sz w:val="20"/>
                <w:szCs w:val="20"/>
                <w:color w:val="auto"/>
                <w:w w:val="86"/>
              </w:rPr>
              <w:t>Products and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61"/>
              <w:spacing w:after="0"/>
              <w:rPr>
                <w:sz w:val="20"/>
                <w:szCs w:val="20"/>
                <w:color w:val="auto"/>
              </w:rPr>
            </w:pPr>
            <w:r>
              <w:rPr>
                <w:rFonts w:ascii="Arial" w:cs="Arial" w:eastAsia="Arial" w:hAnsi="Arial"/>
                <w:sz w:val="20"/>
                <w:szCs w:val="20"/>
                <w:color w:val="auto"/>
                <w:w w:val="86"/>
              </w:rPr>
              <w:t>Services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20"/>
                <w:szCs w:val="20"/>
                <w:color w:val="auto"/>
                <w:w w:val="93"/>
              </w:rPr>
              <w:t>Freight</w:t>
            </w: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3"/>
        </w:trPr>
        <w:tc>
          <w:tcPr>
            <w:tcW w:w="60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20"/>
                <w:szCs w:val="20"/>
                <w:color w:val="auto"/>
              </w:rPr>
              <w:t>East Group</w:t>
            </w: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514.1</w:t>
            </w:r>
          </w:p>
        </w:tc>
        <w:tc>
          <w:tcPr>
            <w:tcW w:w="5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35.2</w:t>
            </w:r>
          </w:p>
        </w:tc>
        <w:tc>
          <w:tcPr>
            <w:tcW w:w="280" w:type="dxa"/>
            <w:vAlign w:val="bottom"/>
          </w:tcPr>
          <w:p>
            <w:pPr>
              <w:spacing w:after="0"/>
              <w:rPr>
                <w:sz w:val="21"/>
                <w:szCs w:val="21"/>
                <w:color w:val="auto"/>
              </w:rPr>
            </w:pPr>
          </w:p>
        </w:tc>
        <w:tc>
          <w:tcPr>
            <w:tcW w:w="320" w:type="dxa"/>
            <w:vAlign w:val="bottom"/>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549.3</w:t>
            </w:r>
          </w:p>
        </w:tc>
        <w:tc>
          <w:tcPr>
            <w:tcW w:w="100" w:type="dxa"/>
            <w:vAlign w:val="bottom"/>
          </w:tcPr>
          <w:p>
            <w:pPr>
              <w:spacing w:after="0"/>
              <w:rPr>
                <w:sz w:val="21"/>
                <w:szCs w:val="21"/>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671.4</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39.8</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711.2</w:t>
            </w:r>
          </w:p>
        </w:tc>
        <w:tc>
          <w:tcPr>
            <w:tcW w:w="100" w:type="dxa"/>
            <w:vAlign w:val="bottom"/>
            <w:shd w:val="clear" w:color="auto" w:fill="CFF0FC"/>
          </w:tcPr>
          <w:p>
            <w:pPr>
              <w:spacing w:after="0"/>
              <w:rPr>
                <w:sz w:val="21"/>
                <w:szCs w:val="2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1,185.5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1,260.5</w:t>
            </w:r>
          </w:p>
        </w:tc>
        <w:tc>
          <w:tcPr>
            <w:tcW w:w="100" w:type="dxa"/>
            <w:vAlign w:val="bottom"/>
          </w:tcPr>
          <w:p>
            <w:pPr>
              <w:spacing w:after="0"/>
              <w:rPr>
                <w:sz w:val="20"/>
                <w:szCs w:val="20"/>
                <w:color w:val="auto"/>
              </w:rPr>
            </w:pPr>
          </w:p>
        </w:tc>
      </w:tr>
      <w:tr>
        <w:trPr>
          <w:trHeight w:val="243"/>
        </w:trPr>
        <w:tc>
          <w:tcPr>
            <w:tcW w:w="60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55.2</w:t>
            </w:r>
          </w:p>
        </w:tc>
        <w:tc>
          <w:tcPr>
            <w:tcW w:w="2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28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100" w:type="dxa"/>
            <w:vAlign w:val="bottom"/>
            <w:shd w:val="clear" w:color="auto" w:fill="CFF0FC"/>
          </w:tcPr>
          <w:p>
            <w:pPr>
              <w:spacing w:after="0"/>
              <w:rPr>
                <w:sz w:val="21"/>
                <w:szCs w:val="21"/>
                <w:color w:val="auto"/>
              </w:rPr>
            </w:pPr>
          </w:p>
        </w:tc>
      </w:tr>
      <w:tr>
        <w:trPr>
          <w:trHeight w:val="237"/>
        </w:trPr>
        <w:tc>
          <w:tcPr>
            <w:tcW w:w="60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1,240.7</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80.7</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1,321.4</w:t>
            </w:r>
          </w:p>
        </w:tc>
        <w:tc>
          <w:tcPr>
            <w:tcW w:w="100" w:type="dxa"/>
            <w:vAlign w:val="bottom"/>
          </w:tcPr>
          <w:p>
            <w:pPr>
              <w:spacing w:after="0"/>
              <w:rPr>
                <w:sz w:val="20"/>
                <w:szCs w:val="20"/>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Service revenues, which include paving services located in Colorado , were $100.5 million and $112.8 million for the three months ended September 30, 2021 and 2020, respectively, and are reported in the West Group .</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FORM 10-Q</w:t>
      </w:r>
    </w:p>
    <w:p>
      <w:pPr>
        <w:jc w:val="center"/>
        <w:ind w:right="40"/>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3"/>
          </w:tcPr>
          <w:p>
            <w:pPr>
              <w:jc w:val="center"/>
              <w:spacing w:after="0"/>
              <w:rPr>
                <w:sz w:val="20"/>
                <w:szCs w:val="20"/>
                <w:color w:val="auto"/>
              </w:rPr>
            </w:pPr>
            <w:r>
              <w:rPr>
                <w:rFonts w:ascii="Arial" w:cs="Arial" w:eastAsia="Arial" w:hAnsi="Arial"/>
                <w:sz w:val="20"/>
                <w:szCs w:val="20"/>
                <w:color w:val="auto"/>
                <w:w w:val="91"/>
              </w:rPr>
              <w:t>Nine Months Ended</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6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7"/>
              </w:rPr>
              <w:t>September 30, 2021</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line="220" w:lineRule="exact"/>
              <w:rPr>
                <w:sz w:val="20"/>
                <w:szCs w:val="20"/>
                <w:color w:val="auto"/>
              </w:rPr>
            </w:pPr>
            <w:r>
              <w:rPr>
                <w:rFonts w:ascii="Arial" w:cs="Arial" w:eastAsia="Arial" w:hAnsi="Arial"/>
                <w:sz w:val="20"/>
                <w:szCs w:val="20"/>
                <w:color w:val="auto"/>
                <w:w w:val="86"/>
              </w:rPr>
              <w:t>Products and</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Services</w:t>
            </w:r>
          </w:p>
        </w:tc>
        <w:tc>
          <w:tcPr>
            <w:tcW w:w="4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Freight</w:t>
            </w:r>
          </w:p>
        </w:tc>
        <w:tc>
          <w:tcPr>
            <w:tcW w:w="46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7"/>
        </w:trPr>
        <w:tc>
          <w:tcPr>
            <w:tcW w:w="6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20"/>
                <w:szCs w:val="20"/>
                <w:color w:val="auto"/>
              </w:rPr>
              <w:t>East Group</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1,610.9</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103.5</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1,714.4</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1,861.9</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116.3</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1,978.2</w:t>
            </w:r>
          </w:p>
        </w:tc>
        <w:tc>
          <w:tcPr>
            <w:tcW w:w="100" w:type="dxa"/>
            <w:vAlign w:val="bottom"/>
            <w:tcBorders>
              <w:bottom w:val="single" w:sz="8" w:color="CFF0FC"/>
            </w:tcBorders>
          </w:tcPr>
          <w:p>
            <w:pPr>
              <w:spacing w:after="0"/>
              <w:rPr>
                <w:sz w:val="21"/>
                <w:szCs w:val="21"/>
                <w:color w:val="auto"/>
              </w:rPr>
            </w:pPr>
          </w:p>
        </w:tc>
      </w:tr>
      <w:tr>
        <w:trPr>
          <w:trHeight w:val="237"/>
        </w:trPr>
        <w:tc>
          <w:tcPr>
            <w:tcW w:w="61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3,472.8</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219.8</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3,692.6</w:t>
            </w:r>
          </w:p>
        </w:tc>
        <w:tc>
          <w:tcPr>
            <w:tcW w:w="100" w:type="dxa"/>
            <w:vAlign w:val="bottom"/>
            <w:shd w:val="clear" w:color="auto" w:fill="CFF0FC"/>
          </w:tcPr>
          <w:p>
            <w:pPr>
              <w:spacing w:after="0"/>
              <w:rPr>
                <w:sz w:val="20"/>
                <w:szCs w:val="20"/>
                <w:color w:val="auto"/>
              </w:rPr>
            </w:pPr>
          </w:p>
        </w:tc>
      </w:tr>
      <w:tr>
        <w:trPr>
          <w:trHeight w:val="243"/>
        </w:trPr>
        <w:tc>
          <w:tcPr>
            <w:tcW w:w="6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207.1</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225.0</w:t>
            </w:r>
          </w:p>
        </w:tc>
        <w:tc>
          <w:tcPr>
            <w:tcW w:w="100" w:type="dxa"/>
            <w:vAlign w:val="bottom"/>
            <w:tcBorders>
              <w:bottom w:val="single" w:sz="8" w:color="CFF0FC"/>
            </w:tcBorders>
          </w:tcPr>
          <w:p>
            <w:pPr>
              <w:spacing w:after="0"/>
              <w:rPr>
                <w:sz w:val="21"/>
                <w:szCs w:val="21"/>
                <w:color w:val="auto"/>
              </w:rPr>
            </w:pPr>
          </w:p>
        </w:tc>
      </w:tr>
      <w:tr>
        <w:trPr>
          <w:trHeight w:val="237"/>
        </w:trPr>
        <w:tc>
          <w:tcPr>
            <w:tcW w:w="6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3,679.9</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237.7</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3,917.6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Arial" w:cs="Arial" w:eastAsia="Arial" w:hAnsi="Arial"/>
                <w:sz w:val="20"/>
                <w:szCs w:val="20"/>
                <w:color w:val="auto"/>
                <w:w w:val="91"/>
              </w:rPr>
              <w:t>Nine Months Ended</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color w:val="auto"/>
                <w:w w:val="87"/>
              </w:rPr>
              <w:t>September 30, 2020</w:t>
            </w: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6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line="220" w:lineRule="exact"/>
              <w:rPr>
                <w:sz w:val="20"/>
                <w:szCs w:val="20"/>
                <w:color w:val="auto"/>
              </w:rPr>
            </w:pPr>
            <w:r>
              <w:rPr>
                <w:rFonts w:ascii="Arial" w:cs="Arial" w:eastAsia="Arial" w:hAnsi="Arial"/>
                <w:sz w:val="20"/>
                <w:szCs w:val="20"/>
                <w:color w:val="auto"/>
                <w:w w:val="86"/>
              </w:rPr>
              <w:t>Products and</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Services</w:t>
            </w:r>
          </w:p>
        </w:tc>
        <w:tc>
          <w:tcPr>
            <w:tcW w:w="4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Freight</w:t>
            </w:r>
          </w:p>
        </w:tc>
        <w:tc>
          <w:tcPr>
            <w:tcW w:w="46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7"/>
        </w:trPr>
        <w:tc>
          <w:tcPr>
            <w:tcW w:w="6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i w:val="1"/>
                <w:iCs w:val="1"/>
                <w:color w:val="auto"/>
                <w:w w:val="97"/>
              </w:rPr>
              <w:t>(Dollars in Millions)</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20"/>
                <w:szCs w:val="20"/>
                <w:color w:val="auto"/>
              </w:rPr>
              <w:t>East Group</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1,371.8</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94.1</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1,465.9</w:t>
            </w:r>
          </w:p>
        </w:tc>
        <w:tc>
          <w:tcPr>
            <w:tcW w:w="100" w:type="dxa"/>
            <w:vAlign w:val="bottom"/>
            <w:shd w:val="clear" w:color="auto" w:fill="CFF0FC"/>
          </w:tcPr>
          <w:p>
            <w:pPr>
              <w:spacing w:after="0"/>
              <w:rPr>
                <w:sz w:val="21"/>
                <w:szCs w:val="21"/>
                <w:color w:val="auto"/>
              </w:rPr>
            </w:pPr>
          </w:p>
        </w:tc>
      </w:tr>
      <w:tr>
        <w:trPr>
          <w:trHeight w:val="243"/>
        </w:trPr>
        <w:tc>
          <w:tcPr>
            <w:tcW w:w="6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1,785.4</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118.8</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1,904.2</w:t>
            </w:r>
          </w:p>
        </w:tc>
        <w:tc>
          <w:tcPr>
            <w:tcW w:w="100" w:type="dxa"/>
            <w:vAlign w:val="bottom"/>
            <w:tcBorders>
              <w:bottom w:val="single" w:sz="8" w:color="CFF0FC"/>
            </w:tcBorders>
          </w:tcPr>
          <w:p>
            <w:pPr>
              <w:spacing w:after="0"/>
              <w:rPr>
                <w:sz w:val="21"/>
                <w:szCs w:val="21"/>
                <w:color w:val="auto"/>
              </w:rPr>
            </w:pPr>
          </w:p>
        </w:tc>
      </w:tr>
      <w:tr>
        <w:trPr>
          <w:trHeight w:val="237"/>
        </w:trPr>
        <w:tc>
          <w:tcPr>
            <w:tcW w:w="61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3,157.2</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212.9</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3,370.1</w:t>
            </w:r>
          </w:p>
        </w:tc>
        <w:tc>
          <w:tcPr>
            <w:tcW w:w="100" w:type="dxa"/>
            <w:vAlign w:val="bottom"/>
            <w:shd w:val="clear" w:color="auto" w:fill="CFF0FC"/>
          </w:tcPr>
          <w:p>
            <w:pPr>
              <w:spacing w:after="0"/>
              <w:rPr>
                <w:sz w:val="20"/>
                <w:szCs w:val="20"/>
                <w:color w:val="auto"/>
              </w:rPr>
            </w:pPr>
          </w:p>
        </w:tc>
      </w:tr>
      <w:tr>
        <w:trPr>
          <w:trHeight w:val="243"/>
        </w:trPr>
        <w:tc>
          <w:tcPr>
            <w:tcW w:w="6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164.0</w:t>
            </w:r>
          </w:p>
        </w:tc>
        <w:tc>
          <w:tcPr>
            <w:tcW w:w="12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12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180.2</w:t>
            </w:r>
          </w:p>
        </w:tc>
        <w:tc>
          <w:tcPr>
            <w:tcW w:w="100" w:type="dxa"/>
            <w:vAlign w:val="bottom"/>
            <w:tcBorders>
              <w:bottom w:val="single" w:sz="8" w:color="CFF0FC"/>
            </w:tcBorders>
          </w:tcPr>
          <w:p>
            <w:pPr>
              <w:spacing w:after="0"/>
              <w:rPr>
                <w:sz w:val="21"/>
                <w:szCs w:val="21"/>
                <w:color w:val="auto"/>
              </w:rPr>
            </w:pPr>
          </w:p>
        </w:tc>
      </w:tr>
      <w:tr>
        <w:trPr>
          <w:trHeight w:val="236"/>
        </w:trPr>
        <w:tc>
          <w:tcPr>
            <w:tcW w:w="6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3,321.2</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229.1</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Service revenues for the nine months ended September 30, 2021 and 2020 were $182.7 million and $221.3 million, respectively.</w:t>
      </w:r>
    </w:p>
    <w:p>
      <w:pPr>
        <w:spacing w:after="0" w:line="119" w:lineRule="exact"/>
        <w:rPr>
          <w:sz w:val="20"/>
          <w:szCs w:val="20"/>
          <w:color w:val="auto"/>
        </w:rPr>
      </w:pPr>
    </w:p>
    <w:p>
      <w:pPr>
        <w:jc w:val="both"/>
        <w:ind w:left="280" w:right="40"/>
        <w:spacing w:after="0" w:line="244"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(Dollars in Millions)</w:t>
            </w:r>
          </w:p>
        </w:tc>
        <w:tc>
          <w:tcPr>
            <w:tcW w:w="44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20"/>
                <w:szCs w:val="20"/>
                <w:color w:val="auto"/>
              </w:rPr>
              <w:t>September 30, 2021</w:t>
            </w: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87"/>
              </w:rPr>
              <w:t>December 31, 2020</w:t>
            </w:r>
          </w:p>
        </w:tc>
      </w:tr>
      <w:tr>
        <w:trPr>
          <w:trHeight w:val="237"/>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Costs in excess of billings</w:t>
            </w:r>
          </w:p>
        </w:tc>
        <w:tc>
          <w:tcPr>
            <w:tcW w:w="3240" w:type="dxa"/>
            <w:vAlign w:val="bottom"/>
            <w:shd w:val="clear" w:color="auto" w:fill="CFF0FC"/>
          </w:tcPr>
          <w:p>
            <w:pPr>
              <w:jc w:val="right"/>
              <w:ind w:right="54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10.8</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r>
      <w:tr>
        <w:trPr>
          <w:trHeight w:val="250"/>
        </w:trPr>
        <w:tc>
          <w:tcPr>
            <w:tcW w:w="4580" w:type="dxa"/>
            <w:vAlign w:val="bottom"/>
          </w:tcPr>
          <w:p>
            <w:pPr>
              <w:spacing w:after="0"/>
              <w:rPr>
                <w:sz w:val="20"/>
                <w:szCs w:val="20"/>
                <w:color w:val="auto"/>
              </w:rPr>
            </w:pPr>
            <w:r>
              <w:rPr>
                <w:rFonts w:ascii="Arial" w:cs="Arial" w:eastAsia="Arial" w:hAnsi="Arial"/>
                <w:sz w:val="20"/>
                <w:szCs w:val="20"/>
                <w:color w:val="auto"/>
              </w:rPr>
              <w:t>Billings in excess of costs</w:t>
            </w:r>
          </w:p>
        </w:tc>
        <w:tc>
          <w:tcPr>
            <w:tcW w:w="3240" w:type="dxa"/>
            <w:vAlign w:val="bottom"/>
          </w:tcPr>
          <w:p>
            <w:pPr>
              <w:jc w:val="right"/>
              <w:ind w:right="54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21"/>
              <w:spacing w:after="0"/>
              <w:rPr>
                <w:sz w:val="20"/>
                <w:szCs w:val="20"/>
                <w:color w:val="auto"/>
              </w:rPr>
            </w:pPr>
            <w:r>
              <w:rPr>
                <w:rFonts w:ascii="Arial" w:cs="Arial" w:eastAsia="Arial" w:hAnsi="Arial"/>
                <w:sz w:val="20"/>
                <w:szCs w:val="20"/>
                <w:color w:val="auto"/>
              </w:rPr>
              <w:t>10.7</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14.0</w:t>
            </w:r>
          </w:p>
        </w:tc>
      </w:tr>
    </w:tbl>
    <w:p>
      <w:pPr>
        <w:spacing w:after="0" w:line="124" w:lineRule="exact"/>
        <w:rPr>
          <w:sz w:val="20"/>
          <w:szCs w:val="20"/>
          <w:color w:val="auto"/>
        </w:rPr>
      </w:pPr>
    </w:p>
    <w:p>
      <w:pPr>
        <w:jc w:val="both"/>
        <w:ind w:left="280" w:right="40"/>
        <w:spacing w:after="0" w:line="250" w:lineRule="auto"/>
        <w:rPr>
          <w:sz w:val="20"/>
          <w:szCs w:val="20"/>
          <w:color w:val="auto"/>
        </w:rPr>
      </w:pPr>
      <w:r>
        <w:rPr>
          <w:rFonts w:ascii="Arial" w:cs="Arial" w:eastAsia="Arial" w:hAnsi="Arial"/>
          <w:sz w:val="20"/>
          <w:szCs w:val="20"/>
          <w:color w:val="auto"/>
        </w:rPr>
        <w:t>Revenues recognized from the beginning balance of contract liabilities for the three months ended September 30, 2021 and 2020 were $7.1 million and $8.5 million, respectively, and for the nine months ended September 30, 2021 and 2020 were $11.9 million and $7.2 million, respectively</w:t>
      </w:r>
      <w:r>
        <w:rPr>
          <w:rFonts w:ascii="Arial" w:cs="Arial" w:eastAsia="Arial" w:hAnsi="Arial"/>
          <w:sz w:val="17"/>
          <w:szCs w:val="17"/>
          <w:color w:val="auto"/>
        </w:rPr>
        <w:t>.</w:t>
      </w:r>
    </w:p>
    <w:p>
      <w:pPr>
        <w:spacing w:after="0" w:line="78" w:lineRule="exact"/>
        <w:rPr>
          <w:sz w:val="20"/>
          <w:szCs w:val="20"/>
          <w:color w:val="auto"/>
        </w:rPr>
      </w:pPr>
    </w:p>
    <w:p>
      <w:pPr>
        <w:jc w:val="both"/>
        <w:ind w:left="280" w:right="40"/>
        <w:spacing w:after="0" w:line="291" w:lineRule="auto"/>
        <w:rPr>
          <w:sz w:val="20"/>
          <w:szCs w:val="20"/>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by the customer of the performance obligation. Included in other current assets on the Company’s consolidated balance sheets, retainage was $10.0 million and $10.6 million at September 30, 2021 and December 31, 2020, respectively.</w:t>
      </w:r>
    </w:p>
    <w:p>
      <w:pPr>
        <w:spacing w:after="0" w:line="44" w:lineRule="exact"/>
        <w:rPr>
          <w:sz w:val="20"/>
          <w:szCs w:val="20"/>
          <w:color w:val="auto"/>
        </w:rPr>
      </w:pPr>
    </w:p>
    <w:p>
      <w:pPr>
        <w:jc w:val="both"/>
        <w:ind w:left="280" w:right="60"/>
        <w:spacing w:after="0" w:line="260" w:lineRule="auto"/>
        <w:rPr>
          <w:sz w:val="20"/>
          <w:szCs w:val="20"/>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Page 15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2"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Company acts as a principal in the delivery arrangements and, as required by the accounting standard, the related revenues and costs are presented gross and are included in the consolidated statements of earnings.</w:t>
      </w:r>
    </w:p>
    <w:p>
      <w:pPr>
        <w:spacing w:after="0" w:line="63"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Combinations</w:t>
      </w:r>
    </w:p>
    <w:p>
      <w:pPr>
        <w:spacing w:after="0" w:line="113" w:lineRule="exact"/>
        <w:rPr>
          <w:rFonts w:ascii="Arial" w:cs="Arial" w:eastAsia="Arial" w:hAnsi="Arial"/>
          <w:sz w:val="20"/>
          <w:szCs w:val="20"/>
          <w:b w:val="1"/>
          <w:bCs w:val="1"/>
          <w:color w:val="auto"/>
        </w:rPr>
      </w:pPr>
    </w:p>
    <w:p>
      <w:pPr>
        <w:jc w:val="both"/>
        <w:ind w:left="2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On July 30, 2021, the Company acquired assets of Southern Crushed Concrete (SCC). SCC is a leading producer of recycled concrete in the Houston area, one of the country’s largest addressable aggregates markets. Recycled concrete is principally used as a base aggregates product in infrastructure, commercial and residential construction applications. The Company acquired inventories; property, plant and equipment; intangible assets (including goodwill), and right-of-use assets; and assumed asset retirement obligations; lease obligations; and other liabilities. The goodwill generated by the transaction will be deductible for income tax purposes. Although the initial accounting for the business combination has been recorded, the fair values of these amounts are subject to change during the measurement period, which remains open as of September 30, 2021. The acquisition is reported in the Company’s West Group, but is immaterial for pro-forma financial statement disclosures.</w:t>
      </w:r>
    </w:p>
    <w:p>
      <w:pPr>
        <w:spacing w:after="0" w:line="72" w:lineRule="exact"/>
        <w:rPr>
          <w:rFonts w:ascii="Arial" w:cs="Arial" w:eastAsia="Arial" w:hAnsi="Arial"/>
          <w:sz w:val="20"/>
          <w:szCs w:val="20"/>
          <w:b w:val="1"/>
          <w:bCs w:val="1"/>
          <w:color w:val="auto"/>
        </w:rPr>
      </w:pPr>
    </w:p>
    <w:p>
      <w:pPr>
        <w:jc w:val="both"/>
        <w:ind w:left="2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On April 30, 2021, the Company completed the acquisition of Tiller Corporation (Tiller), a leading aggregates and hot mix asphalt supplier in the Minneapolis/St. Paul area, one of the largest and fastest growing midwestern metropolitan areas. The Tiller acquisition complements the Company’s existing product offerings in the surrounding areas. Additionally, Tiller sells asphalt solely as a materials provider and does not offer paving or other associated services. The Company financed the acquisition using available cash and borrowings under its credit facilities. The Company has recorded preliminary fair values of the assets acquired and liabilities assumed, which are subject to asset verification and a normal post-closing working capital adjustment. Therefore, the measurement period for property, plant and equipment and goodwill remains open as of September 30, 2021. The goodwill generated by the transaction will be deductible for income tax purposes. The acquisition is reported in the Company’s East Group, but is immaterial for pro-forma financial statement disclosures.</w:t>
      </w:r>
    </w:p>
    <w:p>
      <w:pPr>
        <w:spacing w:after="0" w:line="80" w:lineRule="exact"/>
        <w:rPr>
          <w:rFonts w:ascii="Arial" w:cs="Arial" w:eastAsia="Arial" w:hAnsi="Arial"/>
          <w:sz w:val="20"/>
          <w:szCs w:val="20"/>
          <w:b w:val="1"/>
          <w:bCs w:val="1"/>
          <w:color w:val="auto"/>
        </w:rPr>
      </w:pPr>
    </w:p>
    <w:p>
      <w:pPr>
        <w:ind w:left="280" w:hanging="272"/>
        <w:spacing w:after="0"/>
        <w:tabs>
          <w:tab w:leader="none" w:pos="28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w:t>
      </w:r>
    </w:p>
    <w:p>
      <w:pPr>
        <w:spacing w:after="0" w:line="127" w:lineRule="exact"/>
        <w:rPr>
          <w:rFonts w:ascii="Arial" w:cs="Arial" w:eastAsia="Arial" w:hAnsi="Arial"/>
          <w:sz w:val="20"/>
          <w:szCs w:val="20"/>
          <w:b w:val="1"/>
          <w:bCs w:val="1"/>
          <w:color w:val="auto"/>
        </w:rPr>
      </w:pPr>
    </w:p>
    <w:p>
      <w:pPr>
        <w:ind w:left="28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shows the changes in goodwill by reportable segment and in total:</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East</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20"/>
                <w:szCs w:val="20"/>
                <w:color w:val="auto"/>
                <w:w w:val="83"/>
              </w:rPr>
              <w:t>West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Group</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Group</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20"/>
                <w:szCs w:val="20"/>
                <w:color w:val="auto"/>
              </w:rPr>
              <w:t>Total</w:t>
            </w:r>
          </w:p>
        </w:tc>
      </w:tr>
      <w:tr>
        <w:trPr>
          <w:trHeight w:val="237"/>
        </w:trPr>
        <w:tc>
          <w:tcPr>
            <w:tcW w:w="5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9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20"/>
                <w:szCs w:val="20"/>
                <w:color w:val="auto"/>
              </w:rPr>
              <w:t>Balance at January 1, 2021</w:t>
            </w:r>
          </w:p>
        </w:tc>
        <w:tc>
          <w:tcPr>
            <w:tcW w:w="1180" w:type="dxa"/>
            <w:vAlign w:val="bottom"/>
            <w:gridSpan w:val="2"/>
          </w:tcPr>
          <w:p>
            <w:pPr>
              <w:jc w:val="right"/>
              <w:ind w:right="841"/>
              <w:spacing w:after="0"/>
              <w:rPr>
                <w:sz w:val="20"/>
                <w:szCs w:val="20"/>
                <w:color w:val="auto"/>
              </w:rPr>
            </w:pPr>
            <w:r>
              <w:rPr>
                <w:rFonts w:ascii="Arial" w:cs="Arial" w:eastAsia="Arial" w:hAnsi="Arial"/>
                <w:sz w:val="20"/>
                <w:szCs w:val="20"/>
                <w:color w:val="auto"/>
              </w:rPr>
              <w:t>$</w:t>
            </w:r>
          </w:p>
        </w:tc>
        <w:tc>
          <w:tcPr>
            <w:tcW w:w="480" w:type="dxa"/>
            <w:vAlign w:val="bottom"/>
          </w:tcPr>
          <w:p>
            <w:pPr>
              <w:jc w:val="right"/>
              <w:spacing w:after="0"/>
              <w:rPr>
                <w:sz w:val="20"/>
                <w:szCs w:val="20"/>
                <w:color w:val="auto"/>
              </w:rPr>
            </w:pPr>
            <w:r>
              <w:rPr>
                <w:rFonts w:ascii="Arial" w:cs="Arial" w:eastAsia="Arial" w:hAnsi="Arial"/>
                <w:sz w:val="20"/>
                <w:szCs w:val="20"/>
                <w:color w:val="auto"/>
                <w:w w:val="87"/>
              </w:rPr>
              <w:t>572.5</w:t>
            </w:r>
          </w:p>
        </w:tc>
        <w:tc>
          <w:tcPr>
            <w:tcW w:w="56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1,841.5</w:t>
            </w:r>
          </w:p>
        </w:tc>
        <w:tc>
          <w:tcPr>
            <w:tcW w:w="180" w:type="dxa"/>
            <w:vAlign w:val="bottom"/>
          </w:tcPr>
          <w:p>
            <w:pPr>
              <w:spacing w:after="0"/>
              <w:rPr>
                <w:sz w:val="20"/>
                <w:szCs w:val="20"/>
                <w:color w:val="auto"/>
              </w:rPr>
            </w:pPr>
          </w:p>
        </w:tc>
        <w:tc>
          <w:tcPr>
            <w:tcW w:w="42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2,414.0</w:t>
            </w: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185.9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198.7</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Arial" w:cs="Arial" w:eastAsia="Arial" w:hAnsi="Arial"/>
                <w:sz w:val="20"/>
                <w:szCs w:val="20"/>
                <w:color w:val="auto"/>
              </w:rPr>
              <w:t>Goodwill allocated to assets held for sale</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20"/>
                <w:szCs w:val="20"/>
                <w:color w:val="auto"/>
              </w:rPr>
              <w:t>(2.1)</w:t>
            </w:r>
          </w:p>
        </w:tc>
      </w:tr>
      <w:tr>
        <w:trPr>
          <w:trHeight w:val="236"/>
        </w:trPr>
        <w:tc>
          <w:tcPr>
            <w:tcW w:w="59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Balance at September 30, 2021</w:t>
            </w:r>
          </w:p>
        </w:tc>
        <w:tc>
          <w:tcPr>
            <w:tcW w:w="1180" w:type="dxa"/>
            <w:vAlign w:val="bottom"/>
            <w:tcBorders>
              <w:top w:val="single" w:sz="8" w:color="auto"/>
              <w:bottom w:val="single" w:sz="8" w:color="auto"/>
            </w:tcBorders>
            <w:gridSpan w:val="2"/>
            <w:shd w:val="clear" w:color="auto" w:fill="CFF0FC"/>
          </w:tcPr>
          <w:p>
            <w:pPr>
              <w:jc w:val="right"/>
              <w:ind w:right="841"/>
              <w:spacing w:after="0"/>
              <w:rPr>
                <w:sz w:val="20"/>
                <w:szCs w:val="20"/>
                <w:color w:val="auto"/>
              </w:rPr>
            </w:pPr>
            <w:r>
              <w:rPr>
                <w:rFonts w:ascii="Arial" w:cs="Arial" w:eastAsia="Arial" w:hAnsi="Arial"/>
                <w:sz w:val="20"/>
                <w:szCs w:val="20"/>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758.4</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1,852.2</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2,610.6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60" w:type="dxa"/>
            <w:vAlign w:val="bottom"/>
          </w:tcPr>
          <w:p>
            <w:pPr>
              <w:ind w:left="280"/>
              <w:spacing w:after="0"/>
              <w:rPr>
                <w:sz w:val="20"/>
                <w:szCs w:val="20"/>
                <w:color w:val="auto"/>
              </w:rPr>
            </w:pPr>
            <w:r>
              <w:rPr>
                <w:rFonts w:ascii="Arial" w:cs="Arial" w:eastAsia="Arial" w:hAnsi="Arial"/>
                <w:sz w:val="20"/>
                <w:szCs w:val="20"/>
                <w:color w:val="auto"/>
                <w:w w:val="96"/>
              </w:rPr>
              <w:t>Intangible assets subject to amortization consist of the following:</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441"/>
              <w:spacing w:after="0"/>
              <w:rPr>
                <w:sz w:val="20"/>
                <w:szCs w:val="20"/>
                <w:color w:val="auto"/>
              </w:rPr>
            </w:pPr>
            <w:r>
              <w:rPr>
                <w:rFonts w:ascii="Arial" w:cs="Arial" w:eastAsia="Arial" w:hAnsi="Arial"/>
                <w:sz w:val="20"/>
                <w:szCs w:val="20"/>
                <w:color w:val="auto"/>
              </w:rPr>
              <w:t>Gross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20"/>
                <w:szCs w:val="20"/>
                <w:color w:val="auto"/>
                <w:w w:val="95"/>
              </w:rPr>
              <w:t>Accumulated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20"/>
                <w:szCs w:val="20"/>
                <w:color w:val="auto"/>
                <w:w w:val="89"/>
              </w:rPr>
              <w:t>Net</w:t>
            </w:r>
          </w:p>
        </w:tc>
        <w:tc>
          <w:tcPr>
            <w:tcW w:w="0" w:type="dxa"/>
            <w:vAlign w:val="bottom"/>
          </w:tcPr>
          <w:p>
            <w:pPr>
              <w:spacing w:after="0"/>
              <w:rPr>
                <w:sz w:val="1"/>
                <w:szCs w:val="1"/>
                <w:color w:val="auto"/>
              </w:rPr>
            </w:pPr>
          </w:p>
        </w:tc>
      </w:tr>
      <w:tr>
        <w:trPr>
          <w:trHeight w:val="246"/>
        </w:trPr>
        <w:tc>
          <w:tcPr>
            <w:tcW w:w="5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41"/>
              <w:spacing w:after="0"/>
              <w:rPr>
                <w:sz w:val="20"/>
                <w:szCs w:val="20"/>
                <w:color w:val="auto"/>
              </w:rPr>
            </w:pPr>
            <w:r>
              <w:rPr>
                <w:rFonts w:ascii="Arial" w:cs="Arial" w:eastAsia="Arial" w:hAnsi="Arial"/>
                <w:sz w:val="20"/>
                <w:szCs w:val="20"/>
                <w:color w:val="auto"/>
              </w:rPr>
              <w:t>Amount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20"/>
                <w:szCs w:val="20"/>
                <w:color w:val="auto"/>
                <w:w w:val="98"/>
              </w:rPr>
              <w:t>Amortization</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20"/>
                <w:szCs w:val="20"/>
                <w:color w:val="auto"/>
                <w:w w:val="88"/>
              </w:rPr>
              <w:t>Balance</w:t>
            </w:r>
          </w:p>
        </w:tc>
        <w:tc>
          <w:tcPr>
            <w:tcW w:w="0" w:type="dxa"/>
            <w:vAlign w:val="bottom"/>
          </w:tcPr>
          <w:p>
            <w:pPr>
              <w:spacing w:after="0"/>
              <w:rPr>
                <w:sz w:val="1"/>
                <w:szCs w:val="1"/>
                <w:color w:val="auto"/>
              </w:rPr>
            </w:pPr>
          </w:p>
        </w:tc>
      </w:tr>
      <w:tr>
        <w:trPr>
          <w:trHeight w:val="237"/>
        </w:trPr>
        <w:tc>
          <w:tcPr>
            <w:tcW w:w="576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20"/>
                <w:szCs w:val="20"/>
                <w:i w:val="1"/>
                <w:iCs w:val="1"/>
                <w:color w:val="auto"/>
              </w:rPr>
              <w:t>(Dollars in Millions)</w:t>
            </w:r>
          </w:p>
        </w:tc>
        <w:tc>
          <w:tcPr>
            <w:tcW w:w="300" w:type="dxa"/>
            <w:vAlign w:val="bottom"/>
            <w:tcBorders>
              <w:top w:val="single" w:sz="8" w:color="CFF0FC"/>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1940" w:type="dxa"/>
            <w:vAlign w:val="bottom"/>
            <w:tcBorders>
              <w:top w:val="single" w:sz="8" w:color="auto"/>
              <w:bottom w:val="single" w:sz="8" w:color="auto"/>
            </w:tcBorders>
            <w:gridSpan w:val="4"/>
            <w:shd w:val="clear" w:color="auto" w:fill="CFF0FC"/>
          </w:tcPr>
          <w:p>
            <w:pPr>
              <w:jc w:val="right"/>
              <w:ind w:right="140"/>
              <w:spacing w:after="0"/>
              <w:rPr>
                <w:sz w:val="20"/>
                <w:szCs w:val="20"/>
                <w:color w:val="auto"/>
              </w:rPr>
            </w:pPr>
            <w:r>
              <w:rPr>
                <w:rFonts w:ascii="Arial" w:cs="Arial" w:eastAsia="Arial" w:hAnsi="Arial"/>
                <w:sz w:val="20"/>
                <w:szCs w:val="20"/>
                <w:color w:val="auto"/>
                <w:w w:val="98"/>
              </w:rPr>
              <w:t>September 30, 2021</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r>
              <w:rPr>
                <w:rFonts w:ascii="Arial" w:cs="Arial" w:eastAsia="Arial" w:hAnsi="Arial"/>
                <w:sz w:val="20"/>
                <w:szCs w:val="20"/>
                <w:color w:val="auto"/>
              </w:rPr>
              <w:t>Noncompetition agreements</w:t>
            </w:r>
          </w:p>
        </w:tc>
        <w:tc>
          <w:tcPr>
            <w:tcW w:w="5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4.2</w:t>
            </w:r>
          </w:p>
        </w:tc>
        <w:tc>
          <w:tcPr>
            <w:tcW w:w="4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(4.1)</w:t>
            </w: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Customer relationships</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312.7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(44.3)</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Operating permits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523.8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(53.7)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470.1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Use rights and other</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(13.8)</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Trade names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23.3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(13.3)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880.4</w:t>
            </w:r>
          </w:p>
        </w:tc>
        <w:tc>
          <w:tcPr>
            <w:tcW w:w="2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(129.2)</w:t>
            </w:r>
          </w:p>
        </w:tc>
        <w:tc>
          <w:tcPr>
            <w:tcW w:w="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1940" w:type="dxa"/>
            <w:vAlign w:val="bottom"/>
            <w:tcBorders>
              <w:bottom w:val="single" w:sz="8" w:color="auto"/>
            </w:tcBorders>
            <w:gridSpan w:val="4"/>
            <w:shd w:val="clear" w:color="auto" w:fill="CFF0FC"/>
          </w:tcPr>
          <w:p>
            <w:pPr>
              <w:ind w:left="240"/>
              <w:spacing w:after="0"/>
              <w:rPr>
                <w:sz w:val="20"/>
                <w:szCs w:val="20"/>
                <w:color w:val="auto"/>
              </w:rPr>
            </w:pPr>
            <w:r>
              <w:rPr>
                <w:rFonts w:ascii="Arial" w:cs="Arial" w:eastAsia="Arial" w:hAnsi="Arial"/>
                <w:sz w:val="20"/>
                <w:szCs w:val="20"/>
                <w:color w:val="auto"/>
                <w:w w:val="95"/>
              </w:rPr>
              <w:t>December 31, 2020</w:t>
            </w:r>
          </w:p>
        </w:tc>
        <w:tc>
          <w:tcPr>
            <w:tcW w:w="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20"/>
                <w:szCs w:val="20"/>
                <w:color w:val="auto"/>
              </w:rPr>
              <w:t>Noncompetition agreements</w:t>
            </w:r>
          </w:p>
        </w:tc>
        <w:tc>
          <w:tcPr>
            <w:tcW w:w="58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4.2</w:t>
            </w:r>
          </w:p>
        </w:tc>
        <w:tc>
          <w:tcPr>
            <w:tcW w:w="420" w:type="dxa"/>
            <w:vAlign w:val="bottom"/>
            <w:gridSpan w:val="2"/>
          </w:tcPr>
          <w:p>
            <w:pPr>
              <w:ind w:left="260"/>
              <w:spacing w:after="0"/>
              <w:rPr>
                <w:sz w:val="20"/>
                <w:szCs w:val="20"/>
                <w:color w:val="auto"/>
              </w:rPr>
            </w:pPr>
            <w:r>
              <w:rPr>
                <w:rFonts w:ascii="Arial" w:cs="Arial" w:eastAsia="Arial" w:hAnsi="Arial"/>
                <w:sz w:val="20"/>
                <w:szCs w:val="20"/>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(4.1)</w:t>
            </w:r>
          </w:p>
        </w:tc>
        <w:tc>
          <w:tcPr>
            <w:tcW w:w="36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Customer relationships</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(35.6)</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Operating permits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460.8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(48.4)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412.4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Use rights and other</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(13.0)</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spacing w:after="0"/>
              <w:rPr>
                <w:sz w:val="20"/>
                <w:szCs w:val="20"/>
                <w:color w:val="auto"/>
              </w:rPr>
            </w:pPr>
            <w:r>
              <w:rPr>
                <w:rFonts w:ascii="Arial" w:cs="Arial" w:eastAsia="Arial" w:hAnsi="Arial"/>
                <w:sz w:val="20"/>
                <w:szCs w:val="20"/>
                <w:color w:val="auto"/>
              </w:rPr>
              <w:t>Trade names</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color w:val="auto"/>
              </w:rPr>
              <w:t>(12.3)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585.4</w:t>
            </w:r>
          </w:p>
        </w:tc>
        <w:tc>
          <w:tcPr>
            <w:tcW w:w="2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(113.4)</w:t>
            </w:r>
          </w:p>
        </w:tc>
        <w:tc>
          <w:tcPr>
            <w:tcW w:w="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At September 30, 2021 and December 31, 2020, intangible assets deemed to have an indefinite life and not being amortized consist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19"/>
                <w:szCs w:val="19"/>
                <w:color w:val="auto"/>
              </w:rPr>
            </w:pPr>
          </w:p>
        </w:tc>
        <w:tc>
          <w:tcPr>
            <w:tcW w:w="3980" w:type="dxa"/>
            <w:vAlign w:val="bottom"/>
            <w:gridSpan w:val="4"/>
          </w:tcPr>
          <w:p>
            <w:pPr>
              <w:ind w:left="2220"/>
              <w:spacing w:after="0"/>
              <w:rPr>
                <w:sz w:val="20"/>
                <w:szCs w:val="20"/>
                <w:color w:val="auto"/>
              </w:rPr>
            </w:pPr>
            <w:r>
              <w:rPr>
                <w:rFonts w:ascii="Arial" w:cs="Arial" w:eastAsia="Arial" w:hAnsi="Arial"/>
                <w:sz w:val="20"/>
                <w:szCs w:val="20"/>
                <w:color w:val="auto"/>
              </w:rPr>
              <w:t>Building Materials</w:t>
            </w:r>
          </w:p>
        </w:tc>
        <w:tc>
          <w:tcPr>
            <w:tcW w:w="200" w:type="dxa"/>
            <w:vAlign w:val="bottom"/>
          </w:tcPr>
          <w:p>
            <w:pPr>
              <w:spacing w:after="0"/>
              <w:rPr>
                <w:sz w:val="19"/>
                <w:szCs w:val="19"/>
                <w:color w:val="auto"/>
              </w:rPr>
            </w:pPr>
          </w:p>
        </w:tc>
        <w:tc>
          <w:tcPr>
            <w:tcW w:w="1560" w:type="dxa"/>
            <w:vAlign w:val="bottom"/>
            <w:gridSpan w:val="3"/>
          </w:tcPr>
          <w:p>
            <w:pPr>
              <w:jc w:val="center"/>
              <w:ind w:right="460"/>
              <w:spacing w:after="0"/>
              <w:rPr>
                <w:sz w:val="20"/>
                <w:szCs w:val="20"/>
                <w:color w:val="auto"/>
              </w:rPr>
            </w:pPr>
            <w:r>
              <w:rPr>
                <w:rFonts w:ascii="Arial" w:cs="Arial" w:eastAsia="Arial" w:hAnsi="Arial"/>
                <w:sz w:val="20"/>
                <w:szCs w:val="20"/>
                <w:color w:val="auto"/>
                <w:w w:val="89"/>
              </w:rPr>
              <w:t>Magnesia</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3860" w:type="dxa"/>
            <w:vAlign w:val="bottom"/>
          </w:tcPr>
          <w:p>
            <w:pPr>
              <w:spacing w:after="0"/>
              <w:rPr>
                <w:sz w:val="20"/>
                <w:szCs w:val="20"/>
                <w:color w:val="auto"/>
              </w:rPr>
            </w:pPr>
            <w:r>
              <w:rPr>
                <w:rFonts w:ascii="Arial" w:cs="Arial" w:eastAsia="Arial" w:hAnsi="Arial"/>
                <w:sz w:val="20"/>
                <w:szCs w:val="20"/>
                <w:i w:val="1"/>
                <w:iCs w:val="1"/>
                <w:color w:val="auto"/>
              </w:rPr>
              <w:t>(Dollars in Millions)</w:t>
            </w:r>
          </w:p>
        </w:tc>
        <w:tc>
          <w:tcPr>
            <w:tcW w:w="2460" w:type="dxa"/>
            <w:vAlign w:val="bottom"/>
          </w:tcPr>
          <w:p>
            <w:pPr>
              <w:spacing w:after="0"/>
              <w:rPr>
                <w:sz w:val="21"/>
                <w:szCs w:val="21"/>
                <w:color w:val="auto"/>
              </w:rPr>
            </w:pPr>
          </w:p>
        </w:tc>
        <w:tc>
          <w:tcPr>
            <w:tcW w:w="1520" w:type="dxa"/>
            <w:vAlign w:val="bottom"/>
            <w:gridSpan w:val="3"/>
          </w:tcPr>
          <w:p>
            <w:pPr>
              <w:ind w:left="160"/>
              <w:spacing w:after="0"/>
              <w:rPr>
                <w:sz w:val="20"/>
                <w:szCs w:val="20"/>
                <w:color w:val="auto"/>
              </w:rPr>
            </w:pPr>
            <w:r>
              <w:rPr>
                <w:rFonts w:ascii="Arial" w:cs="Arial" w:eastAsia="Arial" w:hAnsi="Arial"/>
                <w:sz w:val="20"/>
                <w:szCs w:val="20"/>
                <w:color w:val="auto"/>
              </w:rPr>
              <w:t>business</w:t>
            </w:r>
          </w:p>
        </w:tc>
        <w:tc>
          <w:tcPr>
            <w:tcW w:w="200" w:type="dxa"/>
            <w:vAlign w:val="bottom"/>
          </w:tcPr>
          <w:p>
            <w:pPr>
              <w:spacing w:after="0"/>
              <w:rPr>
                <w:sz w:val="21"/>
                <w:szCs w:val="21"/>
                <w:color w:val="auto"/>
              </w:rPr>
            </w:pPr>
          </w:p>
        </w:tc>
        <w:tc>
          <w:tcPr>
            <w:tcW w:w="1560" w:type="dxa"/>
            <w:vAlign w:val="bottom"/>
            <w:gridSpan w:val="3"/>
          </w:tcPr>
          <w:p>
            <w:pPr>
              <w:jc w:val="center"/>
              <w:ind w:right="460"/>
              <w:spacing w:after="0"/>
              <w:rPr>
                <w:sz w:val="20"/>
                <w:szCs w:val="20"/>
                <w:color w:val="auto"/>
              </w:rPr>
            </w:pPr>
            <w:r>
              <w:rPr>
                <w:rFonts w:ascii="Arial" w:cs="Arial" w:eastAsia="Arial" w:hAnsi="Arial"/>
                <w:sz w:val="20"/>
                <w:szCs w:val="20"/>
                <w:color w:val="auto"/>
                <w:w w:val="88"/>
              </w:rPr>
              <w:t>Specialties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ind w:left="220"/>
              <w:spacing w:after="0"/>
              <w:rPr>
                <w:sz w:val="20"/>
                <w:szCs w:val="20"/>
                <w:color w:val="auto"/>
              </w:rPr>
            </w:pPr>
            <w:r>
              <w:rPr>
                <w:rFonts w:ascii="Arial" w:cs="Arial" w:eastAsia="Arial" w:hAnsi="Arial"/>
                <w:sz w:val="20"/>
                <w:szCs w:val="20"/>
                <w:color w:val="auto"/>
              </w:rPr>
              <w:t>Total</w:t>
            </w:r>
          </w:p>
        </w:tc>
      </w:tr>
      <w:tr>
        <w:trPr>
          <w:trHeight w:val="237"/>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Operating permits</w:t>
            </w:r>
          </w:p>
        </w:tc>
        <w:tc>
          <w:tcPr>
            <w:tcW w:w="2460" w:type="dxa"/>
            <w:vAlign w:val="bottom"/>
            <w:tcBorders>
              <w:top w:val="single" w:sz="8" w:color="auto"/>
            </w:tcBorders>
            <w:shd w:val="clear" w:color="auto" w:fill="CFF0FC"/>
          </w:tcPr>
          <w:p>
            <w:pPr>
              <w:ind w:left="2200"/>
              <w:spacing w:after="0"/>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10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20"/>
                <w:szCs w:val="20"/>
                <w:color w:val="auto"/>
              </w:rPr>
              <w:t>Use rights</w:t>
            </w:r>
          </w:p>
        </w:tc>
        <w:tc>
          <w:tcPr>
            <w:tcW w:w="24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3"/>
          </w:tcPr>
          <w:p>
            <w:pPr>
              <w:jc w:val="right"/>
              <w:ind w:right="2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26.7</w:t>
            </w:r>
          </w:p>
        </w:tc>
        <w:tc>
          <w:tcPr>
            <w:tcW w:w="100" w:type="dxa"/>
            <w:vAlign w:val="bottom"/>
          </w:tcPr>
          <w:p>
            <w:pPr>
              <w:spacing w:after="0"/>
              <w:rPr>
                <w:sz w:val="21"/>
                <w:szCs w:val="21"/>
                <w:color w:val="auto"/>
              </w:rPr>
            </w:pPr>
          </w:p>
        </w:tc>
      </w:tr>
      <w:tr>
        <w:trPr>
          <w:trHeight w:val="243"/>
        </w:trPr>
        <w:tc>
          <w:tcPr>
            <w:tcW w:w="3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Trade names</w:t>
            </w:r>
          </w:p>
        </w:tc>
        <w:tc>
          <w:tcPr>
            <w:tcW w:w="24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w:t>
            </w:r>
          </w:p>
        </w:tc>
        <w:tc>
          <w:tcPr>
            <w:tcW w:w="100" w:type="dxa"/>
            <w:vAlign w:val="bottom"/>
            <w:shd w:val="clear" w:color="auto" w:fill="CFF0FC"/>
          </w:tcPr>
          <w:p>
            <w:pPr>
              <w:spacing w:after="0"/>
              <w:rPr>
                <w:sz w:val="21"/>
                <w:szCs w:val="21"/>
                <w:color w:val="auto"/>
              </w:rPr>
            </w:pPr>
          </w:p>
        </w:tc>
      </w:tr>
      <w:tr>
        <w:trPr>
          <w:trHeight w:val="237"/>
        </w:trPr>
        <w:tc>
          <w:tcPr>
            <w:tcW w:w="3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2460" w:type="dxa"/>
            <w:vAlign w:val="bottom"/>
            <w:tcBorders>
              <w:bottom w:val="single" w:sz="8" w:color="auto"/>
            </w:tcBorders>
          </w:tcPr>
          <w:p>
            <w:pPr>
              <w:ind w:left="220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w:t>
            </w:r>
          </w:p>
        </w:tc>
        <w:tc>
          <w:tcPr>
            <w:tcW w:w="100" w:type="dxa"/>
            <w:vAlign w:val="bottom"/>
          </w:tcPr>
          <w:p>
            <w:pPr>
              <w:spacing w:after="0"/>
              <w:rPr>
                <w:sz w:val="20"/>
                <w:szCs w:val="20"/>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the nine months ended September 30, 2021, the Company acquired $294.9 million of intangibles, which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jc w:val="center"/>
              <w:ind w:left="81"/>
              <w:spacing w:after="0"/>
              <w:rPr>
                <w:sz w:val="20"/>
                <w:szCs w:val="20"/>
                <w:color w:val="auto"/>
              </w:rPr>
            </w:pPr>
            <w:r>
              <w:rPr>
                <w:rFonts w:ascii="Arial" w:cs="Arial" w:eastAsia="Arial" w:hAnsi="Arial"/>
                <w:sz w:val="20"/>
                <w:szCs w:val="20"/>
                <w:b w:val="1"/>
                <w:bCs w:val="1"/>
                <w:color w:val="auto"/>
                <w:w w:val="88"/>
              </w:rPr>
              <w:t>Weighted-average</w:t>
            </w:r>
          </w:p>
        </w:tc>
      </w:tr>
      <w:tr>
        <w:trPr>
          <w:trHeight w:val="252"/>
        </w:trPr>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(Dollars in Millions)</w:t>
            </w:r>
          </w:p>
        </w:tc>
        <w:tc>
          <w:tcPr>
            <w:tcW w:w="28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Amount</w:t>
            </w:r>
          </w:p>
        </w:tc>
        <w:tc>
          <w:tcPr>
            <w:tcW w:w="120" w:type="dxa"/>
            <w:vAlign w:val="bottom"/>
          </w:tcPr>
          <w:p>
            <w:pPr>
              <w:spacing w:after="0"/>
              <w:rPr>
                <w:sz w:val="21"/>
                <w:szCs w:val="21"/>
                <w:color w:val="auto"/>
              </w:rPr>
            </w:pPr>
          </w:p>
        </w:tc>
        <w:tc>
          <w:tcPr>
            <w:tcW w:w="210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b w:val="1"/>
                <w:bCs w:val="1"/>
                <w:color w:val="auto"/>
                <w:w w:val="90"/>
              </w:rPr>
              <w:t>amortization period</w:t>
            </w:r>
          </w:p>
        </w:tc>
      </w:tr>
      <w:tr>
        <w:trPr>
          <w:trHeight w:val="236"/>
        </w:trPr>
        <w:tc>
          <w:tcPr>
            <w:tcW w:w="4660" w:type="dxa"/>
            <w:vAlign w:val="bottom"/>
          </w:tcPr>
          <w:p>
            <w:pPr>
              <w:spacing w:after="0"/>
              <w:rPr>
                <w:sz w:val="20"/>
                <w:szCs w:val="20"/>
                <w:color w:val="auto"/>
              </w:rPr>
            </w:pPr>
            <w:r>
              <w:rPr>
                <w:rFonts w:ascii="Arial" w:cs="Arial" w:eastAsia="Arial" w:hAnsi="Arial"/>
                <w:sz w:val="20"/>
                <w:szCs w:val="20"/>
                <w:color w:val="auto"/>
              </w:rPr>
              <w:t>Subject to amortization:</w:t>
            </w:r>
          </w:p>
        </w:tc>
        <w:tc>
          <w:tcPr>
            <w:tcW w:w="2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43"/>
        </w:trPr>
        <w:tc>
          <w:tcPr>
            <w:tcW w:w="46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Customer relationships</w:t>
            </w:r>
          </w:p>
        </w:tc>
        <w:tc>
          <w:tcPr>
            <w:tcW w:w="28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221.4</w:t>
            </w:r>
          </w:p>
        </w:tc>
        <w:tc>
          <w:tcPr>
            <w:tcW w:w="120" w:type="dxa"/>
            <w:vAlign w:val="bottom"/>
            <w:shd w:val="clear" w:color="auto" w:fill="CFF0FC"/>
          </w:tcPr>
          <w:p>
            <w:pPr>
              <w:spacing w:after="0"/>
              <w:rPr>
                <w:sz w:val="21"/>
                <w:szCs w:val="21"/>
                <w:color w:val="auto"/>
              </w:rPr>
            </w:pPr>
          </w:p>
        </w:tc>
        <w:tc>
          <w:tcPr>
            <w:tcW w:w="2100" w:type="dxa"/>
            <w:vAlign w:val="bottom"/>
            <w:shd w:val="clear" w:color="auto" w:fill="CFF0FC"/>
          </w:tcPr>
          <w:p>
            <w:pPr>
              <w:jc w:val="center"/>
              <w:ind w:left="61"/>
              <w:spacing w:after="0"/>
              <w:rPr>
                <w:sz w:val="20"/>
                <w:szCs w:val="20"/>
                <w:color w:val="auto"/>
              </w:rPr>
            </w:pPr>
            <w:r>
              <w:rPr>
                <w:rFonts w:ascii="Arial" w:cs="Arial" w:eastAsia="Arial" w:hAnsi="Arial"/>
                <w:sz w:val="20"/>
                <w:szCs w:val="20"/>
                <w:color w:val="auto"/>
                <w:w w:val="85"/>
              </w:rPr>
              <w:t>24 years</w:t>
            </w:r>
          </w:p>
        </w:tc>
      </w:tr>
      <w:tr>
        <w:trPr>
          <w:trHeight w:val="257"/>
        </w:trPr>
        <w:tc>
          <w:tcPr>
            <w:tcW w:w="4660" w:type="dxa"/>
            <w:vAlign w:val="bottom"/>
          </w:tcPr>
          <w:p>
            <w:pPr>
              <w:ind w:left="260"/>
              <w:spacing w:after="0"/>
              <w:rPr>
                <w:sz w:val="20"/>
                <w:szCs w:val="20"/>
                <w:color w:val="auto"/>
              </w:rPr>
            </w:pPr>
            <w:r>
              <w:rPr>
                <w:rFonts w:ascii="Arial" w:cs="Arial" w:eastAsia="Arial" w:hAnsi="Arial"/>
                <w:sz w:val="20"/>
                <w:szCs w:val="20"/>
                <w:color w:val="auto"/>
              </w:rPr>
              <w:t>Permits</w:t>
            </w:r>
          </w:p>
        </w:tc>
        <w:tc>
          <w:tcPr>
            <w:tcW w:w="28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63.0</w:t>
            </w:r>
          </w:p>
        </w:tc>
        <w:tc>
          <w:tcPr>
            <w:tcW w:w="120" w:type="dxa"/>
            <w:vAlign w:val="bottom"/>
          </w:tcPr>
          <w:p>
            <w:pPr>
              <w:spacing w:after="0"/>
              <w:rPr>
                <w:sz w:val="22"/>
                <w:szCs w:val="22"/>
                <w:color w:val="auto"/>
              </w:rPr>
            </w:pPr>
          </w:p>
        </w:tc>
        <w:tc>
          <w:tcPr>
            <w:tcW w:w="2100" w:type="dxa"/>
            <w:vAlign w:val="bottom"/>
          </w:tcPr>
          <w:p>
            <w:pPr>
              <w:jc w:val="center"/>
              <w:ind w:left="61"/>
              <w:spacing w:after="0"/>
              <w:rPr>
                <w:sz w:val="20"/>
                <w:szCs w:val="20"/>
                <w:color w:val="auto"/>
              </w:rPr>
            </w:pPr>
            <w:r>
              <w:rPr>
                <w:rFonts w:ascii="Arial" w:cs="Arial" w:eastAsia="Arial" w:hAnsi="Arial"/>
                <w:sz w:val="20"/>
                <w:szCs w:val="20"/>
                <w:color w:val="auto"/>
                <w:w w:val="85"/>
              </w:rPr>
              <w:t>40 years</w:t>
            </w:r>
          </w:p>
        </w:tc>
      </w:tr>
      <w:tr>
        <w:trPr>
          <w:trHeight w:val="243"/>
        </w:trPr>
        <w:tc>
          <w:tcPr>
            <w:tcW w:w="46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20"/>
                <w:szCs w:val="20"/>
                <w:color w:val="auto"/>
              </w:rPr>
              <w:t>Trade name</w:t>
            </w:r>
          </w:p>
        </w:tc>
        <w:tc>
          <w:tcPr>
            <w:tcW w:w="28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10.5</w:t>
            </w:r>
          </w:p>
        </w:tc>
        <w:tc>
          <w:tcPr>
            <w:tcW w:w="120" w:type="dxa"/>
            <w:vAlign w:val="bottom"/>
            <w:shd w:val="clear" w:color="auto" w:fill="CFF0FC"/>
          </w:tcPr>
          <w:p>
            <w:pPr>
              <w:spacing w:after="0"/>
              <w:rPr>
                <w:sz w:val="21"/>
                <w:szCs w:val="21"/>
                <w:color w:val="auto"/>
              </w:rPr>
            </w:pPr>
          </w:p>
        </w:tc>
        <w:tc>
          <w:tcPr>
            <w:tcW w:w="2100" w:type="dxa"/>
            <w:vAlign w:val="bottom"/>
            <w:shd w:val="clear" w:color="auto" w:fill="CFF0FC"/>
          </w:tcPr>
          <w:p>
            <w:pPr>
              <w:jc w:val="center"/>
              <w:ind w:left="81"/>
              <w:spacing w:after="0"/>
              <w:rPr>
                <w:sz w:val="20"/>
                <w:szCs w:val="20"/>
                <w:color w:val="auto"/>
              </w:rPr>
            </w:pPr>
            <w:r>
              <w:rPr>
                <w:rFonts w:ascii="Arial" w:cs="Arial" w:eastAsia="Arial" w:hAnsi="Arial"/>
                <w:sz w:val="20"/>
                <w:szCs w:val="20"/>
                <w:color w:val="auto"/>
                <w:w w:val="85"/>
              </w:rPr>
              <w:t>9 years</w:t>
            </w:r>
          </w:p>
        </w:tc>
      </w:tr>
      <w:tr>
        <w:trPr>
          <w:trHeight w:val="237"/>
        </w:trPr>
        <w:tc>
          <w:tcPr>
            <w:tcW w:w="46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28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294.9</w:t>
            </w:r>
          </w:p>
        </w:tc>
        <w:tc>
          <w:tcPr>
            <w:tcW w:w="120" w:type="dxa"/>
            <w:vAlign w:val="bottom"/>
          </w:tcPr>
          <w:p>
            <w:pPr>
              <w:spacing w:after="0"/>
              <w:rPr>
                <w:sz w:val="20"/>
                <w:szCs w:val="20"/>
                <w:color w:val="auto"/>
              </w:rPr>
            </w:pPr>
          </w:p>
        </w:tc>
        <w:tc>
          <w:tcPr>
            <w:tcW w:w="2100" w:type="dxa"/>
            <w:vAlign w:val="bottom"/>
          </w:tcPr>
          <w:p>
            <w:pPr>
              <w:jc w:val="center"/>
              <w:ind w:left="61"/>
              <w:spacing w:after="0"/>
              <w:rPr>
                <w:sz w:val="20"/>
                <w:szCs w:val="20"/>
                <w:color w:val="auto"/>
              </w:rPr>
            </w:pPr>
            <w:r>
              <w:rPr>
                <w:rFonts w:ascii="Arial" w:cs="Arial" w:eastAsia="Arial" w:hAnsi="Arial"/>
                <w:sz w:val="20"/>
                <w:szCs w:val="20"/>
                <w:color w:val="auto"/>
                <w:w w:val="85"/>
              </w:rPr>
              <w:t>27 years</w:t>
            </w: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280" w:right="20"/>
        <w:spacing w:after="0" w:line="260" w:lineRule="auto"/>
        <w:rPr>
          <w:sz w:val="20"/>
          <w:szCs w:val="20"/>
          <w:color w:val="auto"/>
        </w:rPr>
      </w:pPr>
      <w:r>
        <w:rPr>
          <w:rFonts w:ascii="Arial" w:cs="Arial" w:eastAsia="Arial" w:hAnsi="Arial"/>
          <w:sz w:val="20"/>
          <w:szCs w:val="20"/>
          <w:color w:val="auto"/>
        </w:rPr>
        <w:t>Total amortization expense for intangible assets for the nine months ended September 30, 2021 and 2020 was $15.2 million and $9.8 million, respectively.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estimated amortization expense for intangibles for the remainder of 2021, each of the next four years, and thereafter is as follows: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Millions)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October - December 2021</w:t>
            </w: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20"/>
                <w:szCs w:val="20"/>
                <w:color w:val="auto"/>
              </w:rPr>
              <w:t>2022</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2023</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20"/>
                <w:szCs w:val="20"/>
                <w:color w:val="auto"/>
              </w:rPr>
              <w:t>2024</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2025</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Thereafter</w:t>
            </w: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646.4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8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6320" w:type="dxa"/>
            <w:vAlign w:val="bottom"/>
          </w:tcPr>
          <w:p>
            <w:pPr>
              <w:spacing w:after="0"/>
              <w:rPr>
                <w:sz w:val="20"/>
                <w:szCs w:val="20"/>
                <w:color w:val="auto"/>
              </w:rPr>
            </w:pPr>
            <w:r>
              <w:rPr>
                <w:rFonts w:ascii="Arial" w:cs="Arial" w:eastAsia="Arial" w:hAnsi="Arial"/>
                <w:sz w:val="20"/>
                <w:szCs w:val="20"/>
                <w:b w:val="1"/>
                <w:bCs w:val="1"/>
                <w:color w:val="auto"/>
              </w:rPr>
              <w:t>5. Inventories, Net</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right"/>
              <w:ind w:right="580"/>
              <w:spacing w:after="0"/>
              <w:rPr>
                <w:sz w:val="20"/>
                <w:szCs w:val="20"/>
                <w:color w:val="auto"/>
              </w:rPr>
            </w:pPr>
            <w:r>
              <w:rPr>
                <w:rFonts w:ascii="Arial" w:cs="Arial" w:eastAsia="Arial" w:hAnsi="Arial"/>
                <w:sz w:val="20"/>
                <w:szCs w:val="20"/>
                <w:color w:val="auto"/>
                <w:w w:val="86"/>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20"/>
                <w:szCs w:val="20"/>
                <w:color w:val="auto"/>
                <w:w w:val="92"/>
              </w:rPr>
              <w:t>December 31,</w:t>
            </w:r>
          </w:p>
        </w:tc>
        <w:tc>
          <w:tcPr>
            <w:tcW w:w="0" w:type="dxa"/>
            <w:vAlign w:val="bottom"/>
          </w:tcPr>
          <w:p>
            <w:pPr>
              <w:spacing w:after="0"/>
              <w:rPr>
                <w:sz w:val="1"/>
                <w:szCs w:val="1"/>
                <w:color w:val="auto"/>
              </w:rPr>
            </w:pPr>
          </w:p>
        </w:tc>
      </w:tr>
      <w:tr>
        <w:trPr>
          <w:trHeight w:val="246"/>
        </w:trPr>
        <w:tc>
          <w:tcPr>
            <w:tcW w:w="6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24"/>
              <w:spacing w:after="0"/>
              <w:rPr>
                <w:sz w:val="20"/>
                <w:szCs w:val="20"/>
                <w:color w:val="auto"/>
              </w:rPr>
            </w:pPr>
            <w:r>
              <w:rPr>
                <w:rFonts w:ascii="Arial" w:cs="Arial" w:eastAsia="Arial" w:hAnsi="Arial"/>
                <w:sz w:val="20"/>
                <w:szCs w:val="20"/>
                <w:color w:val="auto"/>
              </w:rPr>
              <w:t>2021</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23"/>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7"/>
          </w:tcPr>
          <w:p>
            <w:pPr>
              <w:jc w:val="right"/>
              <w:ind w:right="1063"/>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10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683.2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ind w:right="86"/>
              <w:spacing w:after="0"/>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20"/>
                <w:szCs w:val="20"/>
                <w:color w:val="auto"/>
              </w:rPr>
              <w:t>Products in process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25.6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spacing w:after="0"/>
              <w:rPr>
                <w:sz w:val="20"/>
                <w:szCs w:val="20"/>
                <w:color w:val="auto"/>
              </w:rPr>
            </w:pPr>
            <w:r>
              <w:rPr>
                <w:rFonts w:ascii="Arial" w:cs="Arial" w:eastAsia="Arial" w:hAnsi="Arial"/>
                <w:sz w:val="20"/>
                <w:szCs w:val="20"/>
                <w:color w:val="auto"/>
              </w:rPr>
              <w:t>Raw materials</w:t>
            </w: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Supplies and expendable parts</w:t>
            </w:r>
          </w:p>
        </w:tc>
        <w:tc>
          <w:tcPr>
            <w:tcW w:w="8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152.0</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916.7</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889.3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20"/>
                <w:szCs w:val="20"/>
                <w:color w:val="auto"/>
              </w:rPr>
              <w:t>Less: Allowances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20"/>
                <w:szCs w:val="20"/>
                <w:color w:val="auto"/>
              </w:rPr>
              <w:t>(199.2)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20"/>
                <w:szCs w:val="20"/>
                <w:color w:val="auto"/>
              </w:rPr>
              <w:t>(180.3)</w:t>
            </w:r>
          </w:p>
        </w:tc>
        <w:tc>
          <w:tcPr>
            <w:tcW w:w="0" w:type="dxa"/>
            <w:vAlign w:val="bottom"/>
          </w:tcPr>
          <w:p>
            <w:pPr>
              <w:spacing w:after="0"/>
              <w:rPr>
                <w:sz w:val="1"/>
                <w:szCs w:val="1"/>
                <w:color w:val="auto"/>
              </w:rPr>
            </w:pPr>
          </w:p>
        </w:tc>
      </w:tr>
      <w:tr>
        <w:trPr>
          <w:trHeight w:val="236"/>
        </w:trPr>
        <w:tc>
          <w:tcPr>
            <w:tcW w:w="6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8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717.5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FF0FC"/>
          </w:tcPr>
          <w:p>
            <w:pPr>
              <w:jc w:val="right"/>
              <w:ind w:right="86"/>
              <w:spacing w:after="0"/>
              <w:rPr>
                <w:sz w:val="20"/>
                <w:szCs w:val="20"/>
                <w:color w:val="auto"/>
              </w:rPr>
            </w:pPr>
            <w:r>
              <w:rPr>
                <w:rFonts w:ascii="Arial" w:cs="Arial" w:eastAsia="Arial" w:hAnsi="Arial"/>
                <w:sz w:val="20"/>
                <w:szCs w:val="20"/>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709.0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20"/>
                <w:szCs w:val="20"/>
                <w:b w:val="1"/>
                <w:bCs w:val="1"/>
                <w:color w:val="auto"/>
              </w:rPr>
              <w:t>6. Long-Term Debt</w:t>
            </w: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3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9"/>
                <w:szCs w:val="19"/>
                <w:color w:val="auto"/>
              </w:rPr>
              <w:t>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9"/>
                <w:szCs w:val="19"/>
                <w:color w:val="auto"/>
              </w:rPr>
              <w:t>December 31,</w:t>
            </w:r>
          </w:p>
        </w:tc>
        <w:tc>
          <w:tcPr>
            <w:tcW w:w="0" w:type="dxa"/>
            <w:vAlign w:val="bottom"/>
          </w:tcPr>
          <w:p>
            <w:pPr>
              <w:spacing w:after="0"/>
              <w:rPr>
                <w:sz w:val="1"/>
                <w:szCs w:val="1"/>
                <w:color w:val="auto"/>
              </w:rPr>
            </w:pPr>
          </w:p>
        </w:tc>
      </w:tr>
      <w:tr>
        <w:trPr>
          <w:trHeight w:val="238"/>
        </w:trPr>
        <w:tc>
          <w:tcPr>
            <w:tcW w:w="6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464"/>
              <w:spacing w:after="0"/>
              <w:rPr>
                <w:sz w:val="20"/>
                <w:szCs w:val="20"/>
                <w:color w:val="auto"/>
              </w:rPr>
            </w:pPr>
            <w:r>
              <w:rPr>
                <w:rFonts w:ascii="Arial" w:cs="Arial" w:eastAsia="Arial" w:hAnsi="Arial"/>
                <w:sz w:val="19"/>
                <w:szCs w:val="19"/>
                <w:color w:val="auto"/>
              </w:rPr>
              <w:t>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83"/>
              <w:spacing w:after="0"/>
              <w:rPr>
                <w:sz w:val="20"/>
                <w:szCs w:val="20"/>
                <w:color w:val="auto"/>
              </w:rPr>
            </w:pPr>
            <w:r>
              <w:rPr>
                <w:rFonts w:ascii="Arial" w:cs="Arial" w:eastAsia="Arial" w:hAnsi="Arial"/>
                <w:sz w:val="19"/>
                <w:szCs w:val="19"/>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jc w:val="right"/>
              <w:ind w:right="983"/>
              <w:spacing w:after="0"/>
              <w:rPr>
                <w:sz w:val="20"/>
                <w:szCs w:val="20"/>
                <w:color w:val="auto"/>
              </w:rPr>
            </w:pPr>
            <w:r>
              <w:rPr>
                <w:rFonts w:ascii="Arial" w:cs="Arial" w:eastAsia="Arial" w:hAnsi="Arial"/>
                <w:sz w:val="19"/>
                <w:szCs w:val="19"/>
                <w:i w:val="1"/>
                <w:iCs w:val="1"/>
                <w:color w:val="auto"/>
              </w:rPr>
              <w:t>(Dollars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0.650% Senior Notes, due 2023</w:t>
            </w: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696.9</w:t>
            </w:r>
          </w:p>
        </w:tc>
        <w:tc>
          <w:tcPr>
            <w:tcW w:w="1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9"/>
                <w:szCs w:val="19"/>
                <w:color w:val="auto"/>
              </w:rPr>
              <w:t>4.250% Senior Notes, due 2024</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9"/>
                <w:szCs w:val="19"/>
                <w:color w:val="auto"/>
              </w:rPr>
              <w:t>398.1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7% Debentures, due 2025</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124.5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9"/>
                <w:szCs w:val="19"/>
                <w:color w:val="auto"/>
              </w:rPr>
              <w:t>3.450% Senior Notes, due 2027</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9"/>
                <w:szCs w:val="19"/>
                <w:color w:val="auto"/>
              </w:rPr>
              <w:t>297.9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3.500% Senior Notes, due 2027</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496.2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495.8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9"/>
                <w:szCs w:val="19"/>
                <w:color w:val="auto"/>
              </w:rPr>
              <w:t>2.500% Senior Notes, due 2030</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9"/>
                <w:szCs w:val="19"/>
                <w:color w:val="auto"/>
              </w:rPr>
              <w:t>490.9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490.1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2.400% Senior Notes, due 2031</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891.7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9"/>
                <w:szCs w:val="19"/>
                <w:color w:val="auto"/>
              </w:rPr>
              <w:t>6.25% Senior Notes, due 2037</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9"/>
                <w:szCs w:val="19"/>
                <w:color w:val="auto"/>
              </w:rPr>
              <w:t>228.3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9"/>
                <w:szCs w:val="19"/>
                <w:color w:val="auto"/>
              </w:rPr>
              <w:t>228.2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592.0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9"/>
                <w:szCs w:val="19"/>
                <w:color w:val="auto"/>
              </w:rPr>
              <w:t>3.200% Senior Notes, due 2051</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9"/>
                <w:szCs w:val="19"/>
                <w:color w:val="auto"/>
              </w:rPr>
              <w:t>882.9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Trade Receivable Facility, interest rate of 0.77 % at September 30, 2021</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20.0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0.1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5,119.5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2,625.8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9"/>
                <w:szCs w:val="19"/>
                <w:color w:val="auto"/>
              </w:rPr>
              <w:t>Less: Current maturities of long-term debt</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9"/>
                <w:szCs w:val="19"/>
                <w:color w:val="auto"/>
              </w:rPr>
              <w:t>(20.1)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10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6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9"/>
                <w:szCs w:val="19"/>
                <w:color w:val="auto"/>
              </w:rPr>
              <w:t>5,099.4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2,625.8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jc w:val="center"/>
        <w:ind w:right="2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FORM 10-Q</w:t>
      </w:r>
    </w:p>
    <w:p>
      <w:pPr>
        <w:jc w:val="center"/>
        <w:ind w:right="280"/>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5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July 2, 2021, the Company issued $700 million aggregate principal amount of 0.650% Senior Notes due 2023 (the 0.650% Senior Notes), $900 million aggregate principal amount of 2.400% Senior Notes due 2031 (the 2.400% Senior Notes) and $900 million aggregate principal amount of 3.200% Senior Notes due 2051 (the 3.200% Senior Notes) and, together with the 0.650% Senior Notes and the 2.400% Senior Notes (the Senior Notes), pursuant to a base indenture, dated as of May 22, 2017 (the Base Indenture), as amended and supplemented from time to time, including by the Fourth Supplemental Indenture, dated as of July 2, 2021 and, together with the Base Indenture (the Indenture) between the Company and Regions Bank, as trustee, governing the Senior Notes. The Senior Notes are carried net of original issue discount, which will be amortized using the effective interest method over the lives of the issues. The Company used the net proceeds of the 2.400% Senior Notes, the 3.200% Senior Notes and the 0.650% Senior Notes to pay the consideration for the acquisition of Lehigh Hanson, Inc.’s West Region (Lehigh West Region) business, and for general corporate purposes. See Note 16 for more information on the Lehigh West Region acquisition, which was consummated on October 1, 2021.</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July 2, 2022 (the 2023 Par Call Date), the Company may redeem the 0.650% Senior Notes, at its option, at any time in whole or from time to time in part at a price equal to the greater of: (i) 100% of the principal amount of the 0.650% Senior Notes to be redeemed and (ii) the sum of the present values of the principal amount of the 0.650% Senior Notes to be redeemed and the remaining scheduled payments of interest thereon after the date of optional redemption (a 2023 Optional Redemption Date) through the 2023 Par Call Date (assuming, for this purpose, that the 0.650% Senior Notes are scheduled to mature on the 2023 Par Call Date), excluding interest, if any, accrued thereon to such 2023 Optional Redemption Date, discounted to such 2023 Optional Redemption Date on a semiannual basis (assuming a 360-day year consisting of twelve 30-day months) at the Treasury Rate (as defined in the Indenture) plus 10 basis points (or 0.100%) plus, in each case, unpaid interest, if any, accrued thereon to, but excluding, such 2023 Optional Redemption Date. On or after the 2023 Par Call Date and prior to maturity, the Company may redeem the 0.650% Senior Notes at any time in whole or from time to time in part at a price equal to 100% of the principal amount of the 0.650% Senior Notes, at its option, to be redeemed, plus unpaid interest, if any, accrued thereon to, but excluding, the 2023 Optional Redemption Date.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April 15, 2031 (the 2031 Par Call Date), the Company may redeem the 2.400% Senior Notes, at its option, at any time in whole or from time to time in part at a price equal to the greater of: (i) 100% of the principal amount of the 2.400% Senior Notes to be redeemed and (ii) the sum of the present values of the principal amount of the 2.400% Senior Notes to be redeemed and the remaining scheduled payments of interest thereon after the date of optional redemption (a 2031 Optional Redemption Date) through the 2031 Par Call Date (assuming, for this purpose, that the 2.400% Senior Notes are scheduled to mature on the 2031 Par Call Date), excluding interest, if any, accrued thereon to such 2031 Optional Redemption Date, discounted to such 2031 Optional Redemption Date on a semiannual basis (assuming a 360-day year consisting of twelve 30-day months) at the Treasury Rate (as defined in the Indenture) plus 15 basis points (or 0.150%) plus, in each case, unpaid interest, if any, accrued thereon to, but excluding, such 2031 Optional Redemption Date. On or after the 2031 Par Call Date and prior to maturity, the Company may redeem the 2.400% Senior Notes at any time in whole or from time to time in part at a price equal to 100% of the principal amount of the 2.400% Senior Notes, at its option, to be redeemed, plus unpaid interest, if any, accrued thereon to, but excluding, the 2031 Optional Redemption Date.</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Page 19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66040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2" w:right="339" w:bottom="1440" w:gutter="0" w:footer="0" w:header="0"/>
        </w:sectPr>
      </w:pPr>
    </w:p>
    <w:bookmarkStart w:id="19" w:name="page20"/>
    <w:bookmarkEnd w:id="19"/>
    <w:p>
      <w:pPr>
        <w:jc w:val="center"/>
        <w:ind w:right="28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FORM 10-Q</w:t>
      </w:r>
    </w:p>
    <w:p>
      <w:pPr>
        <w:jc w:val="center"/>
        <w:ind w:right="280"/>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Prior to January 15, 2051 (the 2051 Par Call Date), the Company may redeem the 3.200% Senior Notes, at its option, at any time in whole or from time to time in part at a price equal to the greater of: (i) 100% of the principal amount of the 3.200% Senior Notes to be redeemed and (ii) the sum of the present values of the principal amount of the 3.200% Senior Notes to be redeemed and the remaining scheduled payments of interest thereon after the date of optional redemption (a 2051 Optional Redemption Date) through the 2051 Par Call Date (assuming, for this purpose, that the 3.200% Senior Notes are scheduled to mature on the 2051 Par Call Date), excluding interest, if any, accrued thereon to such 2051 Optional Redemption Date, discounted to such 2051 Optional Redemption Date on a semiannual basis (assuming a 360-day year consisting of twelve 30-day months) at the Treasury Rate (as defined in the Indenture) plus 20 basis points (or 0.200%) plus, in each case, unpaid interest, if any, accrued thereon to, but excluding, such 2051 Optional Redemption Date. On or after the 2051 Par Call Date and prior to maturity, the Company may redeem the 3.200% Senior Notes at any time in whole or from time to time in part at a price equal to 100% of the principal amount of the 3.200% Senior Notes, at its option, to be redeemed, plus unpaid interest, if any, accrued thereon to, but excluding, the 2051 Optional Redemption Date.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through a wholly-owned special-purpose subsidiary, has a $400 million trade receivable securitization facility (the Trade Receivable Facility). On September 22, 2021 the Company extended the maturity to September 21, 2022. The Trade Receivable Facility, with Truist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These receivables are originated by the Company and then sold by the Company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0.60% for borrowings funded by conduit lenders and one-month LIBOR plus 0.70%, subject to change in the event that this rate no longer reflects the lender’s cost of lending, for borrowings funded by all other lenders. The Trade Receivable Facility contains a cross-default provision to the Company’s other debt agreements. Subject to certain conditions, including lenders providing the requisite commitments, the Trade Receivable Facility may be increased to a borrowing base not to exceed $500 million. There was $20.0 million outstanding under the Trade Receivable Facility at September 30, 2021, and no borrowings outstanding at December 31, 2020.</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The Company has a $700 million five-year senior unsecured revolving facility (the Revolving Facility) with JPMorgan Chase Bank, N.A., as Administrative Agent, Truist Bank, Deutsche Bank Securities, Inc., and Wells Fargo Bank, N.A., as Co-Syndication Agents, and the lenders party thereto. Borrowings under the Revolving Facility bear interest, at the Company’s option, at rates based upon LIBOR or a base rate, plus, for each rate, a margin determined in accordance with a ratings-based pricing grid. There were no borrowings outstanding under the Revolving Facility at September 30, 2021 or December 31, 2020.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 The Company was in compliance with this covenant at September 30, 2021.</w:t>
      </w:r>
    </w:p>
    <w:p>
      <w:pPr>
        <w:spacing w:after="0" w:line="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Revolving Facility expires on December 5, 2024, with any outstanding principal amounts, together with interest accrued thereon, due in full on that date. Available borrowings under the Revolving Facility are reduced by any</w:t>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Page 20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66040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line="260" w:lineRule="auto"/>
        <w:rPr>
          <w:sz w:val="20"/>
          <w:szCs w:val="20"/>
          <w:color w:val="auto"/>
        </w:rPr>
      </w:pPr>
      <w:r>
        <w:rPr>
          <w:rFonts w:ascii="Arial" w:cs="Arial" w:eastAsia="Arial" w:hAnsi="Arial"/>
          <w:sz w:val="20"/>
          <w:szCs w:val="20"/>
          <w:color w:val="auto"/>
        </w:rPr>
        <w:t>outstanding letters of credit issued by the Company under the Revolving Facility. The Company had $2.6 million of outstanding letters of credit issued under the Revolving Facility at September 30, 2021 and December 31, 2020.</w:t>
      </w:r>
    </w:p>
    <w:p>
      <w:pPr>
        <w:spacing w:after="0" w:line="279" w:lineRule="exact"/>
        <w:rPr>
          <w:sz w:val="20"/>
          <w:szCs w:val="20"/>
          <w:color w:val="auto"/>
        </w:rPr>
      </w:pPr>
    </w:p>
    <w:p>
      <w:pPr>
        <w:ind w:left="280" w:hanging="272"/>
        <w:spacing w:after="0"/>
        <w:tabs>
          <w:tab w:leader="none" w:pos="2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jc w:val="both"/>
        <w:ind w:left="2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temporary cash investments, restricted cash, accounts receivable, accounts payable, publicly-registered long-term notes, debentures and other long-term debt. The estimated fair values for all financial instruments are estimated based on Level 2 of the fair value hierarchy.</w:t>
      </w:r>
    </w:p>
    <w:p>
      <w:pPr>
        <w:spacing w:after="0" w:line="77" w:lineRule="exact"/>
        <w:rPr>
          <w:rFonts w:ascii="Arial" w:cs="Arial" w:eastAsia="Arial" w:hAnsi="Arial"/>
          <w:sz w:val="20"/>
          <w:szCs w:val="20"/>
          <w:b w:val="1"/>
          <w:bCs w:val="1"/>
          <w:color w:val="auto"/>
        </w:rPr>
      </w:pPr>
    </w:p>
    <w:p>
      <w:pPr>
        <w:jc w:val="both"/>
        <w:ind w:left="280"/>
        <w:spacing w:after="0" w:line="269" w:lineRule="auto"/>
        <w:rPr>
          <w:rFonts w:ascii="Arial" w:cs="Arial" w:eastAsia="Arial" w:hAnsi="Arial"/>
          <w:sz w:val="20"/>
          <w:szCs w:val="20"/>
          <w:b w:val="1"/>
          <w:bCs w:val="1"/>
          <w:color w:val="auto"/>
        </w:rPr>
      </w:pPr>
      <w:r>
        <w:rPr>
          <w:rFonts w:ascii="Arial" w:cs="Arial" w:eastAsia="Arial" w:hAnsi="Arial"/>
          <w:sz w:val="19"/>
          <w:szCs w:val="19"/>
          <w:color w:val="auto"/>
        </w:rPr>
        <w:t>Temporary cash investments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61" w:lineRule="exact"/>
        <w:rPr>
          <w:rFonts w:ascii="Arial" w:cs="Arial" w:eastAsia="Arial" w:hAnsi="Arial"/>
          <w:sz w:val="20"/>
          <w:szCs w:val="20"/>
          <w:b w:val="1"/>
          <w:bCs w:val="1"/>
          <w:color w:val="auto"/>
        </w:rPr>
      </w:pPr>
    </w:p>
    <w:p>
      <w:pPr>
        <w:ind w:left="2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Restricted cash is held in a trust account with a third-party intermediary. Due to the short-term nature of this account, the fair value of restricted cash approximates its carrying value.</w:t>
      </w:r>
    </w:p>
    <w:p>
      <w:pPr>
        <w:spacing w:after="0" w:line="68" w:lineRule="exact"/>
        <w:rPr>
          <w:rFonts w:ascii="Arial" w:cs="Arial" w:eastAsia="Arial" w:hAnsi="Arial"/>
          <w:sz w:val="20"/>
          <w:szCs w:val="20"/>
          <w:b w:val="1"/>
          <w:bCs w:val="1"/>
          <w:color w:val="auto"/>
        </w:rPr>
      </w:pPr>
    </w:p>
    <w:p>
      <w:pPr>
        <w:jc w:val="both"/>
        <w:ind w:left="2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No single customer accounted for 10% or more of consolidated total revenues in the three-month and nine-month periods ended September 30, 2021 and 2020. The estimated fair values of accounts receivable approximate their carrying amounts due to the short-term nature of the accounts.</w:t>
      </w:r>
    </w:p>
    <w:p>
      <w:pPr>
        <w:spacing w:after="0" w:line="83" w:lineRule="exact"/>
        <w:rPr>
          <w:rFonts w:ascii="Arial" w:cs="Arial" w:eastAsia="Arial" w:hAnsi="Arial"/>
          <w:sz w:val="20"/>
          <w:szCs w:val="20"/>
          <w:b w:val="1"/>
          <w:bCs w:val="1"/>
          <w:color w:val="auto"/>
        </w:rPr>
      </w:pPr>
    </w:p>
    <w:p>
      <w:pPr>
        <w:ind w:left="2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the carrying amount due to the short-term nature of the payables.</w:t>
      </w:r>
    </w:p>
    <w:p>
      <w:pPr>
        <w:spacing w:after="0" w:line="68" w:lineRule="exact"/>
        <w:rPr>
          <w:rFonts w:ascii="Arial" w:cs="Arial" w:eastAsia="Arial" w:hAnsi="Arial"/>
          <w:sz w:val="20"/>
          <w:szCs w:val="20"/>
          <w:b w:val="1"/>
          <w:bCs w:val="1"/>
          <w:color w:val="auto"/>
        </w:rPr>
      </w:pPr>
    </w:p>
    <w:p>
      <w:pPr>
        <w:jc w:val="both"/>
        <w:ind w:left="2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carrying values and fair values of the Company’s long-term debt were $5.12 billion and $5.49 billion, respectively, at September 30, 2021 and $2.63 billion and $3.08 billion, respectively, at December 31, 2020. The estimated fair value of the publicly-registered long-term notes was estimated using quoted market prices. The estimated fair values of other borrowings approximate their carrying amounts as the interest rates reset periodically.</w:t>
      </w:r>
    </w:p>
    <w:p>
      <w:pPr>
        <w:spacing w:after="0" w:line="293" w:lineRule="exact"/>
        <w:rPr>
          <w:rFonts w:ascii="Arial" w:cs="Arial" w:eastAsia="Arial" w:hAnsi="Arial"/>
          <w:sz w:val="20"/>
          <w:szCs w:val="20"/>
          <w:b w:val="1"/>
          <w:bCs w:val="1"/>
          <w:color w:val="auto"/>
        </w:rPr>
      </w:pPr>
    </w:p>
    <w:p>
      <w:pPr>
        <w:ind w:left="280" w:hanging="272"/>
        <w:spacing w:after="0"/>
        <w:tabs>
          <w:tab w:leader="none" w:pos="2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2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The effective income tax rate reflects the effect of federal and state income taxes on earnings and the impact of differences in book and tax accounting arising primarily from the permanent tax benefits associated with the statutory depletion deduction for mineral reserves. For the nine months ended September 30, 2021, the effective income tax rate was 20.6%, which included a $2.9 million discrete benefit for research and development tax credits. For the nine months ended September 30, 2020, the effective income tax rate of 21.0% reflected a $6.9 million discrete benefit from financing third-party railroad track maintenance. In exchange, the Company received a federal income tax credit and deduction.</w:t>
      </w:r>
    </w:p>
    <w:p>
      <w:pPr>
        <w:spacing w:after="0" w:line="87" w:lineRule="exact"/>
        <w:rPr>
          <w:rFonts w:ascii="Arial" w:cs="Arial" w:eastAsia="Arial" w:hAnsi="Arial"/>
          <w:sz w:val="20"/>
          <w:szCs w:val="20"/>
          <w:b w:val="1"/>
          <w:bCs w:val="1"/>
          <w:color w:val="auto"/>
        </w:rPr>
      </w:pPr>
    </w:p>
    <w:p>
      <w:pPr>
        <w:ind w:left="28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9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2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20"/>
                <w:szCs w:val="20"/>
                <w:color w:val="auto"/>
              </w:rPr>
              <w:t>Pension</w:t>
            </w: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500" w:type="dxa"/>
            <w:vAlign w:val="bottom"/>
            <w:tcBorders>
              <w:top w:val="single" w:sz="8" w:color="auto"/>
              <w:bottom w:val="single" w:sz="8" w:color="auto"/>
            </w:tcBorders>
            <w:gridSpan w:val="7"/>
          </w:tcPr>
          <w:p>
            <w:pPr>
              <w:jc w:val="center"/>
              <w:ind w:right="560"/>
              <w:spacing w:after="0"/>
              <w:rPr>
                <w:sz w:val="20"/>
                <w:szCs w:val="20"/>
                <w:color w:val="auto"/>
              </w:rPr>
            </w:pPr>
            <w:r>
              <w:rPr>
                <w:rFonts w:ascii="Arial" w:cs="Arial" w:eastAsia="Arial" w:hAnsi="Arial"/>
                <w:sz w:val="20"/>
                <w:szCs w:val="20"/>
                <w:color w:val="auto"/>
                <w:w w:val="88"/>
              </w:rPr>
              <w:t>Three Months Ended September 30,</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gridSpan w:val="7"/>
          </w:tcPr>
          <w:p>
            <w:pPr>
              <w:jc w:val="center"/>
              <w:ind w:right="560"/>
              <w:spacing w:after="0"/>
              <w:rPr>
                <w:sz w:val="20"/>
                <w:szCs w:val="20"/>
                <w:color w:val="auto"/>
              </w:rPr>
            </w:pPr>
            <w:r>
              <w:rPr>
                <w:rFonts w:ascii="Arial" w:cs="Arial" w:eastAsia="Arial" w:hAnsi="Arial"/>
                <w:sz w:val="20"/>
                <w:szCs w:val="20"/>
                <w:i w:val="1"/>
                <w:iCs w:val="1"/>
                <w:color w:val="auto"/>
                <w:w w:val="98"/>
              </w:rPr>
              <w:t>(Dollars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940" w:type="dxa"/>
            <w:vAlign w:val="bottom"/>
          </w:tcPr>
          <w:p>
            <w:pPr>
              <w:spacing w:after="0"/>
              <w:rPr>
                <w:sz w:val="20"/>
                <w:szCs w:val="20"/>
                <w:color w:val="auto"/>
              </w:rPr>
            </w:pPr>
            <w:r>
              <w:rPr>
                <w:rFonts w:ascii="Arial" w:cs="Arial" w:eastAsia="Arial" w:hAnsi="Arial"/>
                <w:sz w:val="20"/>
                <w:szCs w:val="20"/>
                <w:color w:val="auto"/>
              </w:rPr>
              <w:t>Service cost</w:t>
            </w:r>
          </w:p>
        </w:tc>
        <w:tc>
          <w:tcPr>
            <w:tcW w:w="340" w:type="dxa"/>
            <w:vAlign w:val="bottom"/>
          </w:tcPr>
          <w:p>
            <w:pPr>
              <w:jc w:val="right"/>
              <w:ind w:right="172"/>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11.6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jc w:val="right"/>
              <w:ind w:right="7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9.8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jc w:val="right"/>
              <w:ind w:right="172"/>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Interest cost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w:t>
            </w:r>
          </w:p>
        </w:tc>
        <w:tc>
          <w:tcPr>
            <w:tcW w:w="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9.3</w:t>
            </w:r>
          </w:p>
        </w:tc>
        <w:tc>
          <w:tcPr>
            <w:tcW w:w="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tcPr>
          <w:p>
            <w:pPr>
              <w:spacing w:after="0"/>
              <w:rPr>
                <w:sz w:val="21"/>
                <w:szCs w:val="21"/>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20"/>
                <w:szCs w:val="20"/>
                <w:color w:val="auto"/>
              </w:rPr>
              <w:t>(17.7)</w:t>
            </w:r>
          </w:p>
        </w:tc>
        <w:tc>
          <w:tcPr>
            <w:tcW w:w="24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20"/>
                <w:szCs w:val="20"/>
                <w:color w:val="auto"/>
              </w:rPr>
              <w:t>(15.2)</w:t>
            </w:r>
          </w:p>
        </w:tc>
        <w:tc>
          <w:tcPr>
            <w:tcW w:w="340" w:type="dxa"/>
            <w:vAlign w:val="bottom"/>
          </w:tcPr>
          <w:p>
            <w:pPr>
              <w:spacing w:after="0"/>
              <w:rPr>
                <w:sz w:val="21"/>
                <w:szCs w:val="21"/>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0.2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0.2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3"/>
          </w:tcPr>
          <w:p>
            <w:pPr>
              <w:jc w:val="right"/>
              <w:ind w:right="240"/>
              <w:spacing w:after="0"/>
              <w:rPr>
                <w:sz w:val="20"/>
                <w:szCs w:val="20"/>
                <w:color w:val="auto"/>
              </w:rPr>
            </w:pPr>
            <w:r>
              <w:rPr>
                <w:rFonts w:ascii="Arial" w:cs="Arial" w:eastAsia="Arial" w:hAnsi="Arial"/>
                <w:sz w:val="20"/>
                <w:szCs w:val="20"/>
                <w:color w:val="auto"/>
              </w:rPr>
              <w:t>(0.2)</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(0.2)</w:t>
            </w:r>
          </w:p>
        </w:tc>
        <w:tc>
          <w:tcPr>
            <w:tcW w:w="0" w:type="dxa"/>
            <w:vAlign w:val="bottom"/>
          </w:tcPr>
          <w:p>
            <w:pPr>
              <w:spacing w:after="0"/>
              <w:rPr>
                <w:sz w:val="1"/>
                <w:szCs w:val="1"/>
                <w:color w:val="auto"/>
              </w:rPr>
            </w:pPr>
          </w:p>
        </w:tc>
      </w:tr>
      <w:tr>
        <w:trPr>
          <w:trHeight w:val="243"/>
        </w:trPr>
        <w:tc>
          <w:tcPr>
            <w:tcW w:w="394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Actuarial loss</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2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w:t>
            </w:r>
          </w:p>
        </w:tc>
        <w:tc>
          <w:tcPr>
            <w:tcW w:w="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right w:val="single" w:sz="8" w:color="CFF0FC"/>
            </w:tcBorders>
            <w:gridSpan w:val="2"/>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tcPr>
          <w:p>
            <w:pPr>
              <w:jc w:val="right"/>
              <w:ind w:right="172"/>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jc w:val="right"/>
              <w:ind w:right="7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8.3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jc w:val="right"/>
              <w:ind w:right="172"/>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240"/>
              <w:spacing w:after="0"/>
              <w:rPr>
                <w:sz w:val="20"/>
                <w:szCs w:val="20"/>
                <w:color w:val="auto"/>
              </w:rPr>
            </w:pPr>
            <w:r>
              <w:rPr>
                <w:rFonts w:ascii="Arial" w:cs="Arial" w:eastAsia="Arial" w:hAnsi="Arial"/>
                <w:sz w:val="20"/>
                <w:szCs w:val="20"/>
                <w:color w:val="auto"/>
              </w:rPr>
              <w:t>(0.1)</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Arial" w:cs="Arial" w:eastAsia="Arial" w:hAnsi="Arial"/>
                <w:sz w:val="20"/>
                <w:szCs w:val="20"/>
                <w:color w:val="auto"/>
              </w:rPr>
              <w:t>Pension</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6"/>
          </w:tcPr>
          <w:p>
            <w:pPr>
              <w:jc w:val="right"/>
              <w:ind w:right="920"/>
              <w:spacing w:after="0"/>
              <w:rPr>
                <w:sz w:val="20"/>
                <w:szCs w:val="20"/>
                <w:color w:val="auto"/>
              </w:rPr>
            </w:pPr>
            <w:r>
              <w:rPr>
                <w:rFonts w:ascii="Arial" w:cs="Arial" w:eastAsia="Arial" w:hAnsi="Arial"/>
                <w:sz w:val="20"/>
                <w:szCs w:val="20"/>
                <w:color w:val="auto"/>
              </w:rPr>
              <w:t>Postretirement Benefits</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500" w:type="dxa"/>
            <w:vAlign w:val="bottom"/>
            <w:tcBorders>
              <w:top w:val="single" w:sz="8" w:color="auto"/>
              <w:bottom w:val="single" w:sz="8" w:color="auto"/>
            </w:tcBorders>
            <w:gridSpan w:val="7"/>
          </w:tcPr>
          <w:p>
            <w:pPr>
              <w:jc w:val="center"/>
              <w:ind w:right="520"/>
              <w:spacing w:after="0"/>
              <w:rPr>
                <w:sz w:val="20"/>
                <w:szCs w:val="20"/>
                <w:color w:val="auto"/>
              </w:rPr>
            </w:pPr>
            <w:r>
              <w:rPr>
                <w:rFonts w:ascii="Arial" w:cs="Arial" w:eastAsia="Arial" w:hAnsi="Arial"/>
                <w:sz w:val="20"/>
                <w:szCs w:val="20"/>
                <w:color w:val="auto"/>
                <w:w w:val="88"/>
              </w:rPr>
              <w:t>Nine Months Ended September 30,</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2021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00" w:type="dxa"/>
            <w:vAlign w:val="bottom"/>
            <w:gridSpan w:val="7"/>
          </w:tcPr>
          <w:p>
            <w:pPr>
              <w:jc w:val="center"/>
              <w:ind w:right="520"/>
              <w:spacing w:after="0"/>
              <w:rPr>
                <w:sz w:val="20"/>
                <w:szCs w:val="20"/>
                <w:color w:val="auto"/>
              </w:rPr>
            </w:pPr>
            <w:r>
              <w:rPr>
                <w:rFonts w:ascii="Arial" w:cs="Arial" w:eastAsia="Arial" w:hAnsi="Arial"/>
                <w:sz w:val="20"/>
                <w:szCs w:val="20"/>
                <w:i w:val="1"/>
                <w:iCs w:val="1"/>
                <w:color w:val="auto"/>
                <w:w w:val="98"/>
              </w:rPr>
              <w:t>(Dollars in Millions)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20"/>
                <w:szCs w:val="20"/>
                <w:color w:val="auto"/>
              </w:rPr>
              <w:t>Service cost</w:t>
            </w: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34.7</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29.4</w:t>
            </w:r>
          </w:p>
        </w:tc>
        <w:tc>
          <w:tcPr>
            <w:tcW w:w="26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20"/>
                <w:szCs w:val="20"/>
                <w:color w:val="auto"/>
                <w:w w:val="71"/>
              </w:rPr>
              <w:t>$</w:t>
            </w:r>
          </w:p>
        </w:tc>
        <w:tc>
          <w:tcPr>
            <w:tcW w:w="154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26.7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27.8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20"/>
                <w:szCs w:val="20"/>
                <w:color w:val="auto"/>
              </w:rPr>
              <w:t>0.2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0.3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40" w:type="dxa"/>
            <w:vAlign w:val="bottom"/>
            <w:shd w:val="clear" w:color="auto" w:fill="CFF0FC"/>
          </w:tcPr>
          <w:p>
            <w:pPr>
              <w:spacing w:after="0"/>
              <w:rPr>
                <w:sz w:val="21"/>
                <w:szCs w:val="21"/>
                <w:color w:val="auto"/>
              </w:rPr>
            </w:pPr>
          </w:p>
        </w:tc>
        <w:tc>
          <w:tcPr>
            <w:tcW w:w="15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(52.8)</w:t>
            </w:r>
          </w:p>
        </w:tc>
        <w:tc>
          <w:tcPr>
            <w:tcW w:w="24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20"/>
                <w:szCs w:val="20"/>
                <w:color w:val="auto"/>
              </w:rPr>
              <w:t>(43.8)</w:t>
            </w:r>
          </w:p>
        </w:tc>
        <w:tc>
          <w:tcPr>
            <w:tcW w:w="340" w:type="dxa"/>
            <w:vAlign w:val="bottom"/>
            <w:shd w:val="clear" w:color="auto" w:fill="CFF0FC"/>
          </w:tcPr>
          <w:p>
            <w:pPr>
              <w:spacing w:after="0"/>
              <w:rPr>
                <w:sz w:val="21"/>
                <w:szCs w:val="21"/>
                <w:color w:val="auto"/>
              </w:rPr>
            </w:pPr>
          </w:p>
        </w:tc>
        <w:tc>
          <w:tcPr>
            <w:tcW w:w="1540" w:type="dxa"/>
            <w:vAlign w:val="bottom"/>
            <w:tcBorders>
              <w:right w:val="single" w:sz="8" w:color="CFF0FC"/>
            </w:tcBorders>
            <w:gridSpan w:val="3"/>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Amortization of:</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Borders>
              <w:right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0.5</w:t>
            </w:r>
          </w:p>
        </w:tc>
        <w:tc>
          <w:tcPr>
            <w:tcW w:w="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0.5</w:t>
            </w:r>
          </w:p>
        </w:tc>
        <w:tc>
          <w:tcPr>
            <w:tcW w:w="260" w:type="dxa"/>
            <w:vAlign w:val="bottom"/>
            <w:tcBorders>
              <w:right w:val="single" w:sz="8" w:color="CFF0FC"/>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(0.5)</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(0.6)</w:t>
            </w:r>
          </w:p>
        </w:tc>
        <w:tc>
          <w:tcPr>
            <w:tcW w:w="0" w:type="dxa"/>
            <w:vAlign w:val="bottom"/>
          </w:tcPr>
          <w:p>
            <w:pPr>
              <w:spacing w:after="0"/>
              <w:rPr>
                <w:sz w:val="1"/>
                <w:szCs w:val="1"/>
                <w:color w:val="auto"/>
              </w:rPr>
            </w:pPr>
          </w:p>
        </w:tc>
      </w:tr>
      <w:tr>
        <w:trPr>
          <w:trHeight w:val="243"/>
        </w:trPr>
        <w:tc>
          <w:tcPr>
            <w:tcW w:w="394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20"/>
                <w:szCs w:val="20"/>
                <w:color w:val="auto"/>
              </w:rPr>
              <w:t>9.2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0"/>
                <w:szCs w:val="20"/>
                <w:color w:val="auto"/>
              </w:rPr>
              <w:t>10.9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20"/>
                <w:szCs w:val="20"/>
                <w:color w:val="auto"/>
              </w:rPr>
              <w:t>(0.1)</w:t>
            </w:r>
          </w:p>
        </w:tc>
        <w:tc>
          <w:tcPr>
            <w:tcW w:w="3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20"/>
                <w:szCs w:val="20"/>
                <w:color w:val="auto"/>
              </w:rPr>
              <w:t>(0.1)</w:t>
            </w:r>
          </w:p>
        </w:tc>
        <w:tc>
          <w:tcPr>
            <w:tcW w:w="0" w:type="dxa"/>
            <w:vAlign w:val="bottom"/>
          </w:tcPr>
          <w:p>
            <w:pPr>
              <w:spacing w:after="0"/>
              <w:rPr>
                <w:sz w:val="1"/>
                <w:szCs w:val="1"/>
                <w:color w:val="auto"/>
              </w:rPr>
            </w:pPr>
          </w:p>
        </w:tc>
      </w:tr>
      <w:tr>
        <w:trPr>
          <w:trHeight w:val="20"/>
        </w:trPr>
        <w:tc>
          <w:tcPr>
            <w:tcW w:w="394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Net periodic benefit cost (credit)</w:t>
            </w:r>
          </w:p>
        </w:tc>
        <w:tc>
          <w:tcPr>
            <w:tcW w:w="34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Borders>
              <w:right w:val="single" w:sz="8" w:color="CFF0FC"/>
            </w:tcBorders>
            <w:vMerge w:val="continue"/>
            <w:shd w:val="clear" w:color="auto" w:fill="CFF0FC"/>
          </w:tcPr>
          <w:p>
            <w:pPr>
              <w:spacing w:after="0"/>
              <w:rPr>
                <w:sz w:val="20"/>
                <w:szCs w:val="20"/>
                <w:color w:val="auto"/>
              </w:rPr>
            </w:pP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20"/>
                <w:szCs w:val="20"/>
                <w:color w:val="auto"/>
                <w:w w:val="71"/>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18.3</w:t>
            </w:r>
          </w:p>
        </w:tc>
        <w:tc>
          <w:tcPr>
            <w:tcW w:w="2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20"/>
                <w:szCs w:val="20"/>
                <w:color w:val="auto"/>
                <w:w w:val="71"/>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24.8</w:t>
            </w:r>
          </w:p>
        </w:tc>
        <w:tc>
          <w:tcPr>
            <w:tcW w:w="260" w:type="dxa"/>
            <w:vAlign w:val="bottom"/>
            <w:tcBorders>
              <w:right w:val="single" w:sz="8" w:color="CFF0FC"/>
            </w:tcBorders>
            <w:shd w:val="clear" w:color="auto" w:fill="CFF0FC"/>
          </w:tcPr>
          <w:p>
            <w:pPr>
              <w:spacing w:after="0"/>
              <w:rPr>
                <w:sz w:val="20"/>
                <w:szCs w:val="20"/>
                <w:color w:val="auto"/>
              </w:rPr>
            </w:pPr>
          </w:p>
        </w:tc>
        <w:tc>
          <w:tcPr>
            <w:tcW w:w="340" w:type="dxa"/>
            <w:vAlign w:val="bottom"/>
            <w:shd w:val="clear" w:color="auto" w:fill="CFF0FC"/>
          </w:tcPr>
          <w:p>
            <w:pPr>
              <w:jc w:val="right"/>
              <w:ind w:right="152"/>
              <w:spacing w:after="0"/>
              <w:rPr>
                <w:sz w:val="20"/>
                <w:szCs w:val="20"/>
                <w:color w:val="auto"/>
              </w:rPr>
            </w:pPr>
            <w:r>
              <w:rPr>
                <w:rFonts w:ascii="Arial" w:cs="Arial" w:eastAsia="Arial" w:hAnsi="Arial"/>
                <w:sz w:val="20"/>
                <w:szCs w:val="20"/>
                <w:color w:val="auto"/>
                <w:w w:val="71"/>
              </w:rPr>
              <w:t>$</w:t>
            </w:r>
          </w:p>
        </w:tc>
        <w:tc>
          <w:tcPr>
            <w:tcW w:w="15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20"/>
                <w:szCs w:val="20"/>
                <w:color w:val="auto"/>
              </w:rPr>
              <w:t>(0.4)</w:t>
            </w:r>
          </w:p>
        </w:tc>
        <w:tc>
          <w:tcPr>
            <w:tcW w:w="340" w:type="dxa"/>
            <w:vAlign w:val="bottom"/>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(0.4)</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280"/>
        <w:spacing w:after="0" w:line="250" w:lineRule="auto"/>
        <w:rPr>
          <w:sz w:val="20"/>
          <w:szCs w:val="20"/>
          <w:color w:val="auto"/>
        </w:rPr>
      </w:pPr>
      <w:r>
        <w:rPr>
          <w:rFonts w:ascii="Arial" w:cs="Arial" w:eastAsia="Arial" w:hAnsi="Arial"/>
          <w:sz w:val="20"/>
          <w:szCs w:val="20"/>
          <w:color w:val="auto"/>
        </w:rPr>
        <w:t xml:space="preserve">The service cost component of net periodic benefit cost (credit) is included in </w:t>
      </w:r>
      <w:r>
        <w:rPr>
          <w:rFonts w:ascii="Arial" w:cs="Arial" w:eastAsia="Arial" w:hAnsi="Arial"/>
          <w:sz w:val="20"/>
          <w:szCs w:val="20"/>
          <w:i w:val="1"/>
          <w:iCs w:val="1"/>
          <w:color w:val="auto"/>
        </w:rPr>
        <w:t>Cost of revenues – products and services</w:t>
      </w:r>
      <w:r>
        <w:rPr>
          <w:rFonts w:ascii="Arial" w:cs="Arial" w:eastAsia="Arial" w:hAnsi="Arial"/>
          <w:sz w:val="20"/>
          <w:szCs w:val="20"/>
          <w:color w:val="auto"/>
        </w:rPr>
        <w:t xml:space="preserve"> and </w:t>
      </w:r>
      <w:r>
        <w:rPr>
          <w:rFonts w:ascii="Arial" w:cs="Arial" w:eastAsia="Arial" w:hAnsi="Arial"/>
          <w:sz w:val="20"/>
          <w:szCs w:val="20"/>
          <w:i w:val="1"/>
          <w:iCs w:val="1"/>
          <w:color w:val="auto"/>
        </w:rPr>
        <w:t>Selling,</w:t>
      </w:r>
      <w:r>
        <w:rPr>
          <w:rFonts w:ascii="Arial" w:cs="Arial" w:eastAsia="Arial" w:hAnsi="Arial"/>
          <w:sz w:val="20"/>
          <w:szCs w:val="20"/>
          <w:color w:val="auto"/>
        </w:rPr>
        <w:t xml:space="preserve"> </w:t>
      </w:r>
      <w:r>
        <w:rPr>
          <w:rFonts w:ascii="Arial" w:cs="Arial" w:eastAsia="Arial" w:hAnsi="Arial"/>
          <w:sz w:val="20"/>
          <w:szCs w:val="20"/>
          <w:i w:val="1"/>
          <w:iCs w:val="1"/>
          <w:color w:val="auto"/>
        </w:rPr>
        <w:t>general and administrative expenses</w:t>
      </w:r>
      <w:r>
        <w:rPr>
          <w:rFonts w:ascii="Arial" w:cs="Arial" w:eastAsia="Arial" w:hAnsi="Arial"/>
          <w:sz w:val="20"/>
          <w:szCs w:val="20"/>
          <w:color w:val="auto"/>
        </w:rPr>
        <w:t>. All other components are included in</w:t>
      </w:r>
      <w:r>
        <w:rPr>
          <w:rFonts w:ascii="Arial" w:cs="Arial" w:eastAsia="Arial" w:hAnsi="Arial"/>
          <w:sz w:val="20"/>
          <w:szCs w:val="20"/>
          <w:i w:val="1"/>
          <w:iCs w:val="1"/>
          <w:color w:val="auto"/>
        </w:rPr>
        <w:t xml:space="preserve"> Other nonoperating income, net</w:t>
      </w:r>
      <w:r>
        <w:rPr>
          <w:rFonts w:ascii="Arial" w:cs="Arial" w:eastAsia="Arial" w:hAnsi="Arial"/>
          <w:sz w:val="20"/>
          <w:szCs w:val="20"/>
          <w:color w:val="auto"/>
        </w:rPr>
        <w:t>, in the consolidated</w:t>
      </w:r>
      <w:r>
        <w:rPr>
          <w:rFonts w:ascii="Arial" w:cs="Arial" w:eastAsia="Arial" w:hAnsi="Arial"/>
          <w:sz w:val="20"/>
          <w:szCs w:val="20"/>
          <w:i w:val="1"/>
          <w:iCs w:val="1"/>
          <w:color w:val="auto"/>
        </w:rPr>
        <w:t xml:space="preserve"> </w:t>
      </w:r>
      <w:r>
        <w:rPr>
          <w:rFonts w:ascii="Arial" w:cs="Arial" w:eastAsia="Arial" w:hAnsi="Arial"/>
          <w:sz w:val="20"/>
          <w:szCs w:val="20"/>
          <w:color w:val="auto"/>
        </w:rPr>
        <w:t>statements of earnings and comprehensive earnings.</w:t>
      </w:r>
    </w:p>
    <w:p>
      <w:pPr>
        <w:spacing w:after="0" w:line="234" w:lineRule="exact"/>
        <w:rPr>
          <w:sz w:val="20"/>
          <w:szCs w:val="20"/>
          <w:color w:val="auto"/>
        </w:rPr>
      </w:pPr>
    </w:p>
    <w:p>
      <w:pPr>
        <w:ind w:left="280" w:right="7920" w:hanging="272"/>
        <w:spacing w:after="0" w:line="394" w:lineRule="auto"/>
        <w:tabs>
          <w:tab w:leader="none" w:pos="26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28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is engaged in certain legal and administrative proceedings incidental to its normal business activities, including matters relating to environmental protection. The Company considers various factors in assessing the probable outcome of each matter, including but not limited to the nature of existing legal proceedings and claims, the asserted or possible damages, the jurisdiction and venue of the case and whether it is a jury trial, the progress of the case, existing law and precedent, the opinions or views of legal counsel and other advisers, the Company’s experience in similar cases and the experience of other companies, the facts available to the Company at the time of assessment, and how the Company intends to respond to the proceeding or claim. The Company’s assessment of these factors may change over time as proceedings or claims progress. The Company believes the probability is remote that the outcome of any currently pending legal or administrative proceeding will result in a material loss to the Company as a whole, based on currently available facts.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335" w:lineRule="exact"/>
        <w:rPr>
          <w:sz w:val="20"/>
          <w:szCs w:val="20"/>
          <w:color w:val="auto"/>
        </w:rPr>
      </w:pPr>
    </w:p>
    <w:p>
      <w:pPr>
        <w:ind w:left="280"/>
        <w:spacing w:after="0"/>
        <w:rPr>
          <w:sz w:val="20"/>
          <w:szCs w:val="20"/>
          <w:color w:val="auto"/>
        </w:rPr>
      </w:pPr>
      <w:r>
        <w:rPr>
          <w:rFonts w:ascii="Arial" w:cs="Arial" w:eastAsia="Arial" w:hAnsi="Arial"/>
          <w:sz w:val="20"/>
          <w:szCs w:val="20"/>
          <w:u w:val="single" w:color="auto"/>
          <w:color w:val="auto"/>
        </w:rPr>
        <w:t>Borrowing Arrangements with Affiliate</w:t>
      </w:r>
    </w:p>
    <w:p>
      <w:pPr>
        <w:spacing w:after="0" w:line="108" w:lineRule="exact"/>
        <w:rPr>
          <w:sz w:val="20"/>
          <w:szCs w:val="20"/>
          <w:color w:val="auto"/>
        </w:rPr>
      </w:pPr>
    </w:p>
    <w:p>
      <w:pPr>
        <w:jc w:val="both"/>
        <w:ind w:left="280"/>
        <w:spacing w:after="0" w:line="282" w:lineRule="auto"/>
        <w:rPr>
          <w:sz w:val="20"/>
          <w:szCs w:val="20"/>
          <w:color w:val="auto"/>
        </w:rPr>
      </w:pPr>
      <w:r>
        <w:rPr>
          <w:rFonts w:ascii="Arial" w:cs="Arial" w:eastAsia="Arial" w:hAnsi="Arial"/>
          <w:sz w:val="18"/>
          <w:szCs w:val="18"/>
          <w:color w:val="auto"/>
        </w:rPr>
        <w:t>The Company is a co-borrower with an unconsolidated affiliate for a $12.5 million revolving line of credit agreement with Truist Bank, of which $5.4 million was outstanding as of September 30, 2021 and has a maturity date of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3" w:lineRule="exact"/>
        <w:rPr>
          <w:sz w:val="20"/>
          <w:szCs w:val="20"/>
          <w:color w:val="auto"/>
        </w:rPr>
      </w:pPr>
    </w:p>
    <w:p>
      <w:pPr>
        <w:jc w:val="both"/>
        <w:ind w:left="280" w:right="20"/>
        <w:spacing w:after="0" w:line="287" w:lineRule="auto"/>
        <w:rPr>
          <w:sz w:val="20"/>
          <w:szCs w:val="20"/>
          <w:color w:val="auto"/>
        </w:rPr>
      </w:pPr>
      <w:r>
        <w:rPr>
          <w:rFonts w:ascii="Arial" w:cs="Arial" w:eastAsia="Arial" w:hAnsi="Arial"/>
          <w:sz w:val="19"/>
          <w:szCs w:val="19"/>
          <w:color w:val="auto"/>
        </w:rPr>
        <w:t>In addition, the Company has a $6.0 million interest-only loan, due December 31, 2022, outstanding from this unconsolidated affiliate as of September 30, 2021 and December 31, 2020. The interest rate is one-month LIBOR plus a current spread of 1.75%.</w:t>
      </w:r>
    </w:p>
    <w:p>
      <w:pPr>
        <w:spacing w:after="0" w:line="44" w:lineRule="exact"/>
        <w:rPr>
          <w:sz w:val="20"/>
          <w:szCs w:val="20"/>
          <w:color w:val="auto"/>
        </w:rPr>
      </w:pPr>
    </w:p>
    <w:p>
      <w:pPr>
        <w:ind w:left="280"/>
        <w:spacing w:after="0"/>
        <w:rPr>
          <w:sz w:val="20"/>
          <w:szCs w:val="20"/>
          <w:color w:val="auto"/>
        </w:rPr>
      </w:pPr>
      <w:r>
        <w:rPr>
          <w:rFonts w:ascii="Arial" w:cs="Arial" w:eastAsia="Arial" w:hAnsi="Arial"/>
          <w:sz w:val="20"/>
          <w:szCs w:val="20"/>
          <w:u w:val="single" w:color="auto"/>
          <w:color w:val="auto"/>
        </w:rPr>
        <w:t>Letters of Credit</w:t>
      </w:r>
    </w:p>
    <w:p>
      <w:pPr>
        <w:spacing w:after="0" w:line="108" w:lineRule="exact"/>
        <w:rPr>
          <w:sz w:val="20"/>
          <w:szCs w:val="20"/>
          <w:color w:val="auto"/>
        </w:rPr>
      </w:pPr>
    </w:p>
    <w:p>
      <w:pPr>
        <w:jc w:val="both"/>
        <w:ind w:left="280"/>
        <w:spacing w:after="0" w:line="291" w:lineRule="auto"/>
        <w:rPr>
          <w:sz w:val="20"/>
          <w:szCs w:val="20"/>
          <w:color w:val="auto"/>
        </w:rPr>
      </w:pPr>
      <w:r>
        <w:rPr>
          <w:rFonts w:ascii="Arial" w:cs="Arial" w:eastAsia="Arial" w:hAnsi="Arial"/>
          <w:sz w:val="18"/>
          <w:szCs w:val="18"/>
          <w:color w:val="auto"/>
        </w:rPr>
        <w:t>In the normal course of business, the Company provides certain third parties with standby letter of credit agreements guaranteeing its payment for certain insurance claims, contract performance and permit requirements. At September 30, 2021, the Company was contingently liable for $35.0 million in letters of credit, of which $2.6 million were issued under the Company’s Revolving Facility.</w:t>
      </w:r>
    </w:p>
    <w:p>
      <w:pPr>
        <w:spacing w:after="0" w:line="254"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Business Segments</w:t>
      </w:r>
    </w:p>
    <w:p>
      <w:pPr>
        <w:spacing w:after="0" w:line="125" w:lineRule="exact"/>
        <w:rPr>
          <w:rFonts w:ascii="Arial" w:cs="Arial" w:eastAsia="Arial" w:hAnsi="Arial"/>
          <w:sz w:val="19"/>
          <w:szCs w:val="19"/>
          <w:b w:val="1"/>
          <w:bCs w:val="1"/>
          <w:color w:val="auto"/>
        </w:rPr>
      </w:pPr>
    </w:p>
    <w:p>
      <w:pPr>
        <w:jc w:val="both"/>
        <w:ind w:left="280"/>
        <w:spacing w:after="0" w:line="242" w:lineRule="auto"/>
        <w:rPr>
          <w:rFonts w:ascii="Arial" w:cs="Arial" w:eastAsia="Arial" w:hAnsi="Arial"/>
          <w:sz w:val="19"/>
          <w:szCs w:val="19"/>
          <w:b w:val="1"/>
          <w:bCs w:val="1"/>
          <w:color w:val="auto"/>
        </w:rPr>
      </w:pPr>
      <w:r>
        <w:rPr>
          <w:rFonts w:ascii="Arial" w:cs="Arial" w:eastAsia="Arial" w:hAnsi="Arial"/>
          <w:sz w:val="20"/>
          <w:szCs w:val="20"/>
          <w:color w:val="auto"/>
        </w:rPr>
        <w:t>The Building Materials business contains two reportable segments: the East Group and the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other operating income and expenses, net; and exclude interest expense; other nonoperating income and expenses, net; and income taxes. Corporate loss from operations primarily includes depreciation; expenses for corporate administrative functions; acquisition-related expenses; and other nonrecurring income and expenses excluded from the Company’s evaluation of business segment performance and resource allocation. All long-term debt and related interest expense are held at Corporate.</w:t>
      </w:r>
    </w:p>
    <w:p>
      <w:pPr>
        <w:spacing w:after="0" w:line="88" w:lineRule="exact"/>
        <w:rPr>
          <w:rFonts w:ascii="Arial" w:cs="Arial" w:eastAsia="Arial" w:hAnsi="Arial"/>
          <w:sz w:val="19"/>
          <w:szCs w:val="19"/>
          <w:b w:val="1"/>
          <w:bCs w:val="1"/>
          <w:color w:val="auto"/>
        </w:rPr>
      </w:pPr>
    </w:p>
    <w:p>
      <w:pPr>
        <w:jc w:val="both"/>
        <w:ind w:left="28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The following table displays selected financial data for the Company’s reportable segments. Total revenues, as presented on the consolidated statements of earnings and comprehensive earnings, exclude intersegment revenues, which represent sales from one segment to another segment and are eliminated in consolidation.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00" w:type="dxa"/>
            <w:vAlign w:val="bottom"/>
            <w:gridSpan w:val="6"/>
          </w:tcPr>
          <w:p>
            <w:pPr>
              <w:jc w:val="right"/>
              <w:ind w:right="940"/>
              <w:spacing w:after="0"/>
              <w:rPr>
                <w:sz w:val="20"/>
                <w:szCs w:val="20"/>
                <w:color w:val="auto"/>
              </w:rPr>
            </w:pPr>
            <w:r>
              <w:rPr>
                <w:rFonts w:ascii="Arial" w:cs="Arial" w:eastAsia="Arial" w:hAnsi="Arial"/>
                <w:sz w:val="20"/>
                <w:szCs w:val="20"/>
                <w:color w:val="auto"/>
              </w:rPr>
              <w:t>Three Months Ended</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00" w:type="dxa"/>
            <w:vAlign w:val="bottom"/>
            <w:gridSpan w:val="8"/>
          </w:tcPr>
          <w:p>
            <w:pPr>
              <w:jc w:val="right"/>
              <w:ind w:right="1000"/>
              <w:spacing w:after="0"/>
              <w:rPr>
                <w:sz w:val="20"/>
                <w:szCs w:val="20"/>
                <w:color w:val="auto"/>
              </w:rPr>
            </w:pPr>
            <w:r>
              <w:rPr>
                <w:rFonts w:ascii="Arial" w:cs="Arial" w:eastAsia="Arial" w:hAnsi="Arial"/>
                <w:sz w:val="20"/>
                <w:szCs w:val="20"/>
                <w:color w:val="auto"/>
              </w:rPr>
              <w:t>Nine Months Ended</w:t>
            </w:r>
          </w:p>
        </w:tc>
      </w:tr>
      <w:tr>
        <w:trPr>
          <w:trHeight w:val="246"/>
        </w:trPr>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00" w:type="dxa"/>
            <w:vAlign w:val="bottom"/>
            <w:gridSpan w:val="6"/>
          </w:tcPr>
          <w:p>
            <w:pPr>
              <w:jc w:val="right"/>
              <w:ind w:right="1200"/>
              <w:spacing w:after="0"/>
              <w:rPr>
                <w:sz w:val="20"/>
                <w:szCs w:val="20"/>
                <w:color w:val="auto"/>
              </w:rPr>
            </w:pPr>
            <w:r>
              <w:rPr>
                <w:rFonts w:ascii="Arial" w:cs="Arial" w:eastAsia="Arial" w:hAnsi="Arial"/>
                <w:sz w:val="20"/>
                <w:szCs w:val="20"/>
                <w:color w:val="auto"/>
              </w:rPr>
              <w:t>September 30,</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4"/>
          </w:tcPr>
          <w:p>
            <w:pPr>
              <w:jc w:val="right"/>
              <w:spacing w:after="0"/>
              <w:rPr>
                <w:sz w:val="20"/>
                <w:szCs w:val="20"/>
                <w:color w:val="auto"/>
              </w:rPr>
            </w:pPr>
            <w:r>
              <w:rPr>
                <w:rFonts w:ascii="Arial" w:cs="Arial" w:eastAsia="Arial" w:hAnsi="Arial"/>
                <w:sz w:val="20"/>
                <w:szCs w:val="20"/>
                <w:color w:val="auto"/>
              </w:rPr>
              <w:t>September 30,</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rPr>
              <w:t>2020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gridSpan w:val="2"/>
          </w:tcPr>
          <w:p>
            <w:pPr>
              <w:jc w:val="right"/>
              <w:ind w:right="481"/>
              <w:spacing w:after="0"/>
              <w:rPr>
                <w:sz w:val="20"/>
                <w:szCs w:val="20"/>
                <w:color w:val="auto"/>
              </w:rPr>
            </w:pPr>
            <w:r>
              <w:rPr>
                <w:rFonts w:ascii="Arial" w:cs="Arial" w:eastAsia="Arial" w:hAnsi="Arial"/>
                <w:sz w:val="20"/>
                <w:szCs w:val="20"/>
                <w:color w:val="auto"/>
                <w:w w:val="85"/>
              </w:rPr>
              <w:t>2021</w:t>
            </w:r>
          </w:p>
        </w:tc>
        <w:tc>
          <w:tcPr>
            <w:tcW w:w="2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20"/>
                <w:szCs w:val="20"/>
                <w:color w:val="auto"/>
                <w:w w:val="98"/>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7"/>
          </w:tcPr>
          <w:p>
            <w:pPr>
              <w:jc w:val="right"/>
              <w:ind w:right="1040"/>
              <w:spacing w:after="0"/>
              <w:rPr>
                <w:sz w:val="20"/>
                <w:szCs w:val="20"/>
                <w:color w:val="auto"/>
              </w:rPr>
            </w:pPr>
            <w:r>
              <w:rPr>
                <w:rFonts w:ascii="Arial" w:cs="Arial" w:eastAsia="Arial" w:hAnsi="Arial"/>
                <w:sz w:val="20"/>
                <w:szCs w:val="20"/>
                <w:i w:val="1"/>
                <w:iCs w:val="1"/>
                <w:color w:val="auto"/>
              </w:rPr>
              <w:t>(Dollars in Millions)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00" w:type="dxa"/>
            <w:vAlign w:val="bottom"/>
            <w:gridSpan w:val="5"/>
            <w:shd w:val="clear" w:color="auto" w:fill="CFF0FC"/>
          </w:tcPr>
          <w:p>
            <w:pPr>
              <w:spacing w:after="0" w:line="203" w:lineRule="exact"/>
              <w:rPr>
                <w:sz w:val="20"/>
                <w:szCs w:val="20"/>
                <w:color w:val="auto"/>
              </w:rPr>
            </w:pPr>
            <w:r>
              <w:rPr>
                <w:rFonts w:ascii="Arial" w:cs="Arial" w:eastAsia="Arial" w:hAnsi="Arial"/>
                <w:sz w:val="20"/>
                <w:szCs w:val="20"/>
                <w:color w:val="auto"/>
              </w:rPr>
              <w:t>Total revenues: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11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East Group</w:t>
            </w:r>
          </w:p>
        </w:tc>
        <w:tc>
          <w:tcPr>
            <w:tcW w:w="3040" w:type="dxa"/>
            <w:vAlign w:val="bottom"/>
            <w:tcBorders>
              <w:top w:val="single" w:sz="8" w:color="CFF0FC"/>
            </w:tcBorders>
            <w:gridSpan w:val="4"/>
          </w:tcPr>
          <w:p>
            <w:pPr>
              <w:spacing w:after="0"/>
              <w:rPr>
                <w:sz w:val="21"/>
                <w:szCs w:val="21"/>
                <w:color w:val="auto"/>
              </w:rPr>
            </w:pPr>
          </w:p>
        </w:tc>
        <w:tc>
          <w:tcPr>
            <w:tcW w:w="320" w:type="dxa"/>
            <w:vAlign w:val="bottom"/>
            <w:tcBorders>
              <w:top w:val="single" w:sz="8" w:color="CFF0FC"/>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684.1</w:t>
            </w:r>
          </w:p>
        </w:tc>
        <w:tc>
          <w:tcPr>
            <w:tcW w:w="16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549.3</w:t>
            </w:r>
          </w:p>
        </w:tc>
        <w:tc>
          <w:tcPr>
            <w:tcW w:w="100" w:type="dxa"/>
            <w:vAlign w:val="bottom"/>
            <w:tcBorders>
              <w:top w:val="single" w:sz="8" w:color="CFF0FC"/>
            </w:tcBorders>
          </w:tcPr>
          <w:p>
            <w:pPr>
              <w:spacing w:after="0"/>
              <w:rPr>
                <w:sz w:val="21"/>
                <w:szCs w:val="21"/>
                <w:color w:val="auto"/>
              </w:rPr>
            </w:pPr>
          </w:p>
        </w:tc>
        <w:tc>
          <w:tcPr>
            <w:tcW w:w="720" w:type="dxa"/>
            <w:vAlign w:val="bottom"/>
            <w:tcBorders>
              <w:top w:val="single" w:sz="8" w:color="CFF0FC"/>
            </w:tcBorders>
            <w:gridSpan w:val="2"/>
          </w:tcPr>
          <w:p>
            <w:pPr>
              <w:jc w:val="right"/>
              <w:ind w:right="36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CFF0FC"/>
            </w:tcBorders>
            <w:gridSpan w:val="2"/>
          </w:tcPr>
          <w:p>
            <w:pPr>
              <w:jc w:val="right"/>
              <w:spacing w:after="0"/>
              <w:rPr>
                <w:sz w:val="20"/>
                <w:szCs w:val="20"/>
                <w:color w:val="auto"/>
              </w:rPr>
            </w:pPr>
            <w:r>
              <w:rPr>
                <w:rFonts w:ascii="Arial" w:cs="Arial" w:eastAsia="Arial" w:hAnsi="Arial"/>
                <w:sz w:val="20"/>
                <w:szCs w:val="20"/>
                <w:color w:val="auto"/>
              </w:rPr>
              <w:t>1,714.4</w:t>
            </w:r>
          </w:p>
        </w:tc>
        <w:tc>
          <w:tcPr>
            <w:tcW w:w="200" w:type="dxa"/>
            <w:vAlign w:val="bottom"/>
            <w:tcBorders>
              <w:top w:val="single" w:sz="8" w:color="CFF0FC"/>
            </w:tcBorders>
          </w:tcPr>
          <w:p>
            <w:pPr>
              <w:spacing w:after="0"/>
              <w:rPr>
                <w:sz w:val="21"/>
                <w:szCs w:val="21"/>
                <w:color w:val="auto"/>
              </w:rPr>
            </w:pPr>
          </w:p>
        </w:tc>
        <w:tc>
          <w:tcPr>
            <w:tcW w:w="560" w:type="dxa"/>
            <w:vAlign w:val="bottom"/>
            <w:tcBorders>
              <w:top w:val="single" w:sz="8" w:color="CFF0FC"/>
            </w:tcBorders>
            <w:gridSpan w:val="2"/>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1,465.9</w:t>
            </w: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794.8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711.2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1,978.2</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1,904.2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00" w:type="dxa"/>
            <w:vAlign w:val="bottom"/>
            <w:gridSpan w:val="5"/>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1,478.9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1,260.5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3,692.6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3,370.1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225.0</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77"/>
        </w:trPr>
        <w:tc>
          <w:tcPr>
            <w:tcW w:w="420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1,557.3</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1,321.4</w:t>
            </w:r>
          </w:p>
        </w:tc>
        <w:tc>
          <w:tcPr>
            <w:tcW w:w="1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5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3,917.6</w:t>
            </w:r>
          </w:p>
        </w:tc>
        <w:tc>
          <w:tcPr>
            <w:tcW w:w="20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3,550.3</w:t>
            </w: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3"/>
        </w:trPr>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4200" w:type="dxa"/>
            <w:vAlign w:val="bottom"/>
            <w:gridSpan w:val="5"/>
          </w:tcPr>
          <w:p>
            <w:pPr>
              <w:spacing w:after="0" w:line="203" w:lineRule="exact"/>
              <w:rPr>
                <w:sz w:val="20"/>
                <w:szCs w:val="20"/>
                <w:color w:val="auto"/>
              </w:rPr>
            </w:pPr>
            <w:r>
              <w:rPr>
                <w:rFonts w:ascii="Arial" w:cs="Arial" w:eastAsia="Arial" w:hAnsi="Arial"/>
                <w:sz w:val="20"/>
                <w:szCs w:val="20"/>
                <w:color w:val="auto"/>
              </w:rPr>
              <w:t>Products and services revenues: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East Group</w:t>
            </w:r>
          </w:p>
        </w:tc>
        <w:tc>
          <w:tcPr>
            <w:tcW w:w="32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641.8</w:t>
            </w:r>
          </w:p>
        </w:tc>
        <w:tc>
          <w:tcPr>
            <w:tcW w:w="1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514.1</w:t>
            </w: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361"/>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1,610.9</w:t>
            </w:r>
          </w:p>
        </w:tc>
        <w:tc>
          <w:tcPr>
            <w:tcW w:w="2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1,371.8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20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749.0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671.4</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1,861.9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1,785.4</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1,390.8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1,185.5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3,472.8</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3,157.2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20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55.2</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207.1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164.0</w:t>
            </w:r>
          </w:p>
        </w:tc>
        <w:tc>
          <w:tcPr>
            <w:tcW w:w="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420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1,462.7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1,240.7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3,679.9</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3,321.2</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00" w:type="dxa"/>
            <w:vAlign w:val="bottom"/>
            <w:gridSpan w:val="5"/>
            <w:shd w:val="clear" w:color="auto" w:fill="CFF0FC"/>
          </w:tcPr>
          <w:p>
            <w:pPr>
              <w:spacing w:after="0" w:line="203" w:lineRule="exact"/>
              <w:rPr>
                <w:sz w:val="20"/>
                <w:szCs w:val="20"/>
                <w:color w:val="auto"/>
              </w:rPr>
            </w:pPr>
            <w:r>
              <w:rPr>
                <w:rFonts w:ascii="Arial" w:cs="Arial" w:eastAsia="Arial" w:hAnsi="Arial"/>
                <w:sz w:val="20"/>
                <w:szCs w:val="20"/>
                <w:color w:val="auto"/>
              </w:rPr>
              <w:t>Earnings (Loss) from operations: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258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rPr>
              <w:t>East Group</w:t>
            </w:r>
          </w:p>
        </w:tc>
        <w:tc>
          <w:tcPr>
            <w:tcW w:w="1620" w:type="dxa"/>
            <w:vAlign w:val="bottom"/>
            <w:tcBorders>
              <w:top w:val="single" w:sz="8" w:color="CFF0FC"/>
            </w:tcBorders>
          </w:tcPr>
          <w:p>
            <w:pPr>
              <w:spacing w:after="0"/>
              <w:rPr>
                <w:sz w:val="21"/>
                <w:szCs w:val="21"/>
                <w:color w:val="auto"/>
              </w:rPr>
            </w:pPr>
          </w:p>
        </w:tc>
        <w:tc>
          <w:tcPr>
            <w:tcW w:w="320" w:type="dxa"/>
            <w:vAlign w:val="bottom"/>
            <w:tcBorders>
              <w:top w:val="single" w:sz="8" w:color="CFF0FC"/>
            </w:tcBorders>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205.8</w:t>
            </w:r>
          </w:p>
        </w:tc>
        <w:tc>
          <w:tcPr>
            <w:tcW w:w="16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gridSpan w:val="2"/>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181.4</w:t>
            </w:r>
          </w:p>
        </w:tc>
        <w:tc>
          <w:tcPr>
            <w:tcW w:w="100" w:type="dxa"/>
            <w:vAlign w:val="bottom"/>
            <w:tcBorders>
              <w:top w:val="single" w:sz="8" w:color="CFF0FC"/>
            </w:tcBorders>
          </w:tcPr>
          <w:p>
            <w:pPr>
              <w:spacing w:after="0"/>
              <w:rPr>
                <w:sz w:val="21"/>
                <w:szCs w:val="21"/>
                <w:color w:val="auto"/>
              </w:rPr>
            </w:pPr>
          </w:p>
        </w:tc>
        <w:tc>
          <w:tcPr>
            <w:tcW w:w="720" w:type="dxa"/>
            <w:vAlign w:val="bottom"/>
            <w:tcBorders>
              <w:top w:val="single" w:sz="8" w:color="CFF0FC"/>
            </w:tcBorders>
            <w:gridSpan w:val="2"/>
          </w:tcPr>
          <w:p>
            <w:pPr>
              <w:jc w:val="right"/>
              <w:ind w:right="361"/>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CFF0FC"/>
            </w:tcBorders>
            <w:gridSpan w:val="2"/>
          </w:tcPr>
          <w:p>
            <w:pPr>
              <w:jc w:val="right"/>
              <w:spacing w:after="0"/>
              <w:rPr>
                <w:sz w:val="20"/>
                <w:szCs w:val="20"/>
                <w:color w:val="auto"/>
              </w:rPr>
            </w:pPr>
            <w:r>
              <w:rPr>
                <w:rFonts w:ascii="Arial" w:cs="Arial" w:eastAsia="Arial" w:hAnsi="Arial"/>
                <w:sz w:val="20"/>
                <w:szCs w:val="20"/>
                <w:color w:val="auto"/>
              </w:rPr>
              <w:t>465.3</w:t>
            </w:r>
          </w:p>
        </w:tc>
        <w:tc>
          <w:tcPr>
            <w:tcW w:w="200" w:type="dxa"/>
            <w:vAlign w:val="bottom"/>
            <w:tcBorders>
              <w:top w:val="single" w:sz="8" w:color="CFF0FC"/>
            </w:tcBorders>
          </w:tcPr>
          <w:p>
            <w:pPr>
              <w:spacing w:after="0"/>
              <w:rPr>
                <w:sz w:val="21"/>
                <w:szCs w:val="21"/>
                <w:color w:val="auto"/>
              </w:rPr>
            </w:pPr>
          </w:p>
        </w:tc>
        <w:tc>
          <w:tcPr>
            <w:tcW w:w="560" w:type="dxa"/>
            <w:vAlign w:val="bottom"/>
            <w:tcBorders>
              <w:top w:val="single" w:sz="8" w:color="CFF0FC"/>
            </w:tcBorders>
            <w:gridSpan w:val="2"/>
          </w:tcPr>
          <w:p>
            <w:pPr>
              <w:jc w:val="right"/>
              <w:ind w:right="301"/>
              <w:spacing w:after="0"/>
              <w:rPr>
                <w:sz w:val="20"/>
                <w:szCs w:val="20"/>
                <w:color w:val="auto"/>
              </w:rPr>
            </w:pPr>
            <w:r>
              <w:rPr>
                <w:rFonts w:ascii="Arial" w:cs="Arial" w:eastAsia="Arial" w:hAnsi="Arial"/>
                <w:sz w:val="20"/>
                <w:szCs w:val="20"/>
                <w:color w:val="auto"/>
              </w:rPr>
              <w:t>$</w:t>
            </w:r>
          </w:p>
        </w:tc>
        <w:tc>
          <w:tcPr>
            <w:tcW w:w="10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386.1</w:t>
            </w:r>
          </w:p>
        </w:tc>
        <w:tc>
          <w:tcPr>
            <w:tcW w:w="2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West Group</w:t>
            </w: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150.6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212.3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284.2</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368.2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00" w:type="dxa"/>
            <w:vAlign w:val="bottom"/>
            <w:gridSpan w:val="5"/>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356.4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393.7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749.5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754.3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69.8</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200" w:type="dxa"/>
            <w:vAlign w:val="bottom"/>
            <w:gridSpan w:val="5"/>
          </w:tcPr>
          <w:p>
            <w:pPr>
              <w:spacing w:after="0"/>
              <w:rPr>
                <w:sz w:val="20"/>
                <w:szCs w:val="20"/>
                <w:color w:val="auto"/>
              </w:rPr>
            </w:pPr>
            <w:r>
              <w:rPr>
                <w:rFonts w:ascii="Arial" w:cs="Arial" w:eastAsia="Arial" w:hAnsi="Arial"/>
                <w:sz w:val="20"/>
                <w:szCs w:val="20"/>
                <w:color w:val="auto"/>
              </w:rPr>
              <w:t>Corporate</w:t>
            </w:r>
          </w:p>
        </w:tc>
        <w:tc>
          <w:tcPr>
            <w:tcW w:w="3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20"/>
                <w:szCs w:val="20"/>
                <w:color w:val="auto"/>
              </w:rPr>
              <w:t>(22.6)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20"/>
                <w:szCs w:val="20"/>
                <w:color w:val="auto"/>
              </w:rPr>
              <w:t>(9.5)</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20"/>
                <w:szCs w:val="20"/>
                <w:color w:val="auto"/>
              </w:rPr>
              <w:t>(55.6)</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20"/>
                <w:szCs w:val="20"/>
                <w:color w:val="auto"/>
              </w:rPr>
              <w:t>(40.7)</w:t>
            </w:r>
          </w:p>
        </w:tc>
      </w:tr>
      <w:tr>
        <w:trPr>
          <w:trHeight w:val="237"/>
        </w:trPr>
        <w:tc>
          <w:tcPr>
            <w:tcW w:w="420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356.9</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400.6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6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763.7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764.8</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right"/>
              <w:ind w:right="201"/>
              <w:spacing w:after="0"/>
              <w:rPr>
                <w:sz w:val="20"/>
                <w:szCs w:val="20"/>
                <w:color w:val="auto"/>
              </w:rPr>
            </w:pPr>
            <w:r>
              <w:rPr>
                <w:rFonts w:ascii="Arial" w:cs="Arial" w:eastAsia="Arial" w:hAnsi="Arial"/>
                <w:sz w:val="20"/>
                <w:szCs w:val="20"/>
                <w:color w:val="auto"/>
              </w:rPr>
              <w:t>September 30, 2021</w:t>
            </w:r>
          </w:p>
        </w:tc>
        <w:tc>
          <w:tcPr>
            <w:tcW w:w="320" w:type="dxa"/>
            <w:vAlign w:val="bottom"/>
          </w:tcPr>
          <w:p>
            <w:pPr>
              <w:spacing w:after="0"/>
              <w:rPr>
                <w:sz w:val="24"/>
                <w:szCs w:val="24"/>
                <w:color w:val="auto"/>
              </w:rPr>
            </w:pPr>
          </w:p>
        </w:tc>
        <w:tc>
          <w:tcPr>
            <w:tcW w:w="2580" w:type="dxa"/>
            <w:vAlign w:val="bottom"/>
            <w:gridSpan w:val="7"/>
          </w:tcPr>
          <w:p>
            <w:pPr>
              <w:jc w:val="right"/>
              <w:ind w:right="580"/>
              <w:spacing w:after="0"/>
              <w:rPr>
                <w:sz w:val="20"/>
                <w:szCs w:val="20"/>
                <w:color w:val="auto"/>
              </w:rPr>
            </w:pPr>
            <w:r>
              <w:rPr>
                <w:rFonts w:ascii="Arial" w:cs="Arial" w:eastAsia="Arial" w:hAnsi="Arial"/>
                <w:sz w:val="20"/>
                <w:szCs w:val="20"/>
                <w:color w:val="auto"/>
              </w:rPr>
              <w:t>December 31, 2020</w:t>
            </w:r>
          </w:p>
        </w:tc>
      </w:tr>
      <w:tr>
        <w:trPr>
          <w:trHeight w:val="196"/>
        </w:trPr>
        <w:tc>
          <w:tcPr>
            <w:tcW w:w="4200" w:type="dxa"/>
            <w:vAlign w:val="bottom"/>
            <w:gridSpan w:val="5"/>
          </w:tcPr>
          <w:p>
            <w:pPr>
              <w:spacing w:after="0" w:line="196" w:lineRule="exact"/>
              <w:rPr>
                <w:sz w:val="20"/>
                <w:szCs w:val="20"/>
                <w:color w:val="auto"/>
              </w:rPr>
            </w:pPr>
            <w:r>
              <w:rPr>
                <w:rFonts w:ascii="Arial" w:cs="Arial" w:eastAsia="Arial" w:hAnsi="Arial"/>
                <w:sz w:val="20"/>
                <w:szCs w:val="20"/>
                <w:color w:val="auto"/>
              </w:rPr>
              <w:t>Assets employed:</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jc w:val="right"/>
              <w:ind w:right="60"/>
              <w:spacing w:after="0" w:line="196" w:lineRule="exact"/>
              <w:rPr>
                <w:sz w:val="20"/>
                <w:szCs w:val="20"/>
                <w:color w:val="auto"/>
              </w:rPr>
            </w:pPr>
            <w:r>
              <w:rPr>
                <w:rFonts w:ascii="Arial" w:cs="Arial" w:eastAsia="Arial" w:hAnsi="Arial"/>
                <w:sz w:val="20"/>
                <w:szCs w:val="20"/>
                <w:i w:val="1"/>
                <w:iCs w:val="1"/>
                <w:color w:val="auto"/>
                <w:w w:val="98"/>
              </w:rPr>
              <w:t>(Dollars in Millions)</w:t>
            </w: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4"/>
        </w:trPr>
        <w:tc>
          <w:tcPr>
            <w:tcW w:w="14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East Group</w:t>
            </w:r>
          </w:p>
        </w:tc>
        <w:tc>
          <w:tcPr>
            <w:tcW w:w="2800" w:type="dxa"/>
            <w:vAlign w:val="bottom"/>
            <w:gridSpan w:val="3"/>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161"/>
              <w:spacing w:after="0"/>
              <w:rPr>
                <w:sz w:val="20"/>
                <w:szCs w:val="20"/>
                <w:color w:val="auto"/>
              </w:rPr>
            </w:pPr>
            <w:r>
              <w:rPr>
                <w:rFonts w:ascii="Arial" w:cs="Arial" w:eastAsia="Arial" w:hAnsi="Arial"/>
                <w:sz w:val="20"/>
                <w:szCs w:val="20"/>
                <w:color w:val="auto"/>
                <w:w w:val="71"/>
              </w:rPr>
              <w:t>$</w:t>
            </w:r>
          </w:p>
        </w:tc>
        <w:tc>
          <w:tcPr>
            <w:tcW w:w="10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5,075.9</w:t>
            </w:r>
          </w:p>
        </w:tc>
        <w:tc>
          <w:tcPr>
            <w:tcW w:w="980" w:type="dxa"/>
            <w:vAlign w:val="bottom"/>
            <w:gridSpan w:val="2"/>
          </w:tcPr>
          <w:p>
            <w:pPr>
              <w:jc w:val="right"/>
              <w:ind w:right="46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20"/>
                <w:szCs w:val="20"/>
                <w:color w:val="auto"/>
              </w:rPr>
              <w:t>4,342.5</w:t>
            </w:r>
          </w:p>
        </w:tc>
        <w:tc>
          <w:tcPr>
            <w:tcW w:w="100" w:type="dxa"/>
            <w:vAlign w:val="bottom"/>
          </w:tcPr>
          <w:p>
            <w:pPr>
              <w:spacing w:after="0"/>
              <w:rPr>
                <w:sz w:val="22"/>
                <w:szCs w:val="22"/>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West Group</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5,613.4</w:t>
            </w:r>
          </w:p>
        </w:tc>
        <w:tc>
          <w:tcPr>
            <w:tcW w:w="320" w:type="dxa"/>
            <w:vAlign w:val="bottom"/>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5,355.5</w:t>
            </w:r>
          </w:p>
        </w:tc>
        <w:tc>
          <w:tcPr>
            <w:tcW w:w="100" w:type="dxa"/>
            <w:vAlign w:val="bottom"/>
            <w:shd w:val="clear" w:color="auto" w:fill="CFF0FC"/>
          </w:tcPr>
          <w:p>
            <w:pPr>
              <w:spacing w:after="0"/>
              <w:rPr>
                <w:sz w:val="21"/>
                <w:szCs w:val="21"/>
                <w:color w:val="auto"/>
              </w:rPr>
            </w:pPr>
          </w:p>
        </w:tc>
      </w:tr>
      <w:tr>
        <w:trPr>
          <w:trHeight w:val="236"/>
        </w:trPr>
        <w:tc>
          <w:tcPr>
            <w:tcW w:w="4200" w:type="dxa"/>
            <w:vAlign w:val="bottom"/>
            <w:gridSpan w:val="5"/>
          </w:tcPr>
          <w:p>
            <w:pPr>
              <w:spacing w:after="0"/>
              <w:rPr>
                <w:sz w:val="20"/>
                <w:szCs w:val="20"/>
                <w:color w:val="auto"/>
              </w:rPr>
            </w:pPr>
            <w:r>
              <w:rPr>
                <w:rFonts w:ascii="Arial" w:cs="Arial" w:eastAsia="Arial" w:hAnsi="Arial"/>
                <w:sz w:val="20"/>
                <w:szCs w:val="20"/>
                <w:color w:val="auto"/>
              </w:rPr>
              <w:t>Total Building Materials business</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w w:val="87"/>
              </w:rPr>
              <w:t>10,689.3</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20"/>
                <w:szCs w:val="20"/>
                <w:color w:val="auto"/>
              </w:rPr>
              <w:t>9,698.0</w:t>
            </w:r>
          </w:p>
        </w:tc>
        <w:tc>
          <w:tcPr>
            <w:tcW w:w="100" w:type="dxa"/>
            <w:vAlign w:val="bottom"/>
          </w:tcPr>
          <w:p>
            <w:pPr>
              <w:spacing w:after="0"/>
              <w:rPr>
                <w:sz w:val="20"/>
                <w:szCs w:val="20"/>
                <w:color w:val="auto"/>
              </w:rPr>
            </w:pPr>
          </w:p>
        </w:tc>
      </w:tr>
      <w:tr>
        <w:trPr>
          <w:trHeight w:val="243"/>
        </w:trPr>
        <w:tc>
          <w:tcPr>
            <w:tcW w:w="42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169.6</w:t>
            </w: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167.9</w:t>
            </w:r>
          </w:p>
        </w:tc>
        <w:tc>
          <w:tcPr>
            <w:tcW w:w="100" w:type="dxa"/>
            <w:vAlign w:val="bottom"/>
            <w:shd w:val="clear" w:color="auto" w:fill="CFF0FC"/>
          </w:tcPr>
          <w:p>
            <w:pPr>
              <w:spacing w:after="0"/>
              <w:rPr>
                <w:sz w:val="21"/>
                <w:szCs w:val="21"/>
                <w:color w:val="auto"/>
              </w:rPr>
            </w:pPr>
          </w:p>
        </w:tc>
      </w:tr>
      <w:tr>
        <w:trPr>
          <w:trHeight w:val="243"/>
        </w:trPr>
        <w:tc>
          <w:tcPr>
            <w:tcW w:w="420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Corporate</w:t>
            </w:r>
          </w:p>
        </w:tc>
        <w:tc>
          <w:tcPr>
            <w:tcW w:w="32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2,927.3</w:t>
            </w:r>
          </w:p>
        </w:tc>
        <w:tc>
          <w:tcPr>
            <w:tcW w:w="32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714.9</w:t>
            </w:r>
          </w:p>
        </w:tc>
        <w:tc>
          <w:tcPr>
            <w:tcW w:w="100" w:type="dxa"/>
            <w:vAlign w:val="bottom"/>
            <w:tcBorders>
              <w:bottom w:val="single" w:sz="8" w:color="CFF0FC"/>
            </w:tcBorders>
          </w:tcPr>
          <w:p>
            <w:pPr>
              <w:spacing w:after="0"/>
              <w:rPr>
                <w:sz w:val="21"/>
                <w:szCs w:val="21"/>
                <w:color w:val="auto"/>
              </w:rPr>
            </w:pPr>
          </w:p>
        </w:tc>
      </w:tr>
      <w:tr>
        <w:trPr>
          <w:trHeight w:val="236"/>
        </w:trPr>
        <w:tc>
          <w:tcPr>
            <w:tcW w:w="420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20"/>
                <w:szCs w:val="20"/>
                <w:color w:val="auto"/>
              </w:rPr>
              <w:t>Total</w:t>
            </w:r>
          </w:p>
        </w:tc>
        <w:tc>
          <w:tcPr>
            <w:tcW w:w="3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161"/>
              <w:spacing w:after="0"/>
              <w:rPr>
                <w:sz w:val="20"/>
                <w:szCs w:val="20"/>
                <w:color w:val="auto"/>
              </w:rPr>
            </w:pPr>
            <w:r>
              <w:rPr>
                <w:rFonts w:ascii="Arial" w:cs="Arial" w:eastAsia="Arial" w:hAnsi="Arial"/>
                <w:sz w:val="20"/>
                <w:szCs w:val="20"/>
                <w:color w:val="auto"/>
                <w:w w:val="71"/>
              </w:rPr>
              <w:t>$</w:t>
            </w: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w w:val="87"/>
              </w:rPr>
              <w:t>13,786.2</w:t>
            </w:r>
          </w:p>
        </w:tc>
        <w:tc>
          <w:tcPr>
            <w:tcW w:w="3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61"/>
              <w:spacing w:after="0"/>
              <w:rPr>
                <w:sz w:val="20"/>
                <w:szCs w:val="20"/>
                <w:color w:val="auto"/>
              </w:rPr>
            </w:pPr>
            <w:r>
              <w:rPr>
                <w:rFonts w:ascii="Arial" w:cs="Arial" w:eastAsia="Arial" w:hAnsi="Arial"/>
                <w:sz w:val="20"/>
                <w:szCs w:val="20"/>
                <w:color w:val="auto"/>
                <w:w w:val="71"/>
              </w:rPr>
              <w:t>$</w:t>
            </w:r>
          </w:p>
        </w:tc>
        <w:tc>
          <w:tcPr>
            <w:tcW w:w="20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10,580.8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increase in assets from December 31, 2020 to September 30, 2021 primarily relates to the proceeds from the Senior Notes issued in July 2021, new right-of-use assets for finance leases and the Tiller and SCC acquisitions. The proceeds from the Senior Notes issuance are reflected as Corporate assets as of September 30, 2021.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1"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Revenues and Gross Profit</w:t>
      </w:r>
    </w:p>
    <w:p>
      <w:pPr>
        <w:spacing w:after="0" w:line="125" w:lineRule="exact"/>
        <w:rPr>
          <w:rFonts w:ascii="Arial" w:cs="Arial" w:eastAsia="Arial" w:hAnsi="Arial"/>
          <w:sz w:val="19"/>
          <w:szCs w:val="19"/>
          <w:b w:val="1"/>
          <w:bCs w:val="1"/>
          <w:color w:val="auto"/>
        </w:rPr>
      </w:pPr>
    </w:p>
    <w:p>
      <w:pPr>
        <w:jc w:val="both"/>
        <w:ind w:left="28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The Building Materials business includes the aggregates, cement, ready mixed concrete and asphalt and paving product lines. Cement and ready mixed concrete product lines and paving services reside only in the West Group. The following table, which is reconciled to consolidated amounts, provides total revenues and gross profit by product line.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40" w:type="dxa"/>
            <w:vAlign w:val="bottom"/>
            <w:gridSpan w:val="6"/>
          </w:tcPr>
          <w:p>
            <w:pPr>
              <w:jc w:val="right"/>
              <w:ind w:right="1280"/>
              <w:spacing w:after="0"/>
              <w:rPr>
                <w:sz w:val="20"/>
                <w:szCs w:val="20"/>
                <w:color w:val="auto"/>
              </w:rPr>
            </w:pPr>
            <w:r>
              <w:rPr>
                <w:rFonts w:ascii="Arial" w:cs="Arial" w:eastAsia="Arial" w:hAnsi="Arial"/>
                <w:sz w:val="20"/>
                <w:szCs w:val="20"/>
                <w:color w:val="auto"/>
              </w:rPr>
              <w:t>Three Months Ended</w:t>
            </w:r>
          </w:p>
        </w:tc>
        <w:tc>
          <w:tcPr>
            <w:tcW w:w="360" w:type="dxa"/>
            <w:vAlign w:val="bottom"/>
          </w:tcPr>
          <w:p>
            <w:pPr>
              <w:spacing w:after="0"/>
              <w:rPr>
                <w:sz w:val="21"/>
                <w:szCs w:val="21"/>
                <w:color w:val="auto"/>
              </w:rPr>
            </w:pPr>
          </w:p>
        </w:tc>
        <w:tc>
          <w:tcPr>
            <w:tcW w:w="3260" w:type="dxa"/>
            <w:vAlign w:val="bottom"/>
            <w:gridSpan w:val="5"/>
          </w:tcPr>
          <w:p>
            <w:pPr>
              <w:jc w:val="right"/>
              <w:ind w:right="108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w w:val="97"/>
              </w:rPr>
              <w:t>September 30,</w:t>
            </w:r>
          </w:p>
        </w:tc>
        <w:tc>
          <w:tcPr>
            <w:tcW w:w="11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2020</w:t>
            </w: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2021</w:t>
            </w:r>
          </w:p>
        </w:tc>
        <w:tc>
          <w:tcPr>
            <w:tcW w:w="2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60" w:type="dxa"/>
            <w:vAlign w:val="bottom"/>
            <w:gridSpan w:val="5"/>
          </w:tcPr>
          <w:p>
            <w:pPr>
              <w:jc w:val="right"/>
              <w:ind w:right="1240"/>
              <w:spacing w:after="0"/>
              <w:rPr>
                <w:sz w:val="20"/>
                <w:szCs w:val="20"/>
                <w:color w:val="auto"/>
              </w:rPr>
            </w:pPr>
            <w:r>
              <w:rPr>
                <w:rFonts w:ascii="Arial" w:cs="Arial" w:eastAsia="Arial" w:hAnsi="Arial"/>
                <w:sz w:val="20"/>
                <w:szCs w:val="20"/>
                <w:i w:val="1"/>
                <w:iCs w:val="1"/>
                <w:color w:val="auto"/>
              </w:rPr>
              <w:t>(Dollars in Millions)</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20"/>
                <w:szCs w:val="20"/>
                <w:color w:val="auto"/>
                <w:w w:val="87"/>
              </w:rPr>
              <w:t>Total revenues:</w:t>
            </w:r>
          </w:p>
        </w:tc>
        <w:tc>
          <w:tcPr>
            <w:tcW w:w="2000" w:type="dxa"/>
            <w:vAlign w:val="bottom"/>
            <w:tcBorders>
              <w:bottom w:val="single" w:sz="8" w:color="CFF0FC"/>
            </w:tcBorders>
            <w:gridSpan w:val="2"/>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Aggregates</w:t>
            </w:r>
          </w:p>
        </w:tc>
        <w:tc>
          <w:tcPr>
            <w:tcW w:w="1560" w:type="dxa"/>
            <w:vAlign w:val="bottom"/>
            <w:gridSpan w:val="2"/>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857.1</w:t>
            </w:r>
          </w:p>
        </w:tc>
        <w:tc>
          <w:tcPr>
            <w:tcW w:w="280" w:type="dxa"/>
            <w:vAlign w:val="bottom"/>
          </w:tcPr>
          <w:p>
            <w:pPr>
              <w:spacing w:after="0"/>
              <w:rPr>
                <w:sz w:val="21"/>
                <w:szCs w:val="21"/>
                <w:color w:val="auto"/>
              </w:rPr>
            </w:pPr>
          </w:p>
        </w:tc>
        <w:tc>
          <w:tcPr>
            <w:tcW w:w="500" w:type="dxa"/>
            <w:vAlign w:val="bottom"/>
          </w:tcPr>
          <w:p>
            <w:pPr>
              <w:jc w:val="right"/>
              <w:ind w:right="301"/>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766.9</w:t>
            </w:r>
          </w:p>
        </w:tc>
        <w:tc>
          <w:tcPr>
            <w:tcW w:w="360" w:type="dxa"/>
            <w:vAlign w:val="bottom"/>
          </w:tcPr>
          <w:p>
            <w:pPr>
              <w:spacing w:after="0"/>
              <w:rPr>
                <w:sz w:val="21"/>
                <w:szCs w:val="21"/>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2,231.5</w:t>
            </w:r>
          </w:p>
        </w:tc>
        <w:tc>
          <w:tcPr>
            <w:tcW w:w="280" w:type="dxa"/>
            <w:vAlign w:val="bottom"/>
          </w:tcPr>
          <w:p>
            <w:pPr>
              <w:spacing w:after="0"/>
              <w:rPr>
                <w:sz w:val="21"/>
                <w:szCs w:val="21"/>
                <w:color w:val="auto"/>
              </w:rPr>
            </w:pPr>
          </w:p>
        </w:tc>
        <w:tc>
          <w:tcPr>
            <w:tcW w:w="500" w:type="dxa"/>
            <w:vAlign w:val="bottom"/>
          </w:tcPr>
          <w:p>
            <w:pPr>
              <w:jc w:val="right"/>
              <w:ind w:right="30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2,092.1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Cement</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115.6</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Ready mixed concrete</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320.8</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254.6</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824.5</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689.4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Asphalt and paving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129.8</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343.5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Less: interproduct revenues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(115.3)</w:t>
            </w:r>
          </w:p>
        </w:tc>
        <w:tc>
          <w:tcPr>
            <w:tcW w:w="5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20"/>
                <w:szCs w:val="20"/>
                <w:color w:val="auto"/>
              </w:rPr>
              <w:t>(81.4)</w:t>
            </w:r>
          </w:p>
        </w:tc>
        <w:tc>
          <w:tcPr>
            <w:tcW w:w="3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20"/>
                <w:szCs w:val="20"/>
                <w:color w:val="auto"/>
              </w:rPr>
              <w:t>(285.1)</w:t>
            </w:r>
          </w:p>
        </w:tc>
        <w:tc>
          <w:tcPr>
            <w:tcW w:w="5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(210.9)</w:t>
            </w:r>
          </w:p>
        </w:tc>
        <w:tc>
          <w:tcPr>
            <w:tcW w:w="0" w:type="dxa"/>
            <w:vAlign w:val="bottom"/>
          </w:tcPr>
          <w:p>
            <w:pPr>
              <w:spacing w:after="0"/>
              <w:rPr>
                <w:sz w:val="1"/>
                <w:szCs w:val="1"/>
                <w:color w:val="auto"/>
              </w:rPr>
            </w:pPr>
          </w:p>
        </w:tc>
      </w:tr>
      <w:tr>
        <w:trPr>
          <w:trHeight w:val="237"/>
        </w:trPr>
        <w:tc>
          <w:tcPr>
            <w:tcW w:w="3220" w:type="dxa"/>
            <w:vAlign w:val="bottom"/>
            <w:tcBorders>
              <w:top w:val="single" w:sz="8" w:color="CFF0FC"/>
            </w:tcBorders>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3"/>
              </w:rPr>
              <w:t>1,390.8</w:t>
            </w:r>
          </w:p>
        </w:tc>
        <w:tc>
          <w:tcPr>
            <w:tcW w:w="2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1,185.5</w:t>
            </w:r>
          </w:p>
        </w:tc>
        <w:tc>
          <w:tcPr>
            <w:tcW w:w="36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3,472.8</w:t>
            </w:r>
          </w:p>
        </w:tc>
        <w:tc>
          <w:tcPr>
            <w:tcW w:w="2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3,157.2</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88.1</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w:t>
            </w:r>
          </w:p>
        </w:tc>
        <w:tc>
          <w:tcPr>
            <w:tcW w:w="3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219.8</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3"/>
              </w:rPr>
              <w:t>1,478.9</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1,260.5</w:t>
            </w: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3,692.6</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55.2</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207.1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w:t>
            </w:r>
          </w:p>
        </w:tc>
        <w:tc>
          <w:tcPr>
            <w:tcW w:w="3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560" w:type="dxa"/>
            <w:vAlign w:val="bottom"/>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78.4</w:t>
            </w:r>
          </w:p>
        </w:tc>
        <w:tc>
          <w:tcPr>
            <w:tcW w:w="28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60.9</w:t>
            </w:r>
          </w:p>
        </w:tc>
        <w:tc>
          <w:tcPr>
            <w:tcW w:w="36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225.0</w:t>
            </w:r>
          </w:p>
        </w:tc>
        <w:tc>
          <w:tcPr>
            <w:tcW w:w="280" w:type="dxa"/>
            <w:vAlign w:val="bottom"/>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20" w:type="dxa"/>
            <w:vAlign w:val="bottom"/>
            <w:gridSpan w:val="3"/>
          </w:tcPr>
          <w:p>
            <w:pPr>
              <w:spacing w:after="0"/>
              <w:rPr>
                <w:sz w:val="20"/>
                <w:szCs w:val="20"/>
                <w:color w:val="auto"/>
              </w:rPr>
            </w:pPr>
            <w:r>
              <w:rPr>
                <w:rFonts w:ascii="Arial" w:cs="Arial" w:eastAsia="Arial" w:hAnsi="Arial"/>
                <w:sz w:val="20"/>
                <w:szCs w:val="20"/>
                <w:color w:val="auto"/>
              </w:rPr>
              <w:t>Total</w:t>
            </w:r>
          </w:p>
        </w:tc>
        <w:tc>
          <w:tcPr>
            <w:tcW w:w="560" w:type="dxa"/>
            <w:vAlign w:val="bottom"/>
          </w:tcPr>
          <w:p>
            <w:pPr>
              <w:spacing w:after="0"/>
              <w:rPr>
                <w:sz w:val="20"/>
                <w:szCs w:val="20"/>
                <w:color w:val="auto"/>
              </w:rPr>
            </w:pP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3"/>
              </w:rPr>
              <w:t>1,557.3</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1,321.4</w:t>
            </w:r>
          </w:p>
        </w:tc>
        <w:tc>
          <w:tcPr>
            <w:tcW w:w="360" w:type="dxa"/>
            <w:vAlign w:val="bottom"/>
          </w:tcPr>
          <w:p>
            <w:pPr>
              <w:spacing w:after="0"/>
              <w:rPr>
                <w:sz w:val="20"/>
                <w:szCs w:val="20"/>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3,917.6</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3,550.3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gridSpan w:val="3"/>
            <w:vMerge w:val="restart"/>
          </w:tcPr>
          <w:p>
            <w:pPr>
              <w:spacing w:after="0"/>
              <w:rPr>
                <w:sz w:val="20"/>
                <w:szCs w:val="20"/>
                <w:color w:val="auto"/>
              </w:rPr>
            </w:pPr>
            <w:r>
              <w:rPr>
                <w:rFonts w:ascii="Arial" w:cs="Arial" w:eastAsia="Arial" w:hAnsi="Arial"/>
                <w:sz w:val="20"/>
                <w:szCs w:val="20"/>
                <w:color w:val="auto"/>
              </w:rPr>
              <w:t>Gross profit (loss):</w:t>
            </w: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Aggregates</w:t>
            </w:r>
          </w:p>
        </w:tc>
        <w:tc>
          <w:tcPr>
            <w:tcW w:w="1560" w:type="dxa"/>
            <w:vAlign w:val="bottom"/>
            <w:gridSpan w:val="2"/>
            <w:shd w:val="clear" w:color="auto" w:fill="CFF0FC"/>
          </w:tcPr>
          <w:p>
            <w:pPr>
              <w:jc w:val="right"/>
              <w:ind w:right="801"/>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279.1</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687.7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260"/>
              <w:spacing w:after="0"/>
              <w:rPr>
                <w:sz w:val="20"/>
                <w:szCs w:val="20"/>
                <w:color w:val="auto"/>
              </w:rPr>
            </w:pPr>
            <w:r>
              <w:rPr>
                <w:rFonts w:ascii="Arial" w:cs="Arial" w:eastAsia="Arial" w:hAnsi="Arial"/>
                <w:sz w:val="20"/>
                <w:szCs w:val="20"/>
                <w:color w:val="auto"/>
              </w:rPr>
              <w:t>Cement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49.9</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46.5</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101.3</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260"/>
              <w:spacing w:after="0"/>
              <w:rPr>
                <w:sz w:val="20"/>
                <w:szCs w:val="20"/>
                <w:color w:val="auto"/>
              </w:rPr>
            </w:pPr>
            <w:r>
              <w:rPr>
                <w:rFonts w:ascii="Arial" w:cs="Arial" w:eastAsia="Arial" w:hAnsi="Arial"/>
                <w:sz w:val="20"/>
                <w:szCs w:val="20"/>
                <w:color w:val="auto"/>
              </w:rPr>
              <w:t>Ready mixed concrete</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24.7</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260"/>
              <w:spacing w:after="0"/>
              <w:rPr>
                <w:sz w:val="20"/>
                <w:szCs w:val="20"/>
                <w:color w:val="auto"/>
              </w:rPr>
            </w:pPr>
            <w:r>
              <w:rPr>
                <w:rFonts w:ascii="Arial" w:cs="Arial" w:eastAsia="Arial" w:hAnsi="Arial"/>
                <w:sz w:val="20"/>
                <w:szCs w:val="20"/>
                <w:color w:val="auto"/>
              </w:rPr>
              <w:t>Asphalt and paving services</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38.9</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32.6</w:t>
            </w:r>
          </w:p>
        </w:tc>
        <w:tc>
          <w:tcPr>
            <w:tcW w:w="3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413.1</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382.9</w:t>
            </w: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918.3</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w:t>
            </w:r>
          </w:p>
        </w:tc>
        <w:tc>
          <w:tcPr>
            <w:tcW w:w="3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2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414.4</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383.8</w:t>
            </w:r>
          </w:p>
        </w:tc>
        <w:tc>
          <w:tcPr>
            <w:tcW w:w="3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920.0</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ind w:left="140"/>
              <w:spacing w:after="0"/>
              <w:rPr>
                <w:sz w:val="20"/>
                <w:szCs w:val="20"/>
                <w:color w:val="auto"/>
              </w:rPr>
            </w:pPr>
            <w:r>
              <w:rPr>
                <w:rFonts w:ascii="Arial" w:cs="Arial" w:eastAsia="Arial" w:hAnsi="Arial"/>
                <w:sz w:val="20"/>
                <w:szCs w:val="20"/>
                <w:color w:val="auto"/>
              </w:rPr>
              <w:t>Freight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(1.1)</w:t>
            </w:r>
          </w:p>
        </w:tc>
        <w:tc>
          <w:tcPr>
            <w:tcW w:w="5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20"/>
                <w:szCs w:val="20"/>
                <w:color w:val="auto"/>
              </w:rPr>
              <w:t>(1.0)</w:t>
            </w:r>
          </w:p>
        </w:tc>
        <w:tc>
          <w:tcPr>
            <w:tcW w:w="3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20"/>
                <w:szCs w:val="20"/>
                <w:color w:val="auto"/>
              </w:rPr>
              <w:t>(3.0)</w:t>
            </w:r>
          </w:p>
        </w:tc>
        <w:tc>
          <w:tcPr>
            <w:tcW w:w="50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36"/>
        </w:trPr>
        <w:tc>
          <w:tcPr>
            <w:tcW w:w="32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56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2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36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81.4</w:t>
            </w:r>
          </w:p>
        </w:tc>
        <w:tc>
          <w:tcPr>
            <w:tcW w:w="2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62.1</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CFF0FC"/>
            </w:tcBorders>
            <w:gridSpan w:val="3"/>
          </w:tcPr>
          <w:p>
            <w:pPr>
              <w:spacing w:after="0"/>
              <w:rPr>
                <w:sz w:val="20"/>
                <w:szCs w:val="20"/>
                <w:color w:val="auto"/>
              </w:rPr>
            </w:pPr>
            <w:r>
              <w:rPr>
                <w:rFonts w:ascii="Arial" w:cs="Arial" w:eastAsia="Arial" w:hAnsi="Arial"/>
                <w:sz w:val="20"/>
                <w:szCs w:val="20"/>
                <w:color w:val="auto"/>
              </w:rPr>
              <w:t>Corporate</w:t>
            </w:r>
          </w:p>
        </w:tc>
        <w:tc>
          <w:tcPr>
            <w:tcW w:w="56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0.7</w:t>
            </w:r>
          </w:p>
        </w:tc>
        <w:tc>
          <w:tcPr>
            <w:tcW w:w="3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0.3</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5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20"/>
                <w:szCs w:val="2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441.9</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404.5</w:t>
            </w:r>
          </w:p>
        </w:tc>
        <w:tc>
          <w:tcPr>
            <w:tcW w:w="3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1,001.7</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0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927.4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20" w:type="dxa"/>
            <w:vAlign w:val="bottom"/>
          </w:tcPr>
          <w:p>
            <w:pPr>
              <w:spacing w:after="0"/>
              <w:rPr>
                <w:sz w:val="20"/>
                <w:szCs w:val="20"/>
                <w:color w:val="auto"/>
              </w:rPr>
            </w:pPr>
            <w:r>
              <w:rPr>
                <w:rFonts w:ascii="Arial" w:cs="Arial" w:eastAsia="Arial" w:hAnsi="Arial"/>
                <w:sz w:val="20"/>
                <w:szCs w:val="20"/>
                <w:b w:val="1"/>
                <w:bCs w:val="1"/>
                <w:color w:val="auto"/>
              </w:rPr>
              <w:t>13. Supplemental Cash Flow Information</w:t>
            </w: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8"/>
        </w:trPr>
        <w:tc>
          <w:tcPr>
            <w:tcW w:w="6420" w:type="dxa"/>
            <w:vAlign w:val="bottom"/>
          </w:tcPr>
          <w:p>
            <w:pPr>
              <w:ind w:left="280"/>
              <w:spacing w:after="0"/>
              <w:rPr>
                <w:sz w:val="20"/>
                <w:szCs w:val="20"/>
                <w:color w:val="auto"/>
              </w:rPr>
            </w:pPr>
            <w:r>
              <w:rPr>
                <w:rFonts w:ascii="Arial" w:cs="Arial" w:eastAsia="Arial" w:hAnsi="Arial"/>
                <w:sz w:val="20"/>
                <w:szCs w:val="20"/>
                <w:color w:val="auto"/>
              </w:rPr>
              <w:t>Noncash investing and financing activities are as follows:</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6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60" w:type="dxa"/>
            <w:vAlign w:val="bottom"/>
            <w:gridSpan w:val="2"/>
          </w:tcPr>
          <w:p>
            <w:pPr>
              <w:jc w:val="center"/>
              <w:ind w:right="461"/>
              <w:spacing w:after="0"/>
              <w:rPr>
                <w:sz w:val="20"/>
                <w:szCs w:val="20"/>
                <w:color w:val="auto"/>
              </w:rPr>
            </w:pPr>
            <w:r>
              <w:rPr>
                <w:rFonts w:ascii="Arial" w:cs="Arial" w:eastAsia="Arial" w:hAnsi="Arial"/>
                <w:sz w:val="20"/>
                <w:szCs w:val="20"/>
                <w:color w:val="auto"/>
                <w:w w:val="91"/>
              </w:rPr>
              <w:t>Nine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2"/>
          </w:tcPr>
          <w:p>
            <w:pPr>
              <w:jc w:val="center"/>
              <w:ind w:right="441"/>
              <w:spacing w:after="0"/>
              <w:rPr>
                <w:sz w:val="20"/>
                <w:szCs w:val="20"/>
                <w:color w:val="auto"/>
              </w:rPr>
            </w:pPr>
            <w:r>
              <w:rPr>
                <w:rFonts w:ascii="Arial" w:cs="Arial" w:eastAsia="Arial" w:hAnsi="Arial"/>
                <w:sz w:val="20"/>
                <w:szCs w:val="20"/>
                <w:color w:val="auto"/>
                <w:w w:val="86"/>
              </w:rPr>
              <w:t>September 30,</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2020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40" w:type="dxa"/>
            <w:vAlign w:val="bottom"/>
            <w:gridSpan w:val="3"/>
          </w:tcPr>
          <w:p>
            <w:pPr>
              <w:jc w:val="center"/>
              <w:ind w:left="421"/>
              <w:spacing w:after="0"/>
              <w:rPr>
                <w:sz w:val="20"/>
                <w:szCs w:val="20"/>
                <w:color w:val="auto"/>
              </w:rPr>
            </w:pPr>
            <w:r>
              <w:rPr>
                <w:rFonts w:ascii="Arial" w:cs="Arial" w:eastAsia="Arial" w:hAnsi="Arial"/>
                <w:sz w:val="20"/>
                <w:szCs w:val="20"/>
                <w:i w:val="1"/>
                <w:iCs w:val="1"/>
                <w:color w:val="auto"/>
                <w:w w:val="97"/>
              </w:rPr>
              <w:t>(Dollars 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9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6"/>
        </w:trPr>
        <w:tc>
          <w:tcPr>
            <w:tcW w:w="6420" w:type="dxa"/>
            <w:vAlign w:val="bottom"/>
          </w:tcPr>
          <w:p>
            <w:pPr>
              <w:ind w:left="260"/>
              <w:spacing w:after="0" w:line="227" w:lineRule="exact"/>
              <w:rPr>
                <w:sz w:val="20"/>
                <w:szCs w:val="20"/>
                <w:color w:val="auto"/>
              </w:rPr>
            </w:pPr>
            <w:r>
              <w:rPr>
                <w:rFonts w:ascii="Arial" w:cs="Arial" w:eastAsia="Arial" w:hAnsi="Arial"/>
                <w:sz w:val="20"/>
                <w:szCs w:val="20"/>
                <w:color w:val="auto"/>
              </w:rPr>
              <w:t>Right-of-use assets obtained in exchange for</w:t>
            </w: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6420" w:type="dxa"/>
            <w:vAlign w:val="bottom"/>
          </w:tcPr>
          <w:p>
            <w:pPr>
              <w:ind w:left="400"/>
              <w:spacing w:after="0"/>
              <w:rPr>
                <w:sz w:val="20"/>
                <w:szCs w:val="20"/>
                <w:color w:val="auto"/>
              </w:rPr>
            </w:pPr>
            <w:r>
              <w:rPr>
                <w:rFonts w:ascii="Arial" w:cs="Arial" w:eastAsia="Arial" w:hAnsi="Arial"/>
                <w:sz w:val="20"/>
                <w:szCs w:val="20"/>
                <w:color w:val="auto"/>
              </w:rPr>
              <w:t>new finance lease liabilities</w:t>
            </w:r>
          </w:p>
        </w:tc>
        <w:tc>
          <w:tcPr>
            <w:tcW w:w="202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81"/>
              <w:spacing w:after="0"/>
              <w:rPr>
                <w:sz w:val="20"/>
                <w:szCs w:val="20"/>
                <w:color w:val="auto"/>
              </w:rPr>
            </w:pPr>
            <w:r>
              <w:rPr>
                <w:rFonts w:ascii="Arial" w:cs="Arial" w:eastAsia="Arial" w:hAnsi="Arial"/>
                <w:sz w:val="20"/>
                <w:szCs w:val="20"/>
                <w:color w:val="auto"/>
              </w:rPr>
              <w:t>177.8</w:t>
            </w:r>
          </w:p>
        </w:tc>
        <w:tc>
          <w:tcPr>
            <w:tcW w:w="134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15.0</w:t>
            </w:r>
          </w:p>
        </w:tc>
        <w:tc>
          <w:tcPr>
            <w:tcW w:w="100" w:type="dxa"/>
            <w:vAlign w:val="bottom"/>
          </w:tcPr>
          <w:p>
            <w:pPr>
              <w:spacing w:after="0"/>
              <w:rPr>
                <w:sz w:val="21"/>
                <w:szCs w:val="21"/>
                <w:color w:val="auto"/>
              </w:rPr>
            </w:pPr>
          </w:p>
        </w:tc>
      </w:tr>
      <w:tr>
        <w:trPr>
          <w:trHeight w:val="226"/>
        </w:trPr>
        <w:tc>
          <w:tcPr>
            <w:tcW w:w="642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Right-of-use assets obtained in exchange for new</w:t>
            </w:r>
          </w:p>
        </w:tc>
        <w:tc>
          <w:tcPr>
            <w:tcW w:w="9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64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operating lease liabilities</w:t>
            </w:r>
          </w:p>
        </w:tc>
        <w:tc>
          <w:tcPr>
            <w:tcW w:w="2020" w:type="dxa"/>
            <w:vAlign w:val="bottom"/>
            <w:gridSpan w:val="2"/>
            <w:shd w:val="clear" w:color="auto" w:fill="CFF0FC"/>
          </w:tcPr>
          <w:p>
            <w:pPr>
              <w:jc w:val="right"/>
              <w:ind w:right="8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17.3</w:t>
            </w:r>
          </w:p>
        </w:tc>
        <w:tc>
          <w:tcPr>
            <w:tcW w:w="134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29.3</w:t>
            </w:r>
          </w:p>
        </w:tc>
        <w:tc>
          <w:tcPr>
            <w:tcW w:w="100" w:type="dxa"/>
            <w:vAlign w:val="bottom"/>
            <w:shd w:val="clear" w:color="auto" w:fill="CFF0FC"/>
          </w:tcPr>
          <w:p>
            <w:pPr>
              <w:spacing w:after="0"/>
              <w:rPr>
                <w:sz w:val="21"/>
                <w:szCs w:val="21"/>
                <w:color w:val="auto"/>
              </w:rPr>
            </w:pPr>
          </w:p>
        </w:tc>
      </w:tr>
      <w:tr>
        <w:trPr>
          <w:trHeight w:val="243"/>
        </w:trPr>
        <w:tc>
          <w:tcPr>
            <w:tcW w:w="642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202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81"/>
              <w:spacing w:after="0"/>
              <w:rPr>
                <w:sz w:val="20"/>
                <w:szCs w:val="20"/>
                <w:color w:val="auto"/>
              </w:rPr>
            </w:pPr>
            <w:r>
              <w:rPr>
                <w:rFonts w:ascii="Arial" w:cs="Arial" w:eastAsia="Arial" w:hAnsi="Arial"/>
                <w:sz w:val="20"/>
                <w:szCs w:val="20"/>
                <w:color w:val="auto"/>
              </w:rPr>
              <w:t>28.6</w:t>
            </w:r>
          </w:p>
        </w:tc>
        <w:tc>
          <w:tcPr>
            <w:tcW w:w="1340" w:type="dxa"/>
            <w:vAlign w:val="bottom"/>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30.5</w:t>
            </w:r>
          </w:p>
        </w:tc>
        <w:tc>
          <w:tcPr>
            <w:tcW w:w="100" w:type="dxa"/>
            <w:vAlign w:val="bottom"/>
          </w:tcPr>
          <w:p>
            <w:pPr>
              <w:spacing w:after="0"/>
              <w:rPr>
                <w:sz w:val="21"/>
                <w:szCs w:val="21"/>
                <w:color w:val="auto"/>
              </w:rPr>
            </w:pPr>
          </w:p>
        </w:tc>
      </w:tr>
      <w:tr>
        <w:trPr>
          <w:trHeight w:val="243"/>
        </w:trPr>
        <w:tc>
          <w:tcPr>
            <w:tcW w:w="642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Remeasurement of operating lease right-of-use assets</w:t>
            </w:r>
          </w:p>
        </w:tc>
        <w:tc>
          <w:tcPr>
            <w:tcW w:w="2020" w:type="dxa"/>
            <w:vAlign w:val="bottom"/>
            <w:gridSpan w:val="2"/>
            <w:shd w:val="clear" w:color="auto" w:fill="CFF0FC"/>
          </w:tcPr>
          <w:p>
            <w:pPr>
              <w:jc w:val="right"/>
              <w:ind w:right="881"/>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(12.4)</w:t>
            </w:r>
          </w:p>
        </w:tc>
        <w:tc>
          <w:tcPr>
            <w:tcW w:w="1340" w:type="dxa"/>
            <w:vAlign w:val="bottom"/>
            <w:shd w:val="clear" w:color="auto" w:fill="CFF0FC"/>
          </w:tcPr>
          <w:p>
            <w:pPr>
              <w:jc w:val="right"/>
              <w:ind w:right="106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100" w:type="dxa"/>
            <w:vAlign w:val="bottom"/>
            <w:shd w:val="clear" w:color="auto" w:fill="CFF0FC"/>
          </w:tcPr>
          <w:p>
            <w:pPr>
              <w:spacing w:after="0"/>
              <w:rPr>
                <w:sz w:val="21"/>
                <w:szCs w:val="21"/>
                <w:color w:val="auto"/>
              </w:rPr>
            </w:pPr>
          </w:p>
        </w:tc>
      </w:tr>
    </w:tbl>
    <w:p>
      <w:pPr>
        <w:spacing w:after="0" w:line="348" w:lineRule="exact"/>
        <w:rPr>
          <w:sz w:val="20"/>
          <w:szCs w:val="20"/>
          <w:color w:val="auto"/>
        </w:rPr>
      </w:pPr>
    </w:p>
    <w:p>
      <w:pPr>
        <w:jc w:val="both"/>
        <w:ind w:left="280" w:right="20"/>
        <w:spacing w:after="0" w:line="250" w:lineRule="auto"/>
        <w:rPr>
          <w:sz w:val="20"/>
          <w:szCs w:val="20"/>
          <w:color w:val="auto"/>
        </w:rPr>
      </w:pPr>
      <w:r>
        <w:rPr>
          <w:rFonts w:ascii="Arial" w:cs="Arial" w:eastAsia="Arial" w:hAnsi="Arial"/>
          <w:sz w:val="20"/>
          <w:szCs w:val="20"/>
          <w:color w:val="auto"/>
        </w:rPr>
        <w:t>For the nine months ended September 30, 2021, the right-of-use assets obtained in exchange for new finance lease liabilities balance was primarily attributable to the leases of the new corporate headquarters, production equipment and leases assumed as part acquisitions completed during the year.</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380" w:type="dxa"/>
            <w:vAlign w:val="bottom"/>
          </w:tcPr>
          <w:p>
            <w:pPr>
              <w:ind w:left="2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03"/>
        </w:trPr>
        <w:tc>
          <w:tcPr>
            <w:tcW w:w="6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20"/>
                <w:szCs w:val="20"/>
                <w:color w:val="auto"/>
                <w:w w:val="89"/>
              </w:rPr>
              <w:t>Nine Months Ended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6"/>
        </w:trPr>
        <w:tc>
          <w:tcPr>
            <w:tcW w:w="6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86"/>
              </w:rPr>
              <w:t>September 30,</w:t>
            </w: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color w:val="auto"/>
                <w:w w:val="85"/>
              </w:rPr>
              <w:t>2020</w:t>
            </w:r>
          </w:p>
        </w:tc>
        <w:tc>
          <w:tcPr>
            <w:tcW w:w="120" w:type="dxa"/>
            <w:vAlign w:val="bottom"/>
          </w:tcPr>
          <w:p>
            <w:pPr>
              <w:spacing w:after="0"/>
              <w:rPr>
                <w:sz w:val="20"/>
                <w:szCs w:val="20"/>
                <w:color w:val="auto"/>
              </w:rPr>
            </w:pPr>
          </w:p>
        </w:tc>
      </w:tr>
      <w:tr>
        <w:trPr>
          <w:trHeight w:val="236"/>
        </w:trPr>
        <w:tc>
          <w:tcPr>
            <w:tcW w:w="6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20"/>
                <w:szCs w:val="20"/>
                <w:i w:val="1"/>
                <w:iCs w:val="1"/>
                <w:color w:val="auto"/>
                <w:w w:val="98"/>
              </w:rPr>
              <w:t>(Dollars in Millions)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38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 net of capitalized amount</w:t>
            </w:r>
          </w:p>
        </w:tc>
        <w:tc>
          <w:tcPr>
            <w:tcW w:w="1920" w:type="dxa"/>
            <w:vAlign w:val="bottom"/>
            <w:gridSpan w:val="2"/>
            <w:shd w:val="clear" w:color="auto" w:fill="CFF0FC"/>
          </w:tcPr>
          <w:p>
            <w:pPr>
              <w:jc w:val="right"/>
              <w:ind w:right="881"/>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68.7</w:t>
            </w:r>
          </w:p>
        </w:tc>
        <w:tc>
          <w:tcPr>
            <w:tcW w:w="900" w:type="dxa"/>
            <w:vAlign w:val="bottom"/>
            <w:shd w:val="clear" w:color="auto" w:fill="CFF0FC"/>
          </w:tcPr>
          <w:p>
            <w:pPr>
              <w:jc w:val="right"/>
              <w:ind w:right="52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74.7</w:t>
            </w:r>
          </w:p>
        </w:tc>
        <w:tc>
          <w:tcPr>
            <w:tcW w:w="120" w:type="dxa"/>
            <w:vAlign w:val="bottom"/>
            <w:shd w:val="clear" w:color="auto" w:fill="CFF0FC"/>
          </w:tcPr>
          <w:p>
            <w:pPr>
              <w:spacing w:after="0"/>
              <w:rPr>
                <w:sz w:val="21"/>
                <w:szCs w:val="21"/>
                <w:color w:val="auto"/>
              </w:rPr>
            </w:pPr>
          </w:p>
        </w:tc>
      </w:tr>
      <w:tr>
        <w:trPr>
          <w:trHeight w:val="250"/>
        </w:trPr>
        <w:tc>
          <w:tcPr>
            <w:tcW w:w="6380" w:type="dxa"/>
            <w:vAlign w:val="bottom"/>
          </w:tcPr>
          <w:p>
            <w:pPr>
              <w:spacing w:after="0"/>
              <w:rPr>
                <w:sz w:val="20"/>
                <w:szCs w:val="20"/>
                <w:color w:val="auto"/>
              </w:rPr>
            </w:pPr>
            <w:r>
              <w:rPr>
                <w:rFonts w:ascii="Arial" w:cs="Arial" w:eastAsia="Arial" w:hAnsi="Arial"/>
                <w:sz w:val="20"/>
                <w:szCs w:val="20"/>
                <w:color w:val="auto"/>
              </w:rPr>
              <w:t>Cash paid for income taxes, net of refunds</w:t>
            </w:r>
          </w:p>
        </w:tc>
        <w:tc>
          <w:tcPr>
            <w:tcW w:w="1920" w:type="dxa"/>
            <w:vAlign w:val="bottom"/>
            <w:gridSpan w:val="2"/>
          </w:tcPr>
          <w:p>
            <w:pPr>
              <w:jc w:val="right"/>
              <w:ind w:right="881"/>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01"/>
              <w:spacing w:after="0"/>
              <w:rPr>
                <w:sz w:val="20"/>
                <w:szCs w:val="20"/>
                <w:color w:val="auto"/>
              </w:rPr>
            </w:pPr>
            <w:r>
              <w:rPr>
                <w:rFonts w:ascii="Arial" w:cs="Arial" w:eastAsia="Arial" w:hAnsi="Arial"/>
                <w:sz w:val="20"/>
                <w:szCs w:val="20"/>
                <w:color w:val="auto"/>
              </w:rPr>
              <w:t>101.1</w:t>
            </w:r>
          </w:p>
        </w:tc>
        <w:tc>
          <w:tcPr>
            <w:tcW w:w="900" w:type="dxa"/>
            <w:vAlign w:val="bottom"/>
          </w:tcPr>
          <w:p>
            <w:pPr>
              <w:jc w:val="right"/>
              <w:ind w:right="5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68.9</w:t>
            </w:r>
          </w:p>
        </w:tc>
        <w:tc>
          <w:tcPr>
            <w:tcW w:w="120" w:type="dxa"/>
            <w:vAlign w:val="bottom"/>
          </w:tcPr>
          <w:p>
            <w:pPr>
              <w:spacing w:after="0"/>
              <w:rPr>
                <w:sz w:val="21"/>
                <w:szCs w:val="21"/>
                <w:color w:val="auto"/>
              </w:rPr>
            </w:pPr>
          </w:p>
        </w:tc>
      </w:tr>
    </w:tbl>
    <w:p>
      <w:pPr>
        <w:spacing w:after="0" w:line="84" w:lineRule="exact"/>
        <w:rPr>
          <w:sz w:val="20"/>
          <w:szCs w:val="20"/>
          <w:color w:val="auto"/>
        </w:rPr>
      </w:pPr>
    </w:p>
    <w:p>
      <w:pPr>
        <w:jc w:val="both"/>
        <w:ind w:left="280"/>
        <w:spacing w:after="0" w:line="291" w:lineRule="auto"/>
        <w:rPr>
          <w:sz w:val="20"/>
          <w:szCs w:val="20"/>
          <w:color w:val="auto"/>
        </w:rPr>
      </w:pPr>
      <w:r>
        <w:rPr>
          <w:rFonts w:ascii="Arial" w:cs="Arial" w:eastAsia="Arial" w:hAnsi="Arial"/>
          <w:sz w:val="18"/>
          <w:szCs w:val="18"/>
          <w:color w:val="auto"/>
        </w:rPr>
        <w:t xml:space="preserve">During the nine months ended September 30, 2021 and 2020, the Company received proceeds of $13.9 million and repaid $13.7 million of loans, respectively, related to its company-owned life insurance policies. The proceeds and repayment, as applicable, are included in the </w:t>
      </w:r>
      <w:r>
        <w:rPr>
          <w:rFonts w:ascii="Arial" w:cs="Arial" w:eastAsia="Arial" w:hAnsi="Arial"/>
          <w:sz w:val="18"/>
          <w:szCs w:val="18"/>
          <w:i w:val="1"/>
          <w:iCs w:val="1"/>
          <w:color w:val="auto"/>
        </w:rPr>
        <w:t>Investments in life insurance contracts, net</w:t>
      </w:r>
      <w:r>
        <w:rPr>
          <w:rFonts w:ascii="Arial" w:cs="Arial" w:eastAsia="Arial" w:hAnsi="Arial"/>
          <w:sz w:val="18"/>
          <w:szCs w:val="18"/>
          <w:color w:val="auto"/>
        </w:rPr>
        <w:t>, in the investing activities of the consolidated statements of cash flows.</w:t>
      </w:r>
    </w:p>
    <w:p>
      <w:pPr>
        <w:spacing w:after="0" w:line="186"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Other Operating Income, Net</w:t>
      </w:r>
    </w:p>
    <w:p>
      <w:pPr>
        <w:spacing w:after="0" w:line="98" w:lineRule="exact"/>
        <w:rPr>
          <w:rFonts w:ascii="Arial" w:cs="Arial" w:eastAsia="Arial" w:hAnsi="Arial"/>
          <w:sz w:val="19"/>
          <w:szCs w:val="19"/>
          <w:b w:val="1"/>
          <w:bCs w:val="1"/>
          <w:color w:val="auto"/>
        </w:rPr>
      </w:pPr>
    </w:p>
    <w:p>
      <w:pPr>
        <w:jc w:val="both"/>
        <w:ind w:left="280"/>
        <w:spacing w:after="0" w:line="291" w:lineRule="auto"/>
        <w:rPr>
          <w:rFonts w:ascii="Arial" w:cs="Arial" w:eastAsia="Arial" w:hAnsi="Arial"/>
          <w:sz w:val="19"/>
          <w:szCs w:val="19"/>
          <w:b w:val="1"/>
          <w:bCs w:val="1"/>
          <w:color w:val="auto"/>
        </w:rPr>
      </w:pPr>
      <w:r>
        <w:rPr>
          <w:rFonts w:ascii="Arial" w:cs="Arial" w:eastAsia="Arial" w:hAnsi="Arial"/>
          <w:sz w:val="18"/>
          <w:szCs w:val="18"/>
          <w:color w:val="auto"/>
        </w:rPr>
        <w:t>Other operating income, net, for the nine months ended September 30, 2021 included a gain on the sale of the Company’s former corporate headquarters of $12.3 million. Other operating income, net for the three and nine months ended September 30, 2020 included $69.9 million on nonrecurring gains on the sales of investment land and divested assets, which are recorded in the West Group.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77"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Other Nonoperating Income, Net</w:t>
      </w:r>
    </w:p>
    <w:p>
      <w:pPr>
        <w:spacing w:after="0" w:line="98" w:lineRule="exact"/>
        <w:rPr>
          <w:rFonts w:ascii="Arial" w:cs="Arial" w:eastAsia="Arial" w:hAnsi="Arial"/>
          <w:sz w:val="19"/>
          <w:szCs w:val="19"/>
          <w:b w:val="1"/>
          <w:bCs w:val="1"/>
          <w:color w:val="auto"/>
        </w:rPr>
      </w:pPr>
    </w:p>
    <w:p>
      <w:pPr>
        <w:jc w:val="both"/>
        <w:ind w:left="280"/>
        <w:spacing w:after="0" w:line="263" w:lineRule="auto"/>
        <w:rPr>
          <w:rFonts w:ascii="Arial" w:cs="Arial" w:eastAsia="Arial" w:hAnsi="Arial"/>
          <w:sz w:val="19"/>
          <w:szCs w:val="19"/>
          <w:b w:val="1"/>
          <w:bCs w:val="1"/>
          <w:color w:val="auto"/>
        </w:rPr>
      </w:pPr>
      <w:r>
        <w:rPr>
          <w:rFonts w:ascii="Arial" w:cs="Arial" w:eastAsia="Arial" w:hAnsi="Arial"/>
          <w:sz w:val="19"/>
          <w:szCs w:val="19"/>
          <w:color w:val="auto"/>
        </w:rPr>
        <w:t>For the three and nine months ended September 30, 2021, the increase in other nonoperating income, net, was primarily attributable to lower pension expense of $3.9 million and $11.8 million, respectively, compared with the prior-year periods. For the nine months ended September 30, 2020, other nonoperating income, net, included $5.6 million of third-party railroad track maintenance expense and reflected a $8.9 million reduction in pension expense compared with the prior-year period.</w:t>
      </w:r>
    </w:p>
    <w:p>
      <w:pPr>
        <w:spacing w:after="0" w:line="197" w:lineRule="exact"/>
        <w:rPr>
          <w:rFonts w:ascii="Arial" w:cs="Arial" w:eastAsia="Arial" w:hAnsi="Arial"/>
          <w:sz w:val="19"/>
          <w:szCs w:val="19"/>
          <w:b w:val="1"/>
          <w:bCs w:val="1"/>
          <w:color w:val="auto"/>
        </w:rPr>
      </w:pPr>
    </w:p>
    <w:p>
      <w:pPr>
        <w:ind w:left="280" w:hanging="272"/>
        <w:spacing w:after="0"/>
        <w:tabs>
          <w:tab w:leader="none" w:pos="28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w:t>
      </w:r>
    </w:p>
    <w:p>
      <w:pPr>
        <w:spacing w:after="0" w:line="138" w:lineRule="exact"/>
        <w:rPr>
          <w:rFonts w:ascii="Arial" w:cs="Arial" w:eastAsia="Arial" w:hAnsi="Arial"/>
          <w:sz w:val="19"/>
          <w:szCs w:val="19"/>
          <w:b w:val="1"/>
          <w:bCs w:val="1"/>
          <w:color w:val="auto"/>
        </w:rPr>
      </w:pPr>
    </w:p>
    <w:p>
      <w:pPr>
        <w:jc w:val="both"/>
        <w:ind w:left="28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On October 1, 2021, the Company successfully completed its previously announced acquisition of the Lehigh West Region business for $2.3 billion in cash. The acquisition was primarily financed using proceeds from the issuance of publicly traded debt during the quarter ended September 30, 2021.</w:t>
      </w:r>
    </w:p>
    <w:p>
      <w:pPr>
        <w:spacing w:after="0" w:line="77" w:lineRule="exact"/>
        <w:rPr>
          <w:rFonts w:ascii="Arial" w:cs="Arial" w:eastAsia="Arial" w:hAnsi="Arial"/>
          <w:sz w:val="19"/>
          <w:szCs w:val="19"/>
          <w:b w:val="1"/>
          <w:bCs w:val="1"/>
          <w:color w:val="auto"/>
        </w:rPr>
      </w:pPr>
    </w:p>
    <w:p>
      <w:pPr>
        <w:jc w:val="both"/>
        <w:ind w:left="280"/>
        <w:spacing w:after="0" w:line="246" w:lineRule="auto"/>
        <w:rPr>
          <w:rFonts w:ascii="Arial" w:cs="Arial" w:eastAsia="Arial" w:hAnsi="Arial"/>
          <w:sz w:val="19"/>
          <w:szCs w:val="19"/>
          <w:b w:val="1"/>
          <w:bCs w:val="1"/>
          <w:color w:val="auto"/>
        </w:rPr>
      </w:pPr>
      <w:r>
        <w:rPr>
          <w:rFonts w:ascii="Arial" w:cs="Arial" w:eastAsia="Arial" w:hAnsi="Arial"/>
          <w:sz w:val="20"/>
          <w:szCs w:val="20"/>
          <w:color w:val="auto"/>
        </w:rPr>
        <w:t>Lehigh West Region has a portfolio of 17 active aggregates quarries, two cement plants (with related distribution terminals), and targeted downstream operations in four states. These operations provide a new upstream, materials-led growth platform across several of the nation’s largest and fastest growing megaregions in California and Arizona, solidifying the Company’s position as a leading coast-to-coast aggregates producer.</w:t>
      </w:r>
    </w:p>
    <w:p>
      <w:pPr>
        <w:spacing w:after="0" w:line="83" w:lineRule="exact"/>
        <w:rPr>
          <w:rFonts w:ascii="Arial" w:cs="Arial" w:eastAsia="Arial" w:hAnsi="Arial"/>
          <w:sz w:val="19"/>
          <w:szCs w:val="19"/>
          <w:b w:val="1"/>
          <w:bCs w:val="1"/>
          <w:color w:val="auto"/>
        </w:rPr>
      </w:pPr>
    </w:p>
    <w:p>
      <w:pPr>
        <w:jc w:val="both"/>
        <w:ind w:left="280"/>
        <w:spacing w:after="0" w:line="257" w:lineRule="auto"/>
        <w:rPr>
          <w:rFonts w:ascii="Arial" w:cs="Arial" w:eastAsia="Arial" w:hAnsi="Arial"/>
          <w:sz w:val="19"/>
          <w:szCs w:val="19"/>
          <w:b w:val="1"/>
          <w:bCs w:val="1"/>
          <w:color w:val="auto"/>
        </w:rPr>
      </w:pPr>
      <w:r>
        <w:rPr>
          <w:rFonts w:ascii="Arial" w:cs="Arial" w:eastAsia="Arial" w:hAnsi="Arial"/>
          <w:sz w:val="19"/>
          <w:szCs w:val="19"/>
          <w:color w:val="auto"/>
        </w:rPr>
        <w:t>The acquisition reflects a stock transaction where the Company acquired 100% of the voting interest of the legal entities that comprise the Lehigh West Region. For tax purposes, the acquisition is being treated as an asset transaction. The Company acquired inventories; property, plant and equipment; intangible assets; right-of-use assets; and other assets; and assumed accrued liabilities, asset retirement obligations, lease obligations and other liabilities. The Company did not acquire any of Lehigh West Region’s cash, cash equivalents or accounts receivable nor did it assume any accounts payable, outstanding debt, or pension obligation. The Company is in the process of determining the acquisition-date fair values of assets acquired and liabilities assumed, and as of November 2, 2021, the initial accounting for the business combination has not been completed.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60"/>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FORM 10-Q</w:t>
      </w:r>
    </w:p>
    <w:p>
      <w:pPr>
        <w:jc w:val="center"/>
        <w:ind w:right="60"/>
        <w:spacing w:after="0"/>
        <w:rPr>
          <w:sz w:val="20"/>
          <w:szCs w:val="20"/>
          <w:color w:val="auto"/>
        </w:rPr>
      </w:pPr>
      <w:r>
        <w:rPr>
          <w:rFonts w:ascii="Arial" w:cs="Arial" w:eastAsia="Arial" w:hAnsi="Arial"/>
          <w:sz w:val="20"/>
          <w:szCs w:val="20"/>
          <w:color w:val="auto"/>
        </w:rPr>
        <w:t>For the Quarter Ended September 30, 2021</w:t>
      </w:r>
    </w:p>
    <w:p>
      <w:pPr>
        <w:spacing w:after="0" w:line="15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RESULTS OF OPERATIONS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Martin Marietta Materials, Inc. (the Company or Martin Marietta) is a natural resource-based building materials company. As of September 30, 2021, the Company supplies aggregates (crushed stone, sand and gravel) through its network of approximately 320 quarries, mines and distribution yards in 26 states, Canada and The Bahamas. In the southwestern and western United States, Martin Marietta also provides cement and downstream products and services, namely, ready mixed concrete, asphalt and paving, in vertically-integrated structured markets where the Company has a leading aggregates position. The Company also provides asphalt in Minnesota, subsequent to a business combination in the quarter ended June 30, 2021.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37" w:lineRule="exact"/>
        <w:rPr>
          <w:sz w:val="20"/>
          <w:szCs w:val="20"/>
          <w:color w:val="auto"/>
        </w:rPr>
      </w:pPr>
    </w:p>
    <w:p>
      <w:pPr>
        <w:jc w:val="center"/>
        <w:ind w:right="2120"/>
        <w:spacing w:after="0" w:line="308" w:lineRule="auto"/>
        <w:rPr>
          <w:sz w:val="20"/>
          <w:szCs w:val="20"/>
          <w:color w:val="auto"/>
        </w:rPr>
      </w:pPr>
      <w:r>
        <w:rPr>
          <w:rFonts w:ascii="Arial" w:cs="Arial" w:eastAsia="Arial" w:hAnsi="Arial"/>
          <w:sz w:val="20"/>
          <w:szCs w:val="20"/>
          <w:color w:val="auto"/>
        </w:rPr>
        <w:t xml:space="preserve">The Company’s Building Materials business includes two reportable segments: the East Group and the West Group. </w:t>
      </w:r>
      <w:r>
        <w:rPr>
          <w:rFonts w:ascii="Arial" w:cs="Arial" w:eastAsia="Arial" w:hAnsi="Arial"/>
          <w:sz w:val="20"/>
          <w:szCs w:val="20"/>
          <w:b w:val="1"/>
          <w:bCs w:val="1"/>
          <w:color w:val="auto"/>
        </w:rPr>
        <w:t>BUILDING MATERIALS BUSINESS</w:t>
      </w:r>
    </w:p>
    <w:tbl>
      <w:tblPr>
        <w:tblLayout w:type="fixed"/>
        <w:tblInd w:w="0" w:type="dxa"/>
        <w:tblCellMar>
          <w:top w:w="0" w:type="dxa"/>
          <w:left w:w="0" w:type="dxa"/>
          <w:bottom w:w="0" w:type="dxa"/>
          <w:right w:w="0" w:type="dxa"/>
        </w:tblCellMar>
      </w:tblPr>
      <w:tr>
        <w:trPr>
          <w:trHeight w:val="217"/>
        </w:trPr>
        <w:tc>
          <w:tcPr>
            <w:tcW w:w="2260" w:type="dxa"/>
            <w:vAlign w:val="bottom"/>
            <w:tcBorders>
              <w:top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color w:val="auto"/>
                <w:w w:val="86"/>
              </w:rPr>
              <w:t>Reportable Segments</w:t>
            </w:r>
          </w:p>
        </w:tc>
        <w:tc>
          <w:tcPr>
            <w:tcW w:w="4600" w:type="dxa"/>
            <w:vAlign w:val="bottom"/>
            <w:tcBorders>
              <w:top w:val="single" w:sz="8" w:color="auto"/>
            </w:tcBorders>
            <w:gridSpan w:val="2"/>
          </w:tcPr>
          <w:p>
            <w:pPr>
              <w:jc w:val="center"/>
              <w:ind w:right="100"/>
              <w:spacing w:after="0" w:line="216" w:lineRule="exact"/>
              <w:rPr>
                <w:sz w:val="20"/>
                <w:szCs w:val="20"/>
                <w:color w:val="auto"/>
              </w:rPr>
            </w:pPr>
            <w:r>
              <w:rPr>
                <w:rFonts w:ascii="Arial" w:cs="Arial" w:eastAsia="Arial" w:hAnsi="Arial"/>
                <w:sz w:val="20"/>
                <w:szCs w:val="20"/>
                <w:color w:val="auto"/>
                <w:w w:val="88"/>
              </w:rPr>
              <w:t>East Group</w:t>
            </w:r>
          </w:p>
        </w:tc>
        <w:tc>
          <w:tcPr>
            <w:tcW w:w="44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0"/>
                <w:szCs w:val="20"/>
                <w:color w:val="auto"/>
                <w:w w:val="89"/>
              </w:rPr>
              <w:t>West Group</w:t>
            </w:r>
          </w:p>
        </w:tc>
      </w:tr>
      <w:tr>
        <w:trPr>
          <w:trHeight w:val="206"/>
        </w:trPr>
        <w:tc>
          <w:tcPr>
            <w:tcW w:w="21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0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 Indiana, Iowa,</w:t>
            </w:r>
          </w:p>
        </w:tc>
        <w:tc>
          <w:tcPr>
            <w:tcW w:w="120" w:type="dxa"/>
            <w:vAlign w:val="bottom"/>
          </w:tcPr>
          <w:p>
            <w:pPr>
              <w:spacing w:after="0"/>
              <w:rPr>
                <w:sz w:val="17"/>
                <w:szCs w:val="17"/>
                <w:color w:val="auto"/>
              </w:rPr>
            </w:pPr>
          </w:p>
        </w:tc>
        <w:tc>
          <w:tcPr>
            <w:tcW w:w="444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Arkansas, Colorado, Louisiana, western</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Kansas, Kentucky, Maryland,</w:t>
            </w:r>
          </w:p>
        </w:tc>
        <w:tc>
          <w:tcPr>
            <w:tcW w:w="4440" w:type="dxa"/>
            <w:vAlign w:val="bottom"/>
          </w:tcPr>
          <w:p>
            <w:pPr>
              <w:jc w:val="center"/>
              <w:spacing w:after="0"/>
              <w:rPr>
                <w:sz w:val="20"/>
                <w:szCs w:val="20"/>
                <w:color w:val="auto"/>
              </w:rPr>
            </w:pPr>
            <w:r>
              <w:rPr>
                <w:rFonts w:ascii="Arial" w:cs="Arial" w:eastAsia="Arial" w:hAnsi="Arial"/>
                <w:sz w:val="20"/>
                <w:szCs w:val="20"/>
                <w:color w:val="auto"/>
                <w:w w:val="88"/>
              </w:rPr>
              <w:t>Nebraska, Oklahoma, Texas, Utah,</w:t>
            </w: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ind w:left="640"/>
              <w:spacing w:after="0"/>
              <w:rPr>
                <w:sz w:val="20"/>
                <w:szCs w:val="20"/>
                <w:color w:val="auto"/>
              </w:rPr>
            </w:pPr>
            <w:r>
              <w:rPr>
                <w:rFonts w:ascii="Arial" w:cs="Arial" w:eastAsia="Arial" w:hAnsi="Arial"/>
                <w:sz w:val="20"/>
                <w:szCs w:val="20"/>
                <w:color w:val="auto"/>
              </w:rPr>
              <w:t>Minnesota, Missouri, eastern Nebraska,</w:t>
            </w: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Washington and Wyoming</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North Carolina, Ohio, Pennsylvania,</w:t>
            </w:r>
          </w:p>
        </w:tc>
        <w:tc>
          <w:tcPr>
            <w:tcW w:w="4440" w:type="dxa"/>
            <w:vAlign w:val="bottom"/>
          </w:tcPr>
          <w:p>
            <w:pPr>
              <w:spacing w:after="0"/>
              <w:rPr>
                <w:sz w:val="19"/>
                <w:szCs w:val="19"/>
                <w:color w:val="auto"/>
              </w:rPr>
            </w:pPr>
          </w:p>
        </w:tc>
      </w:tr>
      <w:tr>
        <w:trPr>
          <w:trHeight w:val="229"/>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South Carolina, Tennessee, Virginia,</w:t>
            </w:r>
          </w:p>
        </w:tc>
        <w:tc>
          <w:tcPr>
            <w:tcW w:w="4440" w:type="dxa"/>
            <w:vAlign w:val="bottom"/>
          </w:tcPr>
          <w:p>
            <w:pPr>
              <w:spacing w:after="0"/>
              <w:rPr>
                <w:sz w:val="19"/>
                <w:szCs w:val="19"/>
                <w:color w:val="auto"/>
              </w:rPr>
            </w:pP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West Virginia, Nova Scotia and The Bahamas</w:t>
            </w:r>
          </w:p>
        </w:tc>
        <w:tc>
          <w:tcPr>
            <w:tcW w:w="4440" w:type="dxa"/>
            <w:vAlign w:val="bottom"/>
          </w:tcPr>
          <w:p>
            <w:pPr>
              <w:spacing w:after="0"/>
              <w:rPr>
                <w:sz w:val="21"/>
                <w:szCs w:val="21"/>
                <w:color w:val="auto"/>
              </w:rPr>
            </w:pP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Product Lines</w:t>
            </w: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Aggregates and Asphalt</w:t>
            </w:r>
          </w:p>
        </w:tc>
        <w:tc>
          <w:tcPr>
            <w:tcW w:w="4440" w:type="dxa"/>
            <w:vAlign w:val="bottom"/>
          </w:tcPr>
          <w:p>
            <w:pPr>
              <w:jc w:val="center"/>
              <w:spacing w:after="0"/>
              <w:rPr>
                <w:sz w:val="20"/>
                <w:szCs w:val="20"/>
                <w:color w:val="auto"/>
              </w:rPr>
            </w:pPr>
            <w:r>
              <w:rPr>
                <w:rFonts w:ascii="Arial" w:cs="Arial" w:eastAsia="Arial" w:hAnsi="Arial"/>
                <w:sz w:val="20"/>
                <w:szCs w:val="20"/>
                <w:color w:val="auto"/>
                <w:w w:val="87"/>
              </w:rPr>
              <w:t>Aggregates, Cement, Ready</w:t>
            </w: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0"/>
              </w:rPr>
              <w:t>Mixed Concrete, Asphalt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Paving</w:t>
            </w:r>
          </w:p>
        </w:tc>
      </w:tr>
      <w:tr>
        <w:trPr>
          <w:trHeight w:val="357"/>
        </w:trPr>
        <w:tc>
          <w:tcPr>
            <w:tcW w:w="22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Facility Types</w:t>
            </w:r>
          </w:p>
        </w:tc>
        <w:tc>
          <w:tcPr>
            <w:tcW w:w="460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Mines, Plants and Distribution Facilities</w:t>
            </w:r>
          </w:p>
        </w:tc>
        <w:tc>
          <w:tcPr>
            <w:tcW w:w="444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20"/>
                <w:szCs w:val="20"/>
                <w:color w:val="auto"/>
                <w:w w:val="93"/>
              </w:rPr>
              <w:t>Distribution Facilities</w:t>
            </w:r>
          </w:p>
        </w:tc>
      </w:tr>
      <w:tr>
        <w:trPr>
          <w:trHeight w:val="392"/>
        </w:trPr>
        <w:tc>
          <w:tcPr>
            <w:tcW w:w="2260" w:type="dxa"/>
            <w:vAlign w:val="bottom"/>
            <w:gridSpan w:val="2"/>
          </w:tcPr>
          <w:p>
            <w:pPr>
              <w:ind w:left="140"/>
              <w:spacing w:after="0"/>
              <w:rPr>
                <w:sz w:val="20"/>
                <w:szCs w:val="20"/>
                <w:color w:val="auto"/>
              </w:rPr>
            </w:pPr>
            <w:r>
              <w:rPr>
                <w:rFonts w:ascii="Arial" w:cs="Arial" w:eastAsia="Arial" w:hAnsi="Arial"/>
                <w:sz w:val="20"/>
                <w:szCs w:val="20"/>
                <w:color w:val="auto"/>
                <w:w w:val="96"/>
              </w:rPr>
              <w:t>Modes of Transportation</w:t>
            </w:r>
          </w:p>
        </w:tc>
        <w:tc>
          <w:tcPr>
            <w:tcW w:w="4600" w:type="dxa"/>
            <w:vAlign w:val="bottom"/>
            <w:gridSpan w:val="2"/>
          </w:tcPr>
          <w:p>
            <w:pPr>
              <w:jc w:val="center"/>
              <w:ind w:right="120"/>
              <w:spacing w:after="0"/>
              <w:rPr>
                <w:sz w:val="20"/>
                <w:szCs w:val="20"/>
                <w:color w:val="auto"/>
              </w:rPr>
            </w:pPr>
            <w:r>
              <w:rPr>
                <w:rFonts w:ascii="Arial" w:cs="Arial" w:eastAsia="Arial" w:hAnsi="Arial"/>
                <w:sz w:val="20"/>
                <w:szCs w:val="20"/>
                <w:color w:val="auto"/>
                <w:w w:val="90"/>
              </w:rPr>
              <w:t>Truck, Railcar and Ship</w:t>
            </w:r>
          </w:p>
        </w:tc>
        <w:tc>
          <w:tcPr>
            <w:tcW w:w="4440" w:type="dxa"/>
            <w:vAlign w:val="bottom"/>
          </w:tcPr>
          <w:p>
            <w:pPr>
              <w:jc w:val="center"/>
              <w:spacing w:after="0"/>
              <w:rPr>
                <w:sz w:val="20"/>
                <w:szCs w:val="20"/>
                <w:color w:val="auto"/>
              </w:rPr>
            </w:pPr>
            <w:r>
              <w:rPr>
                <w:rFonts w:ascii="Arial" w:cs="Arial" w:eastAsia="Arial" w:hAnsi="Arial"/>
                <w:sz w:val="20"/>
                <w:szCs w:val="20"/>
                <w:color w:val="auto"/>
                <w:w w:val="91"/>
              </w:rPr>
              <w:t>Truck and Railcar</w:t>
            </w:r>
          </w:p>
        </w:tc>
      </w:tr>
    </w:tbl>
    <w:p>
      <w:pPr>
        <w:spacing w:after="0" w:line="236" w:lineRule="exact"/>
        <w:rPr>
          <w:sz w:val="20"/>
          <w:szCs w:val="20"/>
          <w:color w:val="auto"/>
        </w:rPr>
      </w:pPr>
    </w:p>
    <w:p>
      <w:pPr>
        <w:jc w:val="both"/>
        <w:ind w:right="60"/>
        <w:spacing w:after="0" w:line="257"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southwest and west. Excessive rainfall, and conversely excessive drought, can also jeopardize production, shipments and profitability in all markets served by the Company. Due to the potentially significant impact of weather on the Company’s operations, current-period results are not necessarily indicative of expected performance for other interim periods or the full year.</w:t>
      </w:r>
    </w:p>
    <w:p>
      <w:pPr>
        <w:spacing w:after="0" w:line="198"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Page 28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outlined its critical accounting policies in its Annual Report on Form 10-K for the year ended December 31, 2020. There were no changes to the Company’s critical accounting policies during the nine months ended September 30, 2021.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Earnings before interest; income taxes; depreciation, depletion and amortization; the earnings/loss from nonconsolidated equity affiliates; acquisition-related expenses; and the impact of selling acquired inventory after its markup to fair value as part of acquisition accounting (Adjusted EBITDA) is an indicator used by the Company and investors to evaluate the Company’s operating performance from period to period. Adjusted EBITDA is not defined by accounting principles generally accepted in the United States and, as such, should not be construed as an alternative to net earnings, earnings from operations or cash provided by operating activities. However, the Company’s management believes that Adjusted EBITDA may provide additional information with respect to the Company’s performance and is a measure used by management to evaluate the Company’s performance. Because Adjusted EBITDA excludes some, but not all, items that affect net earnings and may vary among companies, Adjusted EBITDA as presented by the Company may not be comparable with similarly titled measures of other companies.</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to Adjusted EBITDA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46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6"/>
          </w:tcPr>
          <w:p>
            <w:pPr>
              <w:jc w:val="center"/>
              <w:ind w:right="380"/>
              <w:spacing w:after="0"/>
              <w:rPr>
                <w:sz w:val="20"/>
                <w:szCs w:val="20"/>
                <w:color w:val="auto"/>
              </w:rPr>
            </w:pPr>
            <w:r>
              <w:rPr>
                <w:rFonts w:ascii="Arial" w:cs="Arial" w:eastAsia="Arial" w:hAnsi="Arial"/>
                <w:sz w:val="20"/>
                <w:szCs w:val="20"/>
                <w:color w:val="auto"/>
                <w:w w:val="89"/>
              </w:rPr>
              <w:t>Nine Months Ended</w:t>
            </w:r>
          </w:p>
        </w:tc>
      </w:tr>
      <w:tr>
        <w:trPr>
          <w:trHeight w:val="246"/>
        </w:trPr>
        <w:tc>
          <w:tcPr>
            <w:tcW w:w="4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4"/>
          </w:tcPr>
          <w:p>
            <w:pPr>
              <w:jc w:val="right"/>
              <w:ind w:right="741"/>
              <w:spacing w:after="0"/>
              <w:rPr>
                <w:sz w:val="20"/>
                <w:szCs w:val="20"/>
                <w:color w:val="auto"/>
              </w:rPr>
            </w:pPr>
            <w:r>
              <w:rPr>
                <w:rFonts w:ascii="Arial" w:cs="Arial" w:eastAsia="Arial" w:hAnsi="Arial"/>
                <w:sz w:val="20"/>
                <w:szCs w:val="20"/>
                <w:color w:val="auto"/>
              </w:rPr>
              <w:t>September 30,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6"/>
          </w:tcPr>
          <w:p>
            <w:pPr>
              <w:jc w:val="center"/>
              <w:ind w:right="380"/>
              <w:spacing w:after="0"/>
              <w:rPr>
                <w:sz w:val="20"/>
                <w:szCs w:val="20"/>
                <w:color w:val="auto"/>
              </w:rPr>
            </w:pPr>
            <w:r>
              <w:rPr>
                <w:rFonts w:ascii="Arial" w:cs="Arial" w:eastAsia="Arial" w:hAnsi="Arial"/>
                <w:sz w:val="20"/>
                <w:szCs w:val="20"/>
                <w:color w:val="auto"/>
                <w:w w:val="86"/>
              </w:rPr>
              <w:t>September 30,</w:t>
            </w:r>
          </w:p>
        </w:tc>
      </w:tr>
      <w:tr>
        <w:trPr>
          <w:trHeight w:val="236"/>
        </w:trPr>
        <w:tc>
          <w:tcPr>
            <w:tcW w:w="4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2020</w:t>
            </w:r>
          </w:p>
        </w:tc>
        <w:tc>
          <w:tcPr>
            <w:tcW w:w="24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r>
      <w:tr>
        <w:trPr>
          <w:trHeight w:val="237"/>
        </w:trPr>
        <w:tc>
          <w:tcPr>
            <w:tcW w:w="4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20"/>
                <w:szCs w:val="20"/>
                <w:i w:val="1"/>
                <w:iCs w:val="1"/>
                <w:color w:val="auto"/>
              </w:rPr>
              <w:t>(Dollars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w:t>
            </w:r>
          </w:p>
        </w:tc>
        <w:tc>
          <w:tcPr>
            <w:tcW w:w="82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w:t>
            </w:r>
          </w:p>
        </w:tc>
        <w:tc>
          <w:tcPr>
            <w:tcW w:w="50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294.4</w:t>
            </w:r>
          </w:p>
        </w:tc>
        <w:tc>
          <w:tcPr>
            <w:tcW w:w="500" w:type="dxa"/>
            <w:vAlign w:val="bottom"/>
            <w:gridSpan w:val="2"/>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545.7</w:t>
            </w:r>
          </w:p>
        </w:tc>
        <w:tc>
          <w:tcPr>
            <w:tcW w:w="2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3"/>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538.0</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20"/>
                <w:szCs w:val="20"/>
                <w:color w:val="auto"/>
              </w:rPr>
              <w:t>Add back:</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 net of interest income</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99.6</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89.3</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63.6</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81.5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141.7</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143.0</w:t>
            </w:r>
          </w:p>
        </w:tc>
        <w:tc>
          <w:tcPr>
            <w:tcW w:w="100" w:type="dxa"/>
            <w:vAlign w:val="bottom"/>
          </w:tcPr>
          <w:p>
            <w:pPr>
              <w:spacing w:after="0"/>
              <w:rPr>
                <w:sz w:val="21"/>
                <w:szCs w:val="21"/>
                <w:color w:val="auto"/>
              </w:rPr>
            </w:pPr>
          </w:p>
        </w:tc>
      </w:tr>
      <w:tr>
        <w:trPr>
          <w:trHeight w:val="226"/>
        </w:trPr>
        <w:tc>
          <w:tcPr>
            <w:tcW w:w="476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Depreciation, depletion and amortization and</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earnings/loss from nonconsolidated equity</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7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affiliates</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314.2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287.5</w:t>
            </w:r>
          </w:p>
        </w:tc>
        <w:tc>
          <w:tcPr>
            <w:tcW w:w="100" w:type="dxa"/>
            <w:vAlign w:val="bottom"/>
            <w:shd w:val="clear" w:color="auto" w:fill="CFF0FC"/>
          </w:tcPr>
          <w:p>
            <w:pPr>
              <w:spacing w:after="0"/>
              <w:rPr>
                <w:sz w:val="21"/>
                <w:szCs w:val="21"/>
                <w:color w:val="auto"/>
              </w:rPr>
            </w:pPr>
          </w:p>
        </w:tc>
      </w:tr>
      <w:tr>
        <w:trPr>
          <w:trHeight w:val="243"/>
        </w:trPr>
        <w:tc>
          <w:tcPr>
            <w:tcW w:w="4760" w:type="dxa"/>
            <w:vAlign w:val="bottom"/>
          </w:tcPr>
          <w:p>
            <w:pPr>
              <w:ind w:left="260"/>
              <w:spacing w:after="0"/>
              <w:rPr>
                <w:sz w:val="20"/>
                <w:szCs w:val="20"/>
                <w:color w:val="auto"/>
              </w:rPr>
            </w:pPr>
            <w:r>
              <w:rPr>
                <w:rFonts w:ascii="Arial" w:cs="Arial" w:eastAsia="Arial" w:hAnsi="Arial"/>
                <w:sz w:val="20"/>
                <w:szCs w:val="20"/>
                <w:color w:val="auto"/>
              </w:rPr>
              <w:t>Acquisition-related expenses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r>
      <w:tr>
        <w:trPr>
          <w:trHeight w:val="226"/>
        </w:trPr>
        <w:tc>
          <w:tcPr>
            <w:tcW w:w="4760" w:type="dxa"/>
            <w:vAlign w:val="bottom"/>
            <w:shd w:val="clear" w:color="auto" w:fill="CFF0FC"/>
          </w:tcPr>
          <w:p>
            <w:pPr>
              <w:ind w:left="260"/>
              <w:spacing w:after="0" w:line="227" w:lineRule="exact"/>
              <w:rPr>
                <w:sz w:val="20"/>
                <w:szCs w:val="20"/>
                <w:color w:val="auto"/>
              </w:rPr>
            </w:pPr>
            <w:r>
              <w:rPr>
                <w:rFonts w:ascii="Arial" w:cs="Arial" w:eastAsia="Arial" w:hAnsi="Arial"/>
                <w:sz w:val="20"/>
                <w:szCs w:val="20"/>
                <w:color w:val="auto"/>
              </w:rPr>
              <w:t>Impact of selling acquired inventory after markup</w:t>
            </w: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760" w:type="dxa"/>
            <w:vAlign w:val="bottom"/>
            <w:shd w:val="clear" w:color="auto" w:fill="CFF0FC"/>
          </w:tcPr>
          <w:p>
            <w:pPr>
              <w:ind w:left="400"/>
              <w:spacing w:after="0"/>
              <w:rPr>
                <w:sz w:val="20"/>
                <w:szCs w:val="20"/>
                <w:color w:val="auto"/>
              </w:rPr>
            </w:pPr>
            <w:r>
              <w:rPr>
                <w:rFonts w:ascii="Arial" w:cs="Arial" w:eastAsia="Arial" w:hAnsi="Arial"/>
                <w:sz w:val="20"/>
                <w:szCs w:val="20"/>
                <w:color w:val="auto"/>
              </w:rPr>
              <w:t>to fair value as a part of acquisition accounting</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6"/>
        </w:trPr>
        <w:tc>
          <w:tcPr>
            <w:tcW w:w="4760" w:type="dxa"/>
            <w:vAlign w:val="bottom"/>
          </w:tcPr>
          <w:p>
            <w:pPr>
              <w:spacing w:after="0"/>
              <w:rPr>
                <w:sz w:val="20"/>
                <w:szCs w:val="20"/>
                <w:color w:val="auto"/>
              </w:rPr>
            </w:pPr>
            <w:r>
              <w:rPr>
                <w:rFonts w:ascii="Arial" w:cs="Arial" w:eastAsia="Arial" w:hAnsi="Arial"/>
                <w:sz w:val="20"/>
                <w:szCs w:val="20"/>
                <w:color w:val="auto"/>
              </w:rPr>
              <w:t>Adjusted EBITDA</w:t>
            </w:r>
          </w:p>
        </w:tc>
        <w:tc>
          <w:tcPr>
            <w:tcW w:w="5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490.0</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501.7</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1,134.9</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1,057.8</w:t>
            </w:r>
          </w:p>
        </w:tc>
        <w:tc>
          <w:tcPr>
            <w:tcW w:w="100" w:type="dxa"/>
            <w:vAlign w:val="bottom"/>
          </w:tcPr>
          <w:p>
            <w:pPr>
              <w:spacing w:after="0"/>
              <w:rPr>
                <w:sz w:val="20"/>
                <w:szCs w:val="20"/>
                <w:color w:val="auto"/>
              </w:rPr>
            </w:pPr>
          </w:p>
        </w:tc>
      </w:tr>
      <w:tr>
        <w:trPr>
          <w:trHeight w:val="20"/>
        </w:trPr>
        <w:tc>
          <w:tcPr>
            <w:tcW w:w="4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Mix-adjusted average selling price (mix-adjusted ASP) excludes the impacts of product, geographic and other mix from the current-period average selling price and is a non-GAAP measure. Mix-adjusted ASP is calculated by comparing current-period shipments to like-for-like shipments in the comparable prior period. Management uses this metric to evaluate the effectiveness of the Company’s pricing increases and believes this information is useful to investors as it provides same-on-same pricing trends. The following reconciles reported average selling price to mix-adjusted ASP and corresponding variances.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81"/>
              <w:spacing w:after="0"/>
              <w:rPr>
                <w:sz w:val="20"/>
                <w:szCs w:val="20"/>
                <w:color w:val="auto"/>
              </w:rPr>
            </w:pPr>
            <w:r>
              <w:rPr>
                <w:rFonts w:ascii="Arial" w:cs="Arial" w:eastAsia="Arial" w:hAnsi="Arial"/>
                <w:sz w:val="20"/>
                <w:szCs w:val="20"/>
                <w:color w:val="auto"/>
              </w:rPr>
              <w:t>Three Months Ended</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5"/>
          </w:tcPr>
          <w:p>
            <w:pPr>
              <w:ind w:left="400"/>
              <w:spacing w:after="0"/>
              <w:rPr>
                <w:sz w:val="20"/>
                <w:szCs w:val="20"/>
                <w:color w:val="auto"/>
              </w:rPr>
            </w:pPr>
            <w:r>
              <w:rPr>
                <w:rFonts w:ascii="Arial" w:cs="Arial" w:eastAsia="Arial" w:hAnsi="Arial"/>
                <w:sz w:val="20"/>
                <w:szCs w:val="20"/>
                <w:color w:val="auto"/>
              </w:rPr>
              <w:t>Nine Months Ended</w:t>
            </w:r>
          </w:p>
        </w:tc>
        <w:tc>
          <w:tcPr>
            <w:tcW w:w="0" w:type="dxa"/>
            <w:vAlign w:val="bottom"/>
          </w:tcPr>
          <w:p>
            <w:pPr>
              <w:spacing w:after="0"/>
              <w:rPr>
                <w:sz w:val="1"/>
                <w:szCs w:val="1"/>
                <w:color w:val="auto"/>
              </w:rPr>
            </w:pPr>
          </w:p>
        </w:tc>
      </w:tr>
      <w:tr>
        <w:trPr>
          <w:trHeight w:val="246"/>
        </w:trPr>
        <w:tc>
          <w:tcPr>
            <w:tcW w:w="4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2021</w:t>
            </w:r>
          </w:p>
        </w:tc>
        <w:tc>
          <w:tcPr>
            <w:tcW w:w="3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5"/>
              </w:rPr>
              <w:t>2020</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rPr>
              <w:t>2021</w:t>
            </w:r>
          </w:p>
        </w:tc>
        <w:tc>
          <w:tcPr>
            <w:tcW w:w="5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98"/>
              </w:rPr>
              <w:t>2020</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East Group - Aggregates:</w:t>
            </w: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Reported average selling price</w:t>
            </w:r>
          </w:p>
        </w:tc>
        <w:tc>
          <w:tcPr>
            <w:tcW w:w="980" w:type="dxa"/>
            <w:vAlign w:val="bottom"/>
            <w:tcBorders>
              <w:bottom w:val="single" w:sz="8" w:color="CFF0FC"/>
            </w:tcBorders>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15.25</w:t>
            </w:r>
          </w:p>
        </w:tc>
        <w:tc>
          <w:tcPr>
            <w:tcW w:w="34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15.19</w:t>
            </w:r>
          </w:p>
        </w:tc>
        <w:tc>
          <w:tcPr>
            <w:tcW w:w="520" w:type="dxa"/>
            <w:vAlign w:val="bottom"/>
            <w:tcBorders>
              <w:bottom w:val="single" w:sz="8" w:color="CFF0FC"/>
            </w:tcBorders>
            <w:gridSpan w:val="2"/>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15.62</w:t>
            </w:r>
          </w:p>
        </w:tc>
        <w:tc>
          <w:tcPr>
            <w:tcW w:w="5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15.26</w:t>
            </w: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4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Adjustment for unfavorable impact of product,</w:t>
            </w: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7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0.31</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0.04</w:t>
            </w: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7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15.56</w:t>
            </w:r>
          </w:p>
        </w:tc>
        <w:tc>
          <w:tcPr>
            <w:tcW w:w="34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15.66</w:t>
            </w:r>
          </w:p>
        </w:tc>
        <w:tc>
          <w:tcPr>
            <w:tcW w:w="5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0.4%</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20"/>
                <w:szCs w:val="20"/>
                <w:color w:val="auto"/>
              </w:rPr>
              <w:t>2.4%</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line="224" w:lineRule="exact"/>
              <w:rPr>
                <w:sz w:val="20"/>
                <w:szCs w:val="20"/>
                <w:color w:val="auto"/>
              </w:rPr>
            </w:pPr>
            <w:r>
              <w:rPr>
                <w:rFonts w:ascii="Arial" w:cs="Arial" w:eastAsia="Arial" w:hAnsi="Arial"/>
                <w:sz w:val="20"/>
                <w:szCs w:val="20"/>
                <w:color w:val="auto"/>
              </w:rPr>
              <w:t>2.5%</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60"/>
              <w:spacing w:after="0" w:line="224" w:lineRule="exact"/>
              <w:rPr>
                <w:sz w:val="20"/>
                <w:szCs w:val="20"/>
                <w:color w:val="auto"/>
              </w:rPr>
            </w:pPr>
            <w:r>
              <w:rPr>
                <w:rFonts w:ascii="Arial" w:cs="Arial" w:eastAsia="Arial" w:hAnsi="Arial"/>
                <w:sz w:val="20"/>
                <w:szCs w:val="20"/>
                <w:color w:val="auto"/>
              </w:rPr>
              <w:t>2.6%</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Cement:</w:t>
            </w: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Reported average selling price</w:t>
            </w:r>
          </w:p>
        </w:tc>
        <w:tc>
          <w:tcPr>
            <w:tcW w:w="980" w:type="dxa"/>
            <w:vAlign w:val="bottom"/>
            <w:tcBorders>
              <w:bottom w:val="single" w:sz="8" w:color="CFF0FC"/>
            </w:tcBorders>
            <w:gridSpan w:val="2"/>
          </w:tcPr>
          <w:p>
            <w:pPr>
              <w:jc w:val="right"/>
              <w:ind w:right="6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122.91</w:t>
            </w:r>
          </w:p>
        </w:tc>
        <w:tc>
          <w:tcPr>
            <w:tcW w:w="34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113.41</w:t>
            </w:r>
          </w:p>
        </w:tc>
        <w:tc>
          <w:tcPr>
            <w:tcW w:w="520" w:type="dxa"/>
            <w:vAlign w:val="bottom"/>
            <w:tcBorders>
              <w:bottom w:val="single" w:sz="8" w:color="CFF0FC"/>
            </w:tcBorders>
            <w:gridSpan w:val="2"/>
          </w:tcPr>
          <w:p>
            <w:pPr>
              <w:jc w:val="right"/>
              <w:ind w:right="81"/>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120.29</w:t>
            </w:r>
          </w:p>
        </w:tc>
        <w:tc>
          <w:tcPr>
            <w:tcW w:w="5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113.83</w:t>
            </w: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4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Adjustment for favorable impact of product,</w:t>
            </w: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44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geographic and other mix</w:t>
            </w: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(1.97)</w:t>
            </w: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40"/>
              <w:spacing w:after="0"/>
              <w:rPr>
                <w:sz w:val="20"/>
                <w:szCs w:val="20"/>
                <w:color w:val="auto"/>
              </w:rPr>
            </w:pPr>
            <w:r>
              <w:rPr>
                <w:rFonts w:ascii="Arial" w:cs="Arial" w:eastAsia="Arial" w:hAnsi="Arial"/>
                <w:sz w:val="20"/>
                <w:szCs w:val="20"/>
                <w:color w:val="auto"/>
              </w:rPr>
              <w:t>(1.52)</w:t>
            </w: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Mix-adjusted ASP</w:t>
            </w:r>
          </w:p>
        </w:tc>
        <w:tc>
          <w:tcPr>
            <w:tcW w:w="720" w:type="dxa"/>
            <w:vAlign w:val="bottom"/>
            <w:tcBorders>
              <w:bottom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120.94</w:t>
            </w:r>
          </w:p>
        </w:tc>
        <w:tc>
          <w:tcPr>
            <w:tcW w:w="34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118.77</w:t>
            </w:r>
          </w:p>
        </w:tc>
        <w:tc>
          <w:tcPr>
            <w:tcW w:w="52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Arial" w:cs="Arial" w:eastAsia="Arial" w:hAnsi="Arial"/>
                <w:sz w:val="20"/>
                <w:szCs w:val="20"/>
                <w:color w:val="auto"/>
              </w:rPr>
              <w:t>Reported average selling price variance</w:t>
            </w: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8.4%</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20"/>
                <w:szCs w:val="20"/>
                <w:color w:val="auto"/>
              </w:rPr>
              <w:t>5.7%</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20"/>
                <w:szCs w:val="20"/>
                <w:color w:val="auto"/>
              </w:rPr>
              <w:t>Mix-adjusted ASP variance</w:t>
            </w: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line="224" w:lineRule="exact"/>
              <w:rPr>
                <w:sz w:val="20"/>
                <w:szCs w:val="20"/>
                <w:color w:val="auto"/>
              </w:rPr>
            </w:pPr>
            <w:r>
              <w:rPr>
                <w:rFonts w:ascii="Arial" w:cs="Arial" w:eastAsia="Arial" w:hAnsi="Arial"/>
                <w:sz w:val="20"/>
                <w:szCs w:val="20"/>
                <w:color w:val="auto"/>
              </w:rPr>
              <w:t>6.6%</w:t>
            </w: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60"/>
              <w:spacing w:after="0" w:line="224" w:lineRule="exact"/>
              <w:rPr>
                <w:sz w:val="20"/>
                <w:szCs w:val="20"/>
                <w:color w:val="auto"/>
              </w:rPr>
            </w:pPr>
            <w:r>
              <w:rPr>
                <w:rFonts w:ascii="Arial" w:cs="Arial" w:eastAsia="Arial" w:hAnsi="Arial"/>
                <w:sz w:val="20"/>
                <w:szCs w:val="20"/>
                <w:color w:val="auto"/>
              </w:rPr>
              <w:t>4.3%</w:t>
            </w: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Quarter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Financial highlights for the quarter ended September 30, 2021 (unless noted, all comparisons are versus the prior-year quarter):</w:t>
      </w:r>
    </w:p>
    <w:p>
      <w:pPr>
        <w:spacing w:after="0" w:line="119"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Consolidated total revenues of $1.56 billion compared with $1.32 billion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$1.39 billion compared with $1.19 billion</w:t>
      </w: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Magnesia Specialties products revenues of $71.9 million compared with $55.2 million</w:t>
      </w: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Consolidated gross profit of $441.9 million</w:t>
      </w:r>
      <w:r>
        <w:rPr>
          <w:rFonts w:ascii="Arial" w:cs="Arial" w:eastAsia="Arial" w:hAnsi="Arial"/>
          <w:sz w:val="16"/>
          <w:szCs w:val="16"/>
          <w:color w:val="auto"/>
        </w:rPr>
        <w:t>(1)</w:t>
      </w:r>
      <w:r>
        <w:rPr>
          <w:rFonts w:ascii="Arial" w:cs="Arial" w:eastAsia="Arial" w:hAnsi="Arial"/>
          <w:sz w:val="20"/>
          <w:szCs w:val="20"/>
          <w:color w:val="auto"/>
        </w:rPr>
        <w:t xml:space="preserve"> compared with $404.5 million</w:t>
      </w: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Consolidated earnings from operations of $356.9 million</w:t>
      </w:r>
      <w:r>
        <w:rPr>
          <w:rFonts w:ascii="Arial" w:cs="Arial" w:eastAsia="Arial" w:hAnsi="Arial"/>
          <w:sz w:val="16"/>
          <w:szCs w:val="16"/>
          <w:color w:val="auto"/>
        </w:rPr>
        <w:t>(2)</w:t>
      </w:r>
      <w:r>
        <w:rPr>
          <w:rFonts w:ascii="Arial" w:cs="Arial" w:eastAsia="Arial" w:hAnsi="Arial"/>
          <w:sz w:val="20"/>
          <w:szCs w:val="20"/>
          <w:color w:val="auto"/>
        </w:rPr>
        <w:t xml:space="preserve"> compared with $400.6 million</w:t>
      </w:r>
      <w:r>
        <w:rPr>
          <w:rFonts w:ascii="Arial" w:cs="Arial" w:eastAsia="Arial" w:hAnsi="Arial"/>
          <w:sz w:val="16"/>
          <w:szCs w:val="16"/>
          <w:color w:val="auto"/>
        </w:rPr>
        <w:t>(3)</w:t>
      </w: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$254.6 million compared with $294.4 million</w:t>
      </w:r>
      <w:r>
        <w:rPr>
          <w:rFonts w:ascii="Arial" w:cs="Arial" w:eastAsia="Arial" w:hAnsi="Arial"/>
          <w:sz w:val="16"/>
          <w:szCs w:val="16"/>
          <w:color w:val="auto"/>
        </w:rPr>
        <w:t>(4)</w:t>
      </w: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Adjusted EBITDA of $490.0 million compared with $501.7 million</w:t>
      </w:r>
      <w:r>
        <w:rPr>
          <w:rFonts w:ascii="Arial" w:cs="Arial" w:eastAsia="Arial" w:hAnsi="Arial"/>
          <w:sz w:val="16"/>
          <w:szCs w:val="16"/>
          <w:color w:val="auto"/>
        </w:rPr>
        <w:t>(3)</w:t>
      </w:r>
    </w:p>
    <w:p>
      <w:pPr>
        <w:ind w:left="740" w:hanging="368"/>
        <w:spacing w:after="0"/>
        <w:tabs>
          <w:tab w:leader="none" w:pos="740" w:val="left"/>
        </w:tabs>
        <w:numPr>
          <w:ilvl w:val="0"/>
          <w:numId w:val="13"/>
        </w:numPr>
        <w:rPr>
          <w:rFonts w:ascii="Arial" w:cs="Arial" w:eastAsia="Arial" w:hAnsi="Arial"/>
          <w:sz w:val="20"/>
          <w:szCs w:val="20"/>
          <w:color w:val="007DC6"/>
        </w:rPr>
      </w:pPr>
      <w:r>
        <w:rPr>
          <w:rFonts w:ascii="Arial" w:cs="Arial" w:eastAsia="Arial" w:hAnsi="Arial"/>
          <w:sz w:val="20"/>
          <w:szCs w:val="20"/>
          <w:color w:val="auto"/>
        </w:rPr>
        <w:t>Earnings per diluted share of $4.07</w:t>
      </w:r>
      <w:r>
        <w:rPr>
          <w:rFonts w:ascii="Arial" w:cs="Arial" w:eastAsia="Arial" w:hAnsi="Arial"/>
          <w:sz w:val="16"/>
          <w:szCs w:val="16"/>
          <w:color w:val="auto"/>
        </w:rPr>
        <w:t>(5)</w:t>
      </w:r>
      <w:r>
        <w:rPr>
          <w:rFonts w:ascii="Arial" w:cs="Arial" w:eastAsia="Arial" w:hAnsi="Arial"/>
          <w:sz w:val="20"/>
          <w:szCs w:val="20"/>
          <w:color w:val="auto"/>
        </w:rPr>
        <w:t xml:space="preserve"> compared with $4.71</w:t>
      </w:r>
      <w:r>
        <w:rPr>
          <w:rFonts w:ascii="Arial" w:cs="Arial" w:eastAsia="Arial" w:hAnsi="Arial"/>
          <w:sz w:val="16"/>
          <w:szCs w:val="16"/>
          <w:color w:val="auto"/>
        </w:rPr>
        <w:t>(4)</w:t>
      </w:r>
    </w:p>
    <w:p>
      <w:pPr>
        <w:spacing w:after="0" w:line="215" w:lineRule="exact"/>
        <w:rPr>
          <w:rFonts w:ascii="Arial" w:cs="Arial" w:eastAsia="Arial" w:hAnsi="Arial"/>
          <w:sz w:val="20"/>
          <w:szCs w:val="20"/>
          <w:color w:val="007DC6"/>
        </w:rPr>
      </w:pPr>
    </w:p>
    <w:p>
      <w:pPr>
        <w:ind w:left="780" w:hanging="398"/>
        <w:spacing w:after="0"/>
        <w:tabs>
          <w:tab w:leader="none" w:pos="780" w:val="left"/>
        </w:tabs>
        <w:numPr>
          <w:ilvl w:val="1"/>
          <w:numId w:val="13"/>
        </w:numPr>
        <w:rPr>
          <w:rFonts w:ascii="Arial" w:cs="Arial" w:eastAsia="Arial" w:hAnsi="Arial"/>
          <w:sz w:val="17"/>
          <w:szCs w:val="17"/>
          <w:color w:val="auto"/>
        </w:rPr>
      </w:pPr>
      <w:r>
        <w:rPr>
          <w:rFonts w:ascii="Arial" w:cs="Arial" w:eastAsia="Arial" w:hAnsi="Arial"/>
          <w:sz w:val="18"/>
          <w:szCs w:val="18"/>
          <w:i w:val="1"/>
          <w:iCs w:val="1"/>
          <w:color w:val="auto"/>
        </w:rPr>
        <w:t>Includes $8.1 million of costs for selling acquired inventory after markup to fair value as a part of acquisition accounting</w:t>
      </w:r>
    </w:p>
    <w:p>
      <w:pPr>
        <w:spacing w:after="0" w:line="23" w:lineRule="exact"/>
        <w:rPr>
          <w:rFonts w:ascii="Arial" w:cs="Arial" w:eastAsia="Arial" w:hAnsi="Arial"/>
          <w:sz w:val="17"/>
          <w:szCs w:val="17"/>
          <w:color w:val="auto"/>
        </w:rPr>
      </w:pPr>
    </w:p>
    <w:p>
      <w:pPr>
        <w:ind w:left="660" w:hanging="262"/>
        <w:spacing w:after="0" w:line="258" w:lineRule="auto"/>
        <w:tabs>
          <w:tab w:leader="none" w:pos="722" w:val="left"/>
        </w:tabs>
        <w:numPr>
          <w:ilvl w:val="3"/>
          <w:numId w:val="13"/>
        </w:numPr>
        <w:rPr>
          <w:rFonts w:ascii="Arial" w:cs="Arial" w:eastAsia="Arial" w:hAnsi="Arial"/>
          <w:sz w:val="17"/>
          <w:szCs w:val="17"/>
          <w:color w:val="auto"/>
        </w:rPr>
      </w:pPr>
      <w:r>
        <w:rPr>
          <w:rFonts w:ascii="Arial" w:cs="Arial" w:eastAsia="Arial" w:hAnsi="Arial"/>
          <w:sz w:val="18"/>
          <w:szCs w:val="18"/>
          <w:i w:val="1"/>
          <w:iCs w:val="1"/>
          <w:color w:val="auto"/>
        </w:rPr>
        <w:t>Includes $8.1 million of costs for selling acquired inventory after markup to fair value as a part of acquisition accounting and $7.4 million of acquisition-related expenses</w:t>
      </w:r>
    </w:p>
    <w:p>
      <w:pPr>
        <w:ind w:left="620" w:hanging="241"/>
        <w:spacing w:after="0"/>
        <w:tabs>
          <w:tab w:leader="none" w:pos="620" w:val="left"/>
        </w:tabs>
        <w:numPr>
          <w:ilvl w:val="2"/>
          <w:numId w:val="13"/>
        </w:numPr>
        <w:rPr>
          <w:rFonts w:ascii="Arial" w:cs="Arial" w:eastAsia="Arial" w:hAnsi="Arial"/>
          <w:sz w:val="17"/>
          <w:szCs w:val="17"/>
          <w:color w:val="auto"/>
        </w:rPr>
      </w:pPr>
      <w:r>
        <w:rPr>
          <w:rFonts w:ascii="Arial" w:cs="Arial" w:eastAsia="Arial" w:hAnsi="Arial"/>
          <w:sz w:val="18"/>
          <w:szCs w:val="18"/>
          <w:i w:val="1"/>
          <w:iCs w:val="1"/>
          <w:color w:val="auto"/>
        </w:rPr>
        <w:t>Includes nonrecurring gains on sales of investment land and divested assets of $69.9 million</w:t>
      </w:r>
    </w:p>
    <w:p>
      <w:pPr>
        <w:spacing w:after="0" w:line="21" w:lineRule="exact"/>
        <w:rPr>
          <w:sz w:val="20"/>
          <w:szCs w:val="20"/>
          <w:color w:val="auto"/>
        </w:rPr>
      </w:pPr>
    </w:p>
    <w:p>
      <w:pPr>
        <w:ind w:left="400"/>
        <w:spacing w:after="0"/>
        <w:tabs>
          <w:tab w:leader="none" w:pos="9540" w:val="left"/>
        </w:tabs>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i w:val="1"/>
          <w:iCs w:val="1"/>
          <w:color w:val="auto"/>
        </w:rPr>
        <w:t>Includes nonrecurring gains on sales of investment land and divested assets, net of tax, of $54.1 million, or $0.87 per diluted</w:t>
      </w:r>
      <w:r>
        <w:rPr>
          <w:sz w:val="20"/>
          <w:szCs w:val="20"/>
          <w:color w:val="auto"/>
        </w:rPr>
        <w:tab/>
      </w:r>
      <w:r>
        <w:rPr>
          <w:rFonts w:ascii="Arial" w:cs="Arial" w:eastAsia="Arial" w:hAnsi="Arial"/>
          <w:sz w:val="15"/>
          <w:szCs w:val="15"/>
          <w:i w:val="1"/>
          <w:iCs w:val="1"/>
          <w:color w:val="auto"/>
        </w:rPr>
        <w:t>share</w:t>
      </w:r>
    </w:p>
    <w:p>
      <w:pPr>
        <w:spacing w:after="0" w:line="33" w:lineRule="exact"/>
        <w:rPr>
          <w:sz w:val="20"/>
          <w:szCs w:val="20"/>
          <w:color w:val="auto"/>
        </w:rPr>
      </w:pPr>
    </w:p>
    <w:p>
      <w:pPr>
        <w:ind w:left="660" w:hanging="262"/>
        <w:spacing w:after="0" w:line="277" w:lineRule="auto"/>
        <w:tabs>
          <w:tab w:leader="none" w:pos="735" w:val="left"/>
        </w:tabs>
        <w:numPr>
          <w:ilvl w:val="0"/>
          <w:numId w:val="14"/>
        </w:numPr>
        <w:rPr>
          <w:rFonts w:ascii="Arial" w:cs="Arial" w:eastAsia="Arial" w:hAnsi="Arial"/>
          <w:sz w:val="17"/>
          <w:szCs w:val="17"/>
          <w:color w:val="auto"/>
        </w:rPr>
      </w:pPr>
      <w:r>
        <w:rPr>
          <w:rFonts w:ascii="Arial" w:cs="Arial" w:eastAsia="Arial" w:hAnsi="Arial"/>
          <w:sz w:val="18"/>
          <w:szCs w:val="18"/>
          <w:i w:val="1"/>
          <w:iCs w:val="1"/>
          <w:color w:val="auto"/>
        </w:rPr>
        <w:t>Includes $0.18 per diluted share of costs for selling acquired inventory after markup to fair value as a part of acquisition accounting and of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31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following tables present total revenues, gross profit (loss), selling, general and administrative (SG&amp;A) expenses and earnings (loss) from operations data for the Company and its reportable segments by product line for the three months ended September 30, 2021 and 2020. In each case, the data is stated as a percentage of revenues of the Company or the relevant segment or product line, as the case may be.</w:t>
      </w:r>
    </w:p>
    <w:tbl>
      <w:tblPr>
        <w:tblLayout w:type="fixed"/>
        <w:tblInd w:w="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80" w:type="dxa"/>
            <w:vAlign w:val="bottom"/>
            <w:gridSpan w:val="5"/>
          </w:tcPr>
          <w:p>
            <w:pPr>
              <w:ind w:left="120"/>
              <w:spacing w:after="0"/>
              <w:rPr>
                <w:sz w:val="20"/>
                <w:szCs w:val="20"/>
                <w:color w:val="auto"/>
              </w:rPr>
            </w:pPr>
            <w:r>
              <w:rPr>
                <w:rFonts w:ascii="Arial" w:cs="Arial" w:eastAsia="Arial" w:hAnsi="Arial"/>
                <w:sz w:val="20"/>
                <w:szCs w:val="20"/>
                <w:color w:val="auto"/>
              </w:rPr>
              <w:t>Three Months Ended September 30,</w:t>
            </w:r>
          </w:p>
        </w:tc>
      </w:tr>
      <w:tr>
        <w:trPr>
          <w:trHeight w:val="237"/>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20"/>
                <w:szCs w:val="20"/>
                <w:color w:val="auto"/>
              </w:rPr>
              <w:t>2021</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20"/>
                <w:szCs w:val="20"/>
                <w:color w:val="auto"/>
              </w:rPr>
              <w:t>2020</w:t>
            </w: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61"/>
              <w:spacing w:after="0"/>
              <w:rPr>
                <w:sz w:val="20"/>
                <w:szCs w:val="20"/>
                <w:color w:val="auto"/>
              </w:rPr>
            </w:pPr>
            <w:r>
              <w:rPr>
                <w:rFonts w:ascii="Arial" w:cs="Arial" w:eastAsia="Arial" w:hAnsi="Arial"/>
                <w:sz w:val="20"/>
                <w:szCs w:val="20"/>
                <w:color w:val="auto"/>
              </w:rPr>
              <w:t>Amount</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261"/>
              <w:spacing w:after="0"/>
              <w:rPr>
                <w:sz w:val="20"/>
                <w:szCs w:val="20"/>
                <w:color w:val="auto"/>
              </w:rPr>
            </w:pPr>
            <w:r>
              <w:rPr>
                <w:rFonts w:ascii="Arial" w:cs="Arial" w:eastAsia="Arial" w:hAnsi="Arial"/>
                <w:sz w:val="20"/>
                <w:szCs w:val="20"/>
                <w:color w:val="auto"/>
              </w:rPr>
              <w:t>Amount</w:t>
            </w:r>
          </w:p>
        </w:tc>
        <w:tc>
          <w:tcPr>
            <w:tcW w:w="1700" w:type="dxa"/>
            <w:vAlign w:val="bottom"/>
            <w:gridSpan w:val="2"/>
          </w:tcPr>
          <w:p>
            <w:pPr>
              <w:spacing w:after="0"/>
              <w:rPr>
                <w:sz w:val="20"/>
                <w:szCs w:val="20"/>
                <w:color w:val="auto"/>
              </w:rPr>
            </w:pPr>
          </w:p>
        </w:tc>
      </w:tr>
      <w:tr>
        <w:trPr>
          <w:trHeight w:val="236"/>
        </w:trPr>
        <w:tc>
          <w:tcPr>
            <w:tcW w:w="3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680" w:type="dxa"/>
            <w:vAlign w:val="bottom"/>
            <w:tcBorders>
              <w:top w:val="single" w:sz="8" w:color="auto"/>
            </w:tcBorders>
            <w:gridSpan w:val="4"/>
          </w:tcPr>
          <w:p>
            <w:pPr>
              <w:jc w:val="right"/>
              <w:ind w:right="2300"/>
              <w:spacing w:after="0"/>
              <w:rPr>
                <w:sz w:val="20"/>
                <w:szCs w:val="20"/>
                <w:color w:val="auto"/>
              </w:rPr>
            </w:pPr>
            <w:r>
              <w:rPr>
                <w:rFonts w:ascii="Arial" w:cs="Arial" w:eastAsia="Arial" w:hAnsi="Arial"/>
                <w:sz w:val="20"/>
                <w:szCs w:val="20"/>
                <w:i w:val="1"/>
                <w:iCs w:val="1"/>
                <w:color w:val="auto"/>
              </w:rPr>
              <w:t>(Dollars in Millions)</w:t>
            </w:r>
          </w:p>
        </w:tc>
        <w:tc>
          <w:tcPr>
            <w:tcW w:w="100" w:type="dxa"/>
            <w:vAlign w:val="bottom"/>
          </w:tcPr>
          <w:p>
            <w:pPr>
              <w:spacing w:after="0"/>
              <w:rPr>
                <w:sz w:val="20"/>
                <w:szCs w:val="20"/>
                <w:color w:val="auto"/>
              </w:rPr>
            </w:pPr>
          </w:p>
        </w:tc>
      </w:tr>
      <w:tr>
        <w:trPr>
          <w:trHeight w:val="243"/>
        </w:trPr>
        <w:tc>
          <w:tcPr>
            <w:tcW w:w="38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569.7</w:t>
            </w:r>
          </w:p>
        </w:tc>
        <w:tc>
          <w:tcPr>
            <w:tcW w:w="2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514.1</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Asphalt</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80.2</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gridSpan w:val="3"/>
          </w:tcPr>
          <w:p>
            <w:pPr>
              <w:jc w:val="right"/>
              <w:ind w:right="1720"/>
              <w:spacing w:after="0"/>
              <w:rPr>
                <w:sz w:val="20"/>
                <w:szCs w:val="20"/>
                <w:color w:val="auto"/>
              </w:rPr>
            </w:pPr>
            <w:r>
              <w:rPr>
                <w:rFonts w:ascii="Arial" w:cs="Arial" w:eastAsia="Arial" w:hAnsi="Arial"/>
                <w:sz w:val="20"/>
                <w:szCs w:val="20"/>
                <w:color w:val="auto"/>
              </w:rPr>
              <w:t>—</w:t>
            </w: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Less: Interproduct revenues</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(8.1)</w:t>
            </w:r>
          </w:p>
        </w:tc>
        <w:tc>
          <w:tcPr>
            <w:tcW w:w="1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40" w:type="dxa"/>
            <w:vAlign w:val="bottom"/>
            <w:gridSpan w:val="3"/>
            <w:shd w:val="clear" w:color="auto" w:fill="CFF0FC"/>
          </w:tcPr>
          <w:p>
            <w:pPr>
              <w:jc w:val="right"/>
              <w:ind w:right="1720"/>
              <w:spacing w:after="0"/>
              <w:rPr>
                <w:sz w:val="20"/>
                <w:szCs w:val="20"/>
                <w:color w:val="auto"/>
              </w:rPr>
            </w:pPr>
            <w:r>
              <w:rPr>
                <w:rFonts w:ascii="Arial" w:cs="Arial" w:eastAsia="Arial" w:hAnsi="Arial"/>
                <w:sz w:val="20"/>
                <w:szCs w:val="20"/>
                <w:color w:val="auto"/>
              </w:rPr>
              <w:t>—</w:t>
            </w:r>
          </w:p>
        </w:tc>
      </w:tr>
      <w:tr>
        <w:trPr>
          <w:trHeight w:val="237"/>
        </w:trPr>
        <w:tc>
          <w:tcPr>
            <w:tcW w:w="386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East Group Total</w:t>
            </w:r>
          </w:p>
        </w:tc>
        <w:tc>
          <w:tcPr>
            <w:tcW w:w="10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641.8</w:t>
            </w:r>
          </w:p>
        </w:tc>
        <w:tc>
          <w:tcPr>
            <w:tcW w:w="20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514.1</w:t>
            </w:r>
          </w:p>
        </w:tc>
        <w:tc>
          <w:tcPr>
            <w:tcW w:w="16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386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287.4</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252.8</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132.3</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115.6</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320.8</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254.6</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115.7</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129.8</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860" w:type="dxa"/>
            <w:vAlign w:val="bottom"/>
          </w:tcPr>
          <w:p>
            <w:pPr>
              <w:ind w:left="620"/>
              <w:spacing w:after="0"/>
              <w:rPr>
                <w:sz w:val="20"/>
                <w:szCs w:val="20"/>
                <w:color w:val="auto"/>
              </w:rPr>
            </w:pPr>
            <w:r>
              <w:rPr>
                <w:rFonts w:ascii="Arial" w:cs="Arial" w:eastAsia="Arial" w:hAnsi="Arial"/>
                <w:sz w:val="20"/>
                <w:szCs w:val="20"/>
                <w:color w:val="auto"/>
              </w:rPr>
              <w:t>Less: Interproduct revenues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20"/>
                <w:szCs w:val="20"/>
                <w:color w:val="auto"/>
              </w:rPr>
              <w:t>(107.2)</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2"/>
          </w:tcPr>
          <w:p>
            <w:pPr>
              <w:jc w:val="right"/>
              <w:ind w:right="1540"/>
              <w:spacing w:after="0"/>
              <w:rPr>
                <w:sz w:val="20"/>
                <w:szCs w:val="20"/>
                <w:color w:val="auto"/>
              </w:rPr>
            </w:pPr>
            <w:r>
              <w:rPr>
                <w:rFonts w:ascii="Arial" w:cs="Arial" w:eastAsia="Arial" w:hAnsi="Arial"/>
                <w:sz w:val="20"/>
                <w:szCs w:val="20"/>
                <w:color w:val="auto"/>
              </w:rPr>
              <w:t>(81.4)</w:t>
            </w:r>
          </w:p>
        </w:tc>
        <w:tc>
          <w:tcPr>
            <w:tcW w:w="100" w:type="dxa"/>
            <w:vAlign w:val="bottom"/>
          </w:tcPr>
          <w:p>
            <w:pPr>
              <w:spacing w:after="0"/>
              <w:rPr>
                <w:sz w:val="21"/>
                <w:szCs w:val="21"/>
                <w:color w:val="auto"/>
              </w:rPr>
            </w:pPr>
          </w:p>
        </w:tc>
      </w:tr>
      <w:tr>
        <w:trPr>
          <w:trHeight w:val="236"/>
        </w:trPr>
        <w:tc>
          <w:tcPr>
            <w:tcW w:w="386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10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749.0</w:t>
            </w:r>
          </w:p>
        </w:tc>
        <w:tc>
          <w:tcPr>
            <w:tcW w:w="200" w:type="dxa"/>
            <w:vAlign w:val="bottom"/>
            <w:tcBorders>
              <w:top w:val="single" w:sz="8" w:color="CFF0FC"/>
            </w:tcBorders>
            <w:shd w:val="clear" w:color="auto" w:fill="CFF0FC"/>
          </w:tcPr>
          <w:p>
            <w:pPr>
              <w:spacing w:after="0"/>
              <w:rPr>
                <w:sz w:val="20"/>
                <w:szCs w:val="20"/>
                <w:color w:val="auto"/>
              </w:rPr>
            </w:pPr>
          </w:p>
        </w:tc>
        <w:tc>
          <w:tcPr>
            <w:tcW w:w="17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671.4</w:t>
            </w:r>
          </w:p>
        </w:tc>
        <w:tc>
          <w:tcPr>
            <w:tcW w:w="160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386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1,390.8</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1,185.5</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8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88.1</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75.0</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10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1,478.9</w:t>
            </w:r>
          </w:p>
        </w:tc>
        <w:tc>
          <w:tcPr>
            <w:tcW w:w="20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1,260.5</w:t>
            </w:r>
          </w:p>
        </w:tc>
        <w:tc>
          <w:tcPr>
            <w:tcW w:w="16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38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860" w:type="dxa"/>
            <w:vAlign w:val="bottom"/>
          </w:tcPr>
          <w:p>
            <w:pPr>
              <w:ind w:left="140"/>
              <w:spacing w:after="0"/>
              <w:rPr>
                <w:sz w:val="20"/>
                <w:szCs w:val="20"/>
                <w:color w:val="auto"/>
              </w:rPr>
            </w:pPr>
            <w:r>
              <w:rPr>
                <w:rFonts w:ascii="Arial" w:cs="Arial" w:eastAsia="Arial" w:hAnsi="Arial"/>
                <w:sz w:val="20"/>
                <w:szCs w:val="20"/>
                <w:color w:val="auto"/>
              </w:rPr>
              <w:t>Products</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71.9</w:t>
            </w: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55.2</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8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20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w:t>
            </w: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8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10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78.4</w:t>
            </w:r>
          </w:p>
        </w:tc>
        <w:tc>
          <w:tcPr>
            <w:tcW w:w="20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60.9</w:t>
            </w:r>
          </w:p>
        </w:tc>
        <w:tc>
          <w:tcPr>
            <w:tcW w:w="16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6"/>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1,557.3</w:t>
            </w:r>
          </w:p>
        </w:tc>
        <w:tc>
          <w:tcPr>
            <w:tcW w:w="20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1,321.4</w:t>
            </w:r>
          </w:p>
        </w:tc>
        <w:tc>
          <w:tcPr>
            <w:tcW w:w="16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20"/>
                <w:szCs w:val="20"/>
                <w:color w:val="auto"/>
                <w:w w:val="97"/>
              </w:rPr>
              <w:t>Three Months Ended September 30,</w:t>
            </w:r>
          </w:p>
        </w:tc>
        <w:tc>
          <w:tcPr>
            <w:tcW w:w="1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2020</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4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6"/>
              </w:rPr>
              <w:t>% of Revenues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6"/>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00" w:type="dxa"/>
            <w:vAlign w:val="bottom"/>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0" w:type="dxa"/>
            <w:vAlign w:val="bottom"/>
            <w:gridSpan w:val="7"/>
          </w:tcPr>
          <w:p>
            <w:pPr>
              <w:jc w:val="right"/>
              <w:ind w:right="1000"/>
              <w:spacing w:after="0"/>
              <w:rPr>
                <w:sz w:val="20"/>
                <w:szCs w:val="20"/>
                <w:color w:val="auto"/>
              </w:rPr>
            </w:pPr>
            <w:r>
              <w:rPr>
                <w:rFonts w:ascii="Arial" w:cs="Arial" w:eastAsia="Arial" w:hAnsi="Arial"/>
                <w:sz w:val="20"/>
                <w:szCs w:val="20"/>
                <w:i w:val="1"/>
                <w:iCs w:val="1"/>
                <w:color w:val="auto"/>
              </w:rPr>
              <w:t>(Dollars in Millions)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East Group</w:t>
            </w:r>
          </w:p>
        </w:tc>
        <w:tc>
          <w:tcPr>
            <w:tcW w:w="6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1300" w:type="dxa"/>
            <w:vAlign w:val="bottom"/>
            <w:gridSpan w:val="2"/>
          </w:tcPr>
          <w:p>
            <w:pPr>
              <w:jc w:val="right"/>
              <w:ind w:right="501"/>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215.6</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37.9</w:t>
            </w:r>
          </w:p>
        </w:tc>
        <w:tc>
          <w:tcPr>
            <w:tcW w:w="4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206.1</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40.1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w:t>
            </w:r>
          </w:p>
        </w:tc>
        <w:tc>
          <w:tcPr>
            <w:tcW w:w="6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East Group Total</w:t>
            </w:r>
          </w:p>
        </w:tc>
        <w:tc>
          <w:tcPr>
            <w:tcW w:w="600" w:type="dxa"/>
            <w:vAlign w:val="bottom"/>
            <w:tcBorders>
              <w:bottom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230.7</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36.0</w:t>
            </w: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206.1</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40.1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6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77.3</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73.0</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6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49.9</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46.5</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31.4</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20"/>
                <w:szCs w:val="20"/>
                <w:color w:val="auto"/>
              </w:rPr>
              <w:t>24.7</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600" w:type="dxa"/>
            <w:vAlign w:val="bottom"/>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23.8</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32.6</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West Group Total</w:t>
            </w:r>
          </w:p>
        </w:tc>
        <w:tc>
          <w:tcPr>
            <w:tcW w:w="6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182.4</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24.3</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176.8</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26.3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6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413.1</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382.9</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Freight</w:t>
            </w:r>
          </w:p>
        </w:tc>
        <w:tc>
          <w:tcPr>
            <w:tcW w:w="600" w:type="dxa"/>
            <w:vAlign w:val="bottom"/>
            <w:tcBorders>
              <w:bottom w:val="single" w:sz="8" w:color="CFF0FC"/>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0.9</w:t>
            </w:r>
          </w:p>
        </w:tc>
        <w:tc>
          <w:tcPr>
            <w:tcW w:w="30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0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414.4</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28.0</w:t>
            </w:r>
          </w:p>
        </w:tc>
        <w:tc>
          <w:tcPr>
            <w:tcW w:w="24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383.8</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20"/>
                <w:szCs w:val="20"/>
                <w:color w:val="auto"/>
              </w:rPr>
              <w:t>Magnesia Specialties:</w:t>
            </w: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w:t>
            </w:r>
          </w:p>
        </w:tc>
        <w:tc>
          <w:tcPr>
            <w:tcW w:w="6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28.1</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20"/>
                <w:szCs w:val="20"/>
                <w:color w:val="auto"/>
              </w:rPr>
              <w:t>21.0</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40"/>
              <w:spacing w:after="0"/>
              <w:rPr>
                <w:sz w:val="20"/>
                <w:szCs w:val="20"/>
                <w:color w:val="auto"/>
              </w:rPr>
            </w:pPr>
            <w:r>
              <w:rPr>
                <w:rFonts w:ascii="Arial" w:cs="Arial" w:eastAsia="Arial" w:hAnsi="Arial"/>
                <w:sz w:val="20"/>
                <w:szCs w:val="20"/>
                <w:color w:val="auto"/>
              </w:rPr>
              <w:t>Freight</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221"/>
              <w:spacing w:after="0"/>
              <w:rPr>
                <w:sz w:val="20"/>
                <w:szCs w:val="20"/>
                <w:color w:val="auto"/>
              </w:rPr>
            </w:pPr>
            <w:r>
              <w:rPr>
                <w:rFonts w:ascii="Arial" w:cs="Arial" w:eastAsia="Arial" w:hAnsi="Arial"/>
                <w:sz w:val="20"/>
                <w:szCs w:val="20"/>
                <w:color w:val="auto"/>
              </w:rPr>
              <w:t>(1.1)</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20"/>
                <w:szCs w:val="20"/>
                <w:color w:val="auto"/>
              </w:rPr>
              <w:t>(1.0)</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60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27.0</w:t>
            </w: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34.4</w:t>
            </w: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20.0</w:t>
            </w:r>
          </w:p>
        </w:tc>
        <w:tc>
          <w:tcPr>
            <w:tcW w:w="30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60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0.5</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0.7</w:t>
            </w:r>
          </w:p>
        </w:tc>
        <w:tc>
          <w:tcPr>
            <w:tcW w:w="30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6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441.9</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20"/>
                <w:szCs w:val="20"/>
                <w:color w:val="auto"/>
              </w:rPr>
              <w:t>404.5</w:t>
            </w:r>
          </w:p>
        </w:tc>
        <w:tc>
          <w:tcPr>
            <w:tcW w:w="3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3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940" w:type="dxa"/>
            <w:vAlign w:val="bottom"/>
            <w:gridSpan w:val="6"/>
          </w:tcPr>
          <w:p>
            <w:pPr>
              <w:spacing w:after="0"/>
              <w:rPr>
                <w:sz w:val="20"/>
                <w:szCs w:val="20"/>
                <w:color w:val="auto"/>
              </w:rPr>
            </w:pPr>
            <w:r>
              <w:rPr>
                <w:rFonts w:ascii="Arial" w:cs="Arial" w:eastAsia="Arial" w:hAnsi="Arial"/>
                <w:sz w:val="20"/>
                <w:szCs w:val="20"/>
                <w:color w:val="auto"/>
                <w:w w:val="98"/>
              </w:rPr>
              <w:t>The following presents a rollforward of aggregates products gross profit (dollars in millions):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600" w:type="dxa"/>
            <w:vAlign w:val="bottom"/>
            <w:gridSpan w:val="3"/>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600" w:type="dxa"/>
            <w:vAlign w:val="bottom"/>
            <w:gridSpan w:val="3"/>
            <w:shd w:val="clear" w:color="auto" w:fill="CFF0FC"/>
          </w:tcPr>
          <w:p>
            <w:pPr>
              <w:spacing w:after="0"/>
              <w:rPr>
                <w:sz w:val="20"/>
                <w:szCs w:val="20"/>
                <w:color w:val="auto"/>
              </w:rPr>
            </w:pPr>
            <w:r>
              <w:rPr>
                <w:rFonts w:ascii="Arial" w:cs="Arial" w:eastAsia="Arial" w:hAnsi="Arial"/>
                <w:sz w:val="20"/>
                <w:szCs w:val="20"/>
                <w:color w:val="auto"/>
                <w:w w:val="91"/>
              </w:rPr>
              <w:t>Aggregates products gross profit, quarter ended September 30, 2020</w:t>
            </w: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32"/>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00" w:type="dxa"/>
            <w:vAlign w:val="bottom"/>
          </w:tcPr>
          <w:p>
            <w:pPr>
              <w:ind w:left="260"/>
              <w:spacing w:after="0"/>
              <w:rPr>
                <w:sz w:val="20"/>
                <w:szCs w:val="20"/>
                <w:color w:val="auto"/>
              </w:rPr>
            </w:pPr>
            <w:r>
              <w:rPr>
                <w:rFonts w:ascii="Arial" w:cs="Arial" w:eastAsia="Arial" w:hAnsi="Arial"/>
                <w:sz w:val="20"/>
                <w:szCs w:val="20"/>
                <w:color w:val="auto"/>
              </w:rPr>
              <w:t>Volume</w:t>
            </w: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20"/>
                <w:szCs w:val="20"/>
                <w:color w:val="auto"/>
              </w:rPr>
              <w:t>(32.7)</w:t>
            </w:r>
          </w:p>
        </w:tc>
        <w:tc>
          <w:tcPr>
            <w:tcW w:w="0" w:type="dxa"/>
            <w:vAlign w:val="bottom"/>
          </w:tcPr>
          <w:p>
            <w:pPr>
              <w:spacing w:after="0"/>
              <w:rPr>
                <w:sz w:val="1"/>
                <w:szCs w:val="1"/>
                <w:color w:val="auto"/>
              </w:rPr>
            </w:pPr>
          </w:p>
        </w:tc>
      </w:tr>
      <w:tr>
        <w:trPr>
          <w:trHeight w:val="236"/>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00" w:type="dxa"/>
            <w:vAlign w:val="bottom"/>
            <w:tcBorders>
              <w:top w:val="single" w:sz="8" w:color="CFF0FC"/>
            </w:tcBorders>
            <w:shd w:val="clear" w:color="auto" w:fill="CFF0FC"/>
          </w:tcPr>
          <w:p>
            <w:pPr>
              <w:spacing w:after="0"/>
              <w:rPr>
                <w:sz w:val="20"/>
                <w:szCs w:val="20"/>
                <w:color w:val="auto"/>
              </w:rPr>
            </w:pPr>
          </w:p>
        </w:tc>
        <w:tc>
          <w:tcPr>
            <w:tcW w:w="700" w:type="dxa"/>
            <w:vAlign w:val="bottom"/>
            <w:tcBorders>
              <w:top w:val="single" w:sz="8" w:color="CFF0FC"/>
            </w:tcBorders>
            <w:shd w:val="clear" w:color="auto" w:fill="CFF0FC"/>
          </w:tcPr>
          <w:p>
            <w:pPr>
              <w:spacing w:after="0"/>
              <w:rPr>
                <w:sz w:val="20"/>
                <w:szCs w:val="20"/>
                <w:color w:val="auto"/>
              </w:rPr>
            </w:pPr>
          </w:p>
        </w:tc>
        <w:tc>
          <w:tcPr>
            <w:tcW w:w="66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7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gridSpan w:val="3"/>
          </w:tcPr>
          <w:p>
            <w:pPr>
              <w:spacing w:after="0"/>
              <w:rPr>
                <w:sz w:val="20"/>
                <w:szCs w:val="20"/>
                <w:color w:val="auto"/>
              </w:rPr>
            </w:pPr>
            <w:r>
              <w:rPr>
                <w:rFonts w:ascii="Arial" w:cs="Arial" w:eastAsia="Arial" w:hAnsi="Arial"/>
                <w:sz w:val="20"/>
                <w:szCs w:val="20"/>
                <w:color w:val="auto"/>
                <w:w w:val="91"/>
              </w:rPr>
              <w:t>Aggregates products gross profit, quarter ended September 30, 2021</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400" w:type="dxa"/>
            <w:vAlign w:val="bottom"/>
          </w:tcPr>
          <w:p>
            <w:pPr>
              <w:jc w:val="right"/>
              <w:ind w:right="232"/>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5"/>
          <w:szCs w:val="15"/>
          <w:i w:val="1"/>
          <w:iCs w:val="1"/>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200" w:lineRule="exact"/>
        <w:rPr>
          <w:rFonts w:ascii="Arial" w:cs="Arial" w:eastAsia="Arial" w:hAnsi="Arial"/>
          <w:sz w:val="15"/>
          <w:szCs w:val="15"/>
          <w:i w:val="1"/>
          <w:iCs w:val="1"/>
          <w:color w:val="auto"/>
        </w:rPr>
      </w:pPr>
    </w:p>
    <w:p>
      <w:pPr>
        <w:spacing w:after="0" w:line="360" w:lineRule="exact"/>
        <w:rPr>
          <w:rFonts w:ascii="Arial" w:cs="Arial" w:eastAsia="Arial" w:hAnsi="Arial"/>
          <w:sz w:val="15"/>
          <w:szCs w:val="15"/>
          <w:i w:val="1"/>
          <w:iCs w:val="1"/>
          <w:color w:val="auto"/>
        </w:rPr>
      </w:pPr>
    </w:p>
    <w:p>
      <w:pPr>
        <w:ind w:left="5080"/>
        <w:spacing w:after="0"/>
        <w:rPr>
          <w:rFonts w:ascii="Arial" w:cs="Arial" w:eastAsia="Arial" w:hAnsi="Arial"/>
          <w:sz w:val="15"/>
          <w:szCs w:val="15"/>
          <w:i w:val="1"/>
          <w:iCs w:val="1"/>
          <w:color w:val="auto"/>
        </w:rPr>
      </w:pPr>
      <w:r>
        <w:rPr>
          <w:rFonts w:ascii="Arial" w:cs="Arial" w:eastAsia="Arial" w:hAnsi="Arial"/>
          <w:sz w:val="20"/>
          <w:szCs w:val="20"/>
          <w:color w:val="auto"/>
        </w:rPr>
        <w:t>Page 33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20"/>
                <w:szCs w:val="20"/>
                <w:color w:val="auto"/>
                <w:w w:val="92"/>
              </w:rPr>
              <w:t>Three Months Ended September 30,</w:t>
            </w:r>
          </w:p>
        </w:tc>
        <w:tc>
          <w:tcPr>
            <w:tcW w:w="1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1221"/>
              <w:spacing w:after="0"/>
              <w:rPr>
                <w:sz w:val="20"/>
                <w:szCs w:val="20"/>
                <w:color w:val="auto"/>
              </w:rPr>
            </w:pPr>
            <w:r>
              <w:rPr>
                <w:rFonts w:ascii="Arial" w:cs="Arial" w:eastAsia="Arial" w:hAnsi="Arial"/>
                <w:sz w:val="20"/>
                <w:szCs w:val="20"/>
                <w:color w:val="auto"/>
              </w:rPr>
              <w:t>2021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2020</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0"/>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center"/>
              <w:ind w:left="1"/>
              <w:spacing w:after="0" w:line="220" w:lineRule="exact"/>
              <w:rPr>
                <w:sz w:val="20"/>
                <w:szCs w:val="20"/>
                <w:color w:val="auto"/>
              </w:rPr>
            </w:pPr>
            <w:r>
              <w:rPr>
                <w:rFonts w:ascii="Arial" w:cs="Arial" w:eastAsia="Arial" w:hAnsi="Arial"/>
                <w:sz w:val="20"/>
                <w:szCs w:val="20"/>
                <w:color w:val="auto"/>
                <w:w w:val="94"/>
              </w:rPr>
              <w:t>% of</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center"/>
              <w:ind w:right="101"/>
              <w:spacing w:after="0" w:line="220" w:lineRule="exact"/>
              <w:rPr>
                <w:sz w:val="20"/>
                <w:szCs w:val="20"/>
                <w:color w:val="auto"/>
              </w:rPr>
            </w:pPr>
            <w:r>
              <w:rPr>
                <w:rFonts w:ascii="Arial" w:cs="Arial" w:eastAsia="Arial" w:hAnsi="Arial"/>
                <w:sz w:val="20"/>
                <w:szCs w:val="20"/>
                <w:color w:val="auto"/>
                <w:w w:val="94"/>
              </w:rPr>
              <w:t>% of</w:t>
            </w:r>
          </w:p>
        </w:tc>
        <w:tc>
          <w:tcPr>
            <w:tcW w:w="120" w:type="dxa"/>
            <w:vAlign w:val="bottom"/>
          </w:tcPr>
          <w:p>
            <w:pPr>
              <w:spacing w:after="0"/>
              <w:rPr>
                <w:sz w:val="19"/>
                <w:szCs w:val="19"/>
                <w:color w:val="auto"/>
              </w:rPr>
            </w:pPr>
          </w:p>
        </w:tc>
      </w:tr>
      <w:tr>
        <w:trPr>
          <w:trHeight w:val="246"/>
        </w:trPr>
        <w:tc>
          <w:tcPr>
            <w:tcW w:w="4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20"/>
                <w:szCs w:val="20"/>
                <w:color w:val="auto"/>
              </w:rPr>
              <w:t>Amount</w:t>
            </w:r>
          </w:p>
        </w:tc>
        <w:tc>
          <w:tcPr>
            <w:tcW w:w="1720" w:type="dxa"/>
            <w:vAlign w:val="bottom"/>
            <w:gridSpan w:val="2"/>
          </w:tcPr>
          <w:p>
            <w:pPr>
              <w:jc w:val="center"/>
              <w:ind w:right="120"/>
              <w:spacing w:after="0"/>
              <w:rPr>
                <w:sz w:val="20"/>
                <w:szCs w:val="20"/>
                <w:color w:val="auto"/>
              </w:rPr>
            </w:pPr>
            <w:r>
              <w:rPr>
                <w:rFonts w:ascii="Arial" w:cs="Arial" w:eastAsia="Arial" w:hAnsi="Arial"/>
                <w:sz w:val="20"/>
                <w:szCs w:val="20"/>
                <w:color w:val="auto"/>
                <w:w w:val="84"/>
              </w:rPr>
              <w:t>Revenues</w:t>
            </w:r>
          </w:p>
        </w:tc>
        <w:tc>
          <w:tcPr>
            <w:tcW w:w="220" w:type="dxa"/>
            <w:vAlign w:val="bottom"/>
          </w:tcPr>
          <w:p>
            <w:pPr>
              <w:spacing w:after="0"/>
              <w:rPr>
                <w:sz w:val="21"/>
                <w:szCs w:val="21"/>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20"/>
                <w:szCs w:val="20"/>
                <w:color w:val="auto"/>
              </w:rPr>
              <w:t>Amount</w:t>
            </w:r>
          </w:p>
        </w:tc>
        <w:tc>
          <w:tcPr>
            <w:tcW w:w="1300" w:type="dxa"/>
            <w:vAlign w:val="bottom"/>
            <w:gridSpan w:val="2"/>
          </w:tcPr>
          <w:p>
            <w:pPr>
              <w:jc w:val="center"/>
              <w:ind w:right="300"/>
              <w:spacing w:after="0"/>
              <w:rPr>
                <w:sz w:val="20"/>
                <w:szCs w:val="20"/>
                <w:color w:val="auto"/>
              </w:rPr>
            </w:pPr>
            <w:r>
              <w:rPr>
                <w:rFonts w:ascii="Arial" w:cs="Arial" w:eastAsia="Arial" w:hAnsi="Arial"/>
                <w:sz w:val="20"/>
                <w:szCs w:val="20"/>
                <w:color w:val="auto"/>
                <w:w w:val="84"/>
              </w:rPr>
              <w:t>Revenues</w:t>
            </w:r>
          </w:p>
        </w:tc>
      </w:tr>
      <w:tr>
        <w:trPr>
          <w:trHeight w:val="237"/>
        </w:trPr>
        <w:tc>
          <w:tcPr>
            <w:tcW w:w="49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3500" w:type="dxa"/>
            <w:vAlign w:val="bottom"/>
            <w:tcBorders>
              <w:top w:val="single" w:sz="8" w:color="auto"/>
            </w:tcBorders>
            <w:gridSpan w:val="5"/>
            <w:shd w:val="clear" w:color="auto" w:fill="CFF0FC"/>
          </w:tcPr>
          <w:p>
            <w:pPr>
              <w:jc w:val="right"/>
              <w:ind w:right="1120"/>
              <w:spacing w:after="0"/>
              <w:rPr>
                <w:sz w:val="20"/>
                <w:szCs w:val="20"/>
                <w:color w:val="auto"/>
              </w:rPr>
            </w:pPr>
            <w:r>
              <w:rPr>
                <w:rFonts w:ascii="Arial" w:cs="Arial" w:eastAsia="Arial" w:hAnsi="Arial"/>
                <w:sz w:val="20"/>
                <w:szCs w:val="20"/>
                <w:i w:val="1"/>
                <w:iCs w:val="1"/>
                <w:color w:val="auto"/>
              </w:rPr>
              <w:t>(Dollars in Millions)</w:t>
            </w:r>
          </w:p>
        </w:tc>
        <w:tc>
          <w:tcPr>
            <w:tcW w:w="11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26.5</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24.9</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34.2</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60.7</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59.1</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w:t>
            </w:r>
          </w:p>
        </w:tc>
        <w:tc>
          <w:tcPr>
            <w:tcW w:w="200" w:type="dxa"/>
            <w:vAlign w:val="bottom"/>
            <w:tcBorders>
              <w:bottom w:val="single" w:sz="8" w:color="CFF0FC"/>
            </w:tcBorders>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86.0</w:t>
            </w:r>
          </w:p>
        </w:tc>
        <w:tc>
          <w:tcPr>
            <w:tcW w:w="2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71.1</w:t>
            </w:r>
          </w:p>
        </w:tc>
        <w:tc>
          <w:tcPr>
            <w:tcW w:w="4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205.8</w:t>
            </w: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181.4</w:t>
            </w: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150.6</w:t>
            </w:r>
          </w:p>
        </w:tc>
        <w:tc>
          <w:tcPr>
            <w:tcW w:w="200" w:type="dxa"/>
            <w:vAlign w:val="bottom"/>
            <w:tcBorders>
              <w:bottom w:val="single" w:sz="8" w:color="CFF0FC"/>
            </w:tcBorders>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212.3</w:t>
            </w:r>
          </w:p>
        </w:tc>
        <w:tc>
          <w:tcPr>
            <w:tcW w:w="4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356.4</w:t>
            </w:r>
          </w:p>
        </w:tc>
        <w:tc>
          <w:tcPr>
            <w:tcW w:w="2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393.7</w:t>
            </w:r>
          </w:p>
        </w:tc>
        <w:tc>
          <w:tcPr>
            <w:tcW w:w="4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23.1</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16.4</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(22.6)</w:t>
            </w: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(9.5)</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90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356.9</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22.9</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400.6</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30.3</w:t>
            </w:r>
          </w:p>
        </w:tc>
        <w:tc>
          <w:tcPr>
            <w:tcW w:w="1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volume and pricing variance data and shipments data by segment:</w:t>
      </w:r>
    </w:p>
    <w:p>
      <w:pPr>
        <w:spacing w:after="0" w:line="108"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ind w:left="8220"/>
        <w:spacing w:after="0"/>
        <w:rPr>
          <w:sz w:val="20"/>
          <w:szCs w:val="20"/>
          <w:color w:val="auto"/>
        </w:rPr>
      </w:pPr>
      <w:r>
        <w:rPr>
          <w:rFonts w:ascii="Arial" w:cs="Arial" w:eastAsia="Arial" w:hAnsi="Arial"/>
          <w:sz w:val="20"/>
          <w:szCs w:val="20"/>
          <w:color w:val="auto"/>
        </w:rPr>
        <w:t>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0" w:type="dxa"/>
            <w:vAlign w:val="bottom"/>
            <w:tcBorders>
              <w:bottom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20"/>
                <w:szCs w:val="20"/>
                <w:color w:val="auto"/>
              </w:rPr>
              <w:t>Volume</w:t>
            </w:r>
          </w:p>
        </w:tc>
        <w:tc>
          <w:tcPr>
            <w:tcW w:w="5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CFF0FC"/>
            </w:tcBorders>
          </w:tcPr>
          <w:p>
            <w:pPr>
              <w:spacing w:after="0"/>
              <w:rPr>
                <w:sz w:val="20"/>
                <w:szCs w:val="20"/>
                <w:color w:val="auto"/>
              </w:rPr>
            </w:pPr>
          </w:p>
        </w:tc>
        <w:tc>
          <w:tcPr>
            <w:tcW w:w="1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70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Volume/Pricing variance</w:t>
            </w:r>
            <w:r>
              <w:rPr>
                <w:rFonts w:ascii="Arial" w:cs="Arial" w:eastAsia="Arial" w:hAnsi="Arial"/>
                <w:sz w:val="16"/>
                <w:szCs w:val="16"/>
                <w:color w:val="auto"/>
              </w:rPr>
              <w:t>(1)</w:t>
            </w:r>
          </w:p>
        </w:tc>
        <w:tc>
          <w:tcPr>
            <w:tcW w:w="1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834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10.1%</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0.4%</w:t>
            </w:r>
          </w:p>
        </w:tc>
      </w:tr>
      <w:tr>
        <w:trPr>
          <w:trHeight w:val="243"/>
        </w:trPr>
        <w:tc>
          <w:tcPr>
            <w:tcW w:w="834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10.4%</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2.8%</w:t>
            </w:r>
          </w:p>
        </w:tc>
      </w:tr>
      <w:tr>
        <w:trPr>
          <w:trHeight w:val="243"/>
        </w:trPr>
        <w:tc>
          <w:tcPr>
            <w:tcW w:w="8340" w:type="dxa"/>
            <w:vAlign w:val="bottom"/>
            <w:gridSpan w:val="2"/>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20"/>
                <w:szCs w:val="20"/>
                <w:color w:val="auto"/>
              </w:rPr>
              <w:t>10.2%</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1.2%</w:t>
            </w:r>
          </w:p>
        </w:tc>
      </w:tr>
      <w:tr>
        <w:trPr>
          <w:trHeight w:val="243"/>
        </w:trPr>
        <w:tc>
          <w:tcPr>
            <w:tcW w:w="83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Organic aggregates operations</w:t>
            </w:r>
            <w:r>
              <w:rPr>
                <w:rFonts w:ascii="Arial" w:cs="Arial" w:eastAsia="Arial" w:hAnsi="Arial"/>
                <w:sz w:val="16"/>
                <w:szCs w:val="16"/>
                <w:color w:val="auto"/>
              </w:rPr>
              <w:t>(3)</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6.0%</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2.2%</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p>
      <w:pPr>
        <w:jc w:val="center"/>
        <w:ind w:left="6960"/>
        <w:spacing w:after="0"/>
        <w:rPr>
          <w:sz w:val="20"/>
          <w:szCs w:val="20"/>
          <w:color w:val="auto"/>
        </w:rPr>
      </w:pPr>
      <w:r>
        <w:rPr>
          <w:rFonts w:ascii="Arial" w:cs="Arial" w:eastAsia="Arial" w:hAnsi="Arial"/>
          <w:sz w:val="20"/>
          <w:szCs w:val="20"/>
          <w:color w:val="auto"/>
        </w:rPr>
        <w:t>Three Months Ended</w:t>
      </w:r>
    </w:p>
    <w:p>
      <w:pPr>
        <w:spacing w:after="0" w:line="20" w:lineRule="exact"/>
        <w:rPr>
          <w:sz w:val="20"/>
          <w:szCs w:val="20"/>
          <w:color w:val="auto"/>
        </w:rPr>
      </w:pPr>
    </w:p>
    <w:p>
      <w:pPr>
        <w:jc w:val="center"/>
        <w:ind w:left="696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2021</w:t>
            </w:r>
          </w:p>
        </w:tc>
        <w:tc>
          <w:tcPr>
            <w:tcW w:w="6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rPr>
              <w:t>2020</w:t>
            </w:r>
          </w:p>
        </w:tc>
        <w:tc>
          <w:tcPr>
            <w:tcW w:w="120" w:type="dxa"/>
            <w:vAlign w:val="bottom"/>
          </w:tcPr>
          <w:p>
            <w:pPr>
              <w:spacing w:after="0"/>
              <w:rPr>
                <w:sz w:val="20"/>
                <w:szCs w:val="20"/>
                <w:color w:val="auto"/>
              </w:rPr>
            </w:pPr>
          </w:p>
        </w:tc>
      </w:tr>
      <w:tr>
        <w:trPr>
          <w:trHeight w:val="237"/>
        </w:trPr>
        <w:tc>
          <w:tcPr>
            <w:tcW w:w="7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20"/>
                <w:szCs w:val="20"/>
                <w:i w:val="1"/>
                <w:iCs w:val="1"/>
                <w:color w:val="auto"/>
                <w:w w:val="97"/>
              </w:rPr>
              <w:t>(Tons in Millions)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320" w:type="dxa"/>
            <w:vAlign w:val="bottom"/>
            <w:gridSpan w:val="2"/>
            <w:shd w:val="clear" w:color="auto" w:fill="CDF0FC"/>
          </w:tcPr>
          <w:p>
            <w:pPr>
              <w:spacing w:after="0"/>
              <w:rPr>
                <w:sz w:val="20"/>
                <w:szCs w:val="20"/>
                <w:color w:val="auto"/>
              </w:rPr>
            </w:pPr>
            <w:r>
              <w:rPr>
                <w:rFonts w:ascii="Arial" w:cs="Arial" w:eastAsia="Arial" w:hAnsi="Arial"/>
                <w:sz w:val="20"/>
                <w:szCs w:val="20"/>
                <w:b w:val="1"/>
                <w:bCs w:val="1"/>
                <w:color w:val="auto"/>
              </w:rPr>
              <w:t>Shipments</w:t>
            </w:r>
          </w:p>
        </w:tc>
        <w:tc>
          <w:tcPr>
            <w:tcW w:w="640" w:type="dxa"/>
            <w:vAlign w:val="bottom"/>
            <w:shd w:val="clear" w:color="auto" w:fill="CDF0FC"/>
          </w:tcPr>
          <w:p>
            <w:pPr>
              <w:spacing w:after="0"/>
              <w:rPr>
                <w:sz w:val="21"/>
                <w:szCs w:val="21"/>
                <w:color w:val="auto"/>
              </w:rPr>
            </w:pPr>
          </w:p>
        </w:tc>
        <w:tc>
          <w:tcPr>
            <w:tcW w:w="300" w:type="dxa"/>
            <w:vAlign w:val="bottom"/>
            <w:shd w:val="clear" w:color="auto" w:fill="CDF0FC"/>
          </w:tcPr>
          <w:p>
            <w:pPr>
              <w:spacing w:after="0"/>
              <w:rPr>
                <w:sz w:val="21"/>
                <w:szCs w:val="21"/>
                <w:color w:val="auto"/>
              </w:rPr>
            </w:pPr>
          </w:p>
        </w:tc>
        <w:tc>
          <w:tcPr>
            <w:tcW w:w="640" w:type="dxa"/>
            <w:vAlign w:val="bottom"/>
            <w:shd w:val="clear" w:color="auto" w:fill="CDF0FC"/>
          </w:tcPr>
          <w:p>
            <w:pPr>
              <w:spacing w:after="0"/>
              <w:rPr>
                <w:sz w:val="21"/>
                <w:szCs w:val="21"/>
                <w:color w:val="auto"/>
              </w:rPr>
            </w:pPr>
          </w:p>
        </w:tc>
        <w:tc>
          <w:tcPr>
            <w:tcW w:w="1220" w:type="dxa"/>
            <w:vAlign w:val="bottom"/>
            <w:shd w:val="clear" w:color="auto" w:fill="CDF0FC"/>
          </w:tcPr>
          <w:p>
            <w:pPr>
              <w:spacing w:after="0"/>
              <w:rPr>
                <w:sz w:val="21"/>
                <w:szCs w:val="21"/>
                <w:color w:val="auto"/>
              </w:rPr>
            </w:pPr>
          </w:p>
        </w:tc>
        <w:tc>
          <w:tcPr>
            <w:tcW w:w="120" w:type="dxa"/>
            <w:vAlign w:val="bottom"/>
            <w:shd w:val="clear" w:color="auto" w:fill="CDF0FC"/>
          </w:tcPr>
          <w:p>
            <w:pPr>
              <w:spacing w:after="0"/>
              <w:rPr>
                <w:sz w:val="21"/>
                <w:szCs w:val="21"/>
                <w:color w:val="auto"/>
              </w:rPr>
            </w:pPr>
          </w:p>
        </w:tc>
      </w:tr>
      <w:tr>
        <w:trPr>
          <w:trHeight w:val="243"/>
        </w:trPr>
        <w:tc>
          <w:tcPr>
            <w:tcW w:w="832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640" w:type="dxa"/>
            <w:vAlign w:val="bottom"/>
          </w:tcPr>
          <w:p>
            <w:pPr>
              <w:jc w:val="right"/>
              <w:spacing w:after="0"/>
              <w:rPr>
                <w:sz w:val="20"/>
                <w:szCs w:val="20"/>
                <w:color w:val="auto"/>
              </w:rPr>
            </w:pPr>
            <w:r>
              <w:rPr>
                <w:rFonts w:ascii="Arial" w:cs="Arial" w:eastAsia="Arial" w:hAnsi="Arial"/>
                <w:sz w:val="20"/>
                <w:szCs w:val="20"/>
                <w:color w:val="auto"/>
              </w:rPr>
              <w:t>37.1</w:t>
            </w: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33.7</w:t>
            </w:r>
          </w:p>
        </w:tc>
        <w:tc>
          <w:tcPr>
            <w:tcW w:w="120" w:type="dxa"/>
            <w:vAlign w:val="bottom"/>
          </w:tcPr>
          <w:p>
            <w:pPr>
              <w:spacing w:after="0"/>
              <w:rPr>
                <w:sz w:val="21"/>
                <w:szCs w:val="21"/>
                <w:color w:val="auto"/>
              </w:rPr>
            </w:pPr>
          </w:p>
        </w:tc>
      </w:tr>
      <w:tr>
        <w:trPr>
          <w:trHeight w:val="243"/>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18.1</w:t>
            </w:r>
          </w:p>
        </w:tc>
        <w:tc>
          <w:tcPr>
            <w:tcW w:w="120" w:type="dxa"/>
            <w:vAlign w:val="bottom"/>
            <w:shd w:val="clear" w:color="auto" w:fill="CFF0FC"/>
          </w:tcPr>
          <w:p>
            <w:pPr>
              <w:spacing w:after="0"/>
              <w:rPr>
                <w:sz w:val="21"/>
                <w:szCs w:val="21"/>
                <w:color w:val="auto"/>
              </w:rPr>
            </w:pPr>
          </w:p>
        </w:tc>
      </w:tr>
      <w:tr>
        <w:trPr>
          <w:trHeight w:val="237"/>
        </w:trPr>
        <w:tc>
          <w:tcPr>
            <w:tcW w:w="710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57.0</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51.8</w:t>
            </w:r>
          </w:p>
        </w:tc>
        <w:tc>
          <w:tcPr>
            <w:tcW w:w="12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9" w:lineRule="exact"/>
        <w:rPr>
          <w:rFonts w:ascii="Arial" w:cs="Arial" w:eastAsia="Arial" w:hAnsi="Arial"/>
          <w:sz w:val="15"/>
          <w:szCs w:val="15"/>
          <w:i w:val="1"/>
          <w:iCs w:val="1"/>
          <w:color w:val="auto"/>
        </w:rPr>
      </w:pPr>
    </w:p>
    <w:p>
      <w:pPr>
        <w:ind w:firstLine="8"/>
        <w:spacing w:after="0" w:line="260" w:lineRule="auto"/>
        <w:tabs>
          <w:tab w:leader="none" w:pos="265" w:val="left"/>
        </w:tabs>
        <w:numPr>
          <w:ilvl w:val="0"/>
          <w:numId w:val="16"/>
        </w:numPr>
        <w:rPr>
          <w:rFonts w:ascii="Arial" w:cs="Arial" w:eastAsia="Arial" w:hAnsi="Arial"/>
          <w:sz w:val="15"/>
          <w:szCs w:val="15"/>
          <w:i w:val="1"/>
          <w:iCs w:val="1"/>
          <w:color w:val="auto"/>
        </w:rPr>
      </w:pPr>
      <w:r>
        <w:rPr>
          <w:rFonts w:ascii="Arial" w:cs="Arial" w:eastAsia="Arial" w:hAnsi="Arial"/>
          <w:sz w:val="18"/>
          <w:szCs w:val="18"/>
          <w:i w:val="1"/>
          <w:iCs w:val="1"/>
          <w:color w:val="auto"/>
        </w:rPr>
        <w:t>Organic aggregates operations exclude volume and pricing data for acquisitions that have not been included in prior-year operations for the comparable period and divestitures.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0" w:type="dxa"/>
            <w:vAlign w:val="bottom"/>
            <w:gridSpan w:val="2"/>
          </w:tcPr>
          <w:p>
            <w:pPr>
              <w:spacing w:after="0"/>
              <w:rPr>
                <w:sz w:val="20"/>
                <w:szCs w:val="20"/>
                <w:color w:val="auto"/>
              </w:rPr>
            </w:pPr>
            <w:r>
              <w:rPr>
                <w:rFonts w:ascii="Arial" w:cs="Arial" w:eastAsia="Arial" w:hAnsi="Arial"/>
                <w:sz w:val="20"/>
                <w:szCs w:val="20"/>
                <w:color w:val="auto"/>
                <w:w w:val="92"/>
              </w:rPr>
              <w:t>The following table presents shipments data by product line for the Building Materials business:</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30"/>
        </w:trPr>
        <w:tc>
          <w:tcPr>
            <w:tcW w:w="7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Arial" w:cs="Arial" w:eastAsia="Arial" w:hAnsi="Arial"/>
                <w:sz w:val="20"/>
                <w:szCs w:val="20"/>
                <w:color w:val="auto"/>
                <w:w w:val="88"/>
              </w:rPr>
              <w:t>Three Months Ended</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7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20"/>
                <w:szCs w:val="20"/>
                <w:color w:val="auto"/>
                <w:w w:val="86"/>
              </w:rPr>
              <w:t>September 30,</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6"/>
        </w:trPr>
        <w:tc>
          <w:tcPr>
            <w:tcW w:w="7800" w:type="dxa"/>
            <w:vAlign w:val="bottom"/>
            <w:gridSpan w:val="2"/>
          </w:tcPr>
          <w:p>
            <w:pPr>
              <w:ind w:left="7380"/>
              <w:spacing w:after="0"/>
              <w:rPr>
                <w:sz w:val="20"/>
                <w:szCs w:val="20"/>
                <w:color w:val="auto"/>
              </w:rPr>
            </w:pPr>
            <w:r>
              <w:rPr>
                <w:rFonts w:ascii="Arial" w:cs="Arial" w:eastAsia="Arial" w:hAnsi="Arial"/>
                <w:sz w:val="20"/>
                <w:szCs w:val="20"/>
                <w:color w:val="auto"/>
                <w:w w:val="89"/>
              </w:rPr>
              <w:t>2021</w:t>
            </w:r>
          </w:p>
        </w:tc>
        <w:tc>
          <w:tcPr>
            <w:tcW w:w="1400" w:type="dxa"/>
            <w:vAlign w:val="bottom"/>
            <w:gridSpan w:val="3"/>
          </w:tcPr>
          <w:p>
            <w:pPr>
              <w:jc w:val="right"/>
              <w:spacing w:after="0"/>
              <w:rPr>
                <w:sz w:val="20"/>
                <w:szCs w:val="20"/>
                <w:color w:val="auto"/>
              </w:rPr>
            </w:pPr>
            <w:r>
              <w:rPr>
                <w:rFonts w:ascii="Arial" w:cs="Arial" w:eastAsia="Arial" w:hAnsi="Arial"/>
                <w:sz w:val="20"/>
                <w:szCs w:val="20"/>
                <w:color w:val="auto"/>
              </w:rPr>
              <w:t>2020</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20"/>
                <w:szCs w:val="20"/>
                <w:color w:val="auto"/>
              </w:rPr>
              <w:t>% Change</w:t>
            </w:r>
          </w:p>
        </w:tc>
      </w:tr>
      <w:tr>
        <w:trPr>
          <w:trHeight w:val="236"/>
        </w:trPr>
        <w:tc>
          <w:tcPr>
            <w:tcW w:w="7020" w:type="dxa"/>
            <w:vAlign w:val="bottom"/>
          </w:tcPr>
          <w:p>
            <w:pPr>
              <w:spacing w:after="0"/>
              <w:rPr>
                <w:sz w:val="20"/>
                <w:szCs w:val="20"/>
                <w:color w:val="auto"/>
              </w:rPr>
            </w:pPr>
            <w:r>
              <w:rPr>
                <w:rFonts w:ascii="Arial" w:cs="Arial" w:eastAsia="Arial" w:hAnsi="Arial"/>
                <w:sz w:val="20"/>
                <w:szCs w:val="20"/>
                <w:b w:val="1"/>
                <w:bCs w:val="1"/>
                <w:color w:val="auto"/>
              </w:rPr>
              <w:t>Shipments</w:t>
            </w: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7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millions):</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7800" w:type="dxa"/>
            <w:vAlign w:val="bottom"/>
            <w:gridSpan w:val="2"/>
          </w:tcPr>
          <w:p>
            <w:pPr>
              <w:ind w:left="380"/>
              <w:spacing w:after="0"/>
              <w:rPr>
                <w:sz w:val="20"/>
                <w:szCs w:val="20"/>
                <w:color w:val="auto"/>
              </w:rPr>
            </w:pPr>
            <w:r>
              <w:rPr>
                <w:rFonts w:ascii="Arial" w:cs="Arial" w:eastAsia="Arial" w:hAnsi="Arial"/>
                <w:sz w:val="20"/>
                <w:szCs w:val="20"/>
                <w:color w:val="auto"/>
              </w:rPr>
              <w:t>Tons to external customers</w:t>
            </w:r>
          </w:p>
        </w:tc>
        <w:tc>
          <w:tcPr>
            <w:tcW w:w="360" w:type="dxa"/>
            <w:vAlign w:val="bottom"/>
          </w:tcPr>
          <w:p>
            <w:pPr>
              <w:jc w:val="right"/>
              <w:spacing w:after="0"/>
              <w:rPr>
                <w:sz w:val="20"/>
                <w:szCs w:val="20"/>
                <w:color w:val="auto"/>
              </w:rPr>
            </w:pPr>
            <w:r>
              <w:rPr>
                <w:rFonts w:ascii="Arial" w:cs="Arial" w:eastAsia="Arial" w:hAnsi="Arial"/>
                <w:sz w:val="20"/>
                <w:szCs w:val="20"/>
                <w:color w:val="auto"/>
                <w:w w:val="82"/>
              </w:rPr>
              <w:t>52.0</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w w:val="87"/>
              </w:rPr>
              <w:t>48.1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800" w:type="dxa"/>
            <w:vAlign w:val="bottom"/>
            <w:gridSpan w:val="2"/>
            <w:shd w:val="clear" w:color="auto" w:fill="CFF0FC"/>
          </w:tcPr>
          <w:p>
            <w:pPr>
              <w:ind w:left="380"/>
              <w:spacing w:after="0"/>
              <w:rPr>
                <w:sz w:val="20"/>
                <w:szCs w:val="20"/>
                <w:color w:val="auto"/>
              </w:rPr>
            </w:pPr>
            <w:r>
              <w:rPr>
                <w:rFonts w:ascii="Arial" w:cs="Arial" w:eastAsia="Arial" w:hAnsi="Arial"/>
                <w:sz w:val="20"/>
                <w:szCs w:val="20"/>
                <w:color w:val="auto"/>
              </w:rPr>
              <w:t>Internal tons used in other product lines</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5.0</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76"/>
        </w:trPr>
        <w:tc>
          <w:tcPr>
            <w:tcW w:w="702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Total aggregates tons</w:t>
            </w:r>
          </w:p>
        </w:tc>
        <w:tc>
          <w:tcPr>
            <w:tcW w:w="7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2"/>
              </w:rPr>
              <w:t>57.0</w:t>
            </w:r>
          </w:p>
        </w:tc>
        <w:tc>
          <w:tcPr>
            <w:tcW w:w="260" w:type="dxa"/>
            <w:vAlign w:val="bottom"/>
            <w:tcBorders>
              <w:bottom w:val="single" w:sz="8" w:color="CFF0FC"/>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51.8</w:t>
            </w:r>
          </w:p>
        </w:tc>
        <w:tc>
          <w:tcPr>
            <w:tcW w:w="340" w:type="dxa"/>
            <w:vAlign w:val="bottom"/>
            <w:tcBorders>
              <w:bottom w:val="single" w:sz="8" w:color="CFF0FC"/>
            </w:tcBorders>
          </w:tcPr>
          <w:p>
            <w:pPr>
              <w:spacing w:after="0"/>
              <w:rPr>
                <w:sz w:val="24"/>
                <w:szCs w:val="24"/>
                <w:color w:val="auto"/>
              </w:rPr>
            </w:pPr>
          </w:p>
        </w:tc>
        <w:tc>
          <w:tcPr>
            <w:tcW w:w="13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20"/>
                <w:szCs w:val="20"/>
                <w:color w:val="auto"/>
              </w:rPr>
              <w:t>10.2%</w:t>
            </w:r>
          </w:p>
        </w:tc>
      </w:tr>
      <w:tr>
        <w:trPr>
          <w:trHeight w:val="210"/>
        </w:trPr>
        <w:tc>
          <w:tcPr>
            <w:tcW w:w="70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43"/>
        </w:trPr>
        <w:tc>
          <w:tcPr>
            <w:tcW w:w="7800" w:type="dxa"/>
            <w:vAlign w:val="bottom"/>
            <w:gridSpan w:val="2"/>
          </w:tcPr>
          <w:p>
            <w:pPr>
              <w:spacing w:after="0"/>
              <w:rPr>
                <w:sz w:val="20"/>
                <w:szCs w:val="20"/>
                <w:color w:val="auto"/>
              </w:rPr>
            </w:pPr>
            <w:r>
              <w:rPr>
                <w:rFonts w:ascii="Arial" w:cs="Arial" w:eastAsia="Arial" w:hAnsi="Arial"/>
                <w:sz w:val="20"/>
                <w:szCs w:val="20"/>
                <w:color w:val="auto"/>
              </w:rPr>
              <w:t>Cement (in millions):</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80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Tons to external customers</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0.7</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7800" w:type="dxa"/>
            <w:vAlign w:val="bottom"/>
            <w:gridSpan w:val="2"/>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360" w:type="dxa"/>
            <w:vAlign w:val="bottom"/>
          </w:tcPr>
          <w:p>
            <w:pPr>
              <w:jc w:val="right"/>
              <w:spacing w:after="0"/>
              <w:rPr>
                <w:sz w:val="20"/>
                <w:szCs w:val="20"/>
                <w:color w:val="auto"/>
              </w:rPr>
            </w:pPr>
            <w:r>
              <w:rPr>
                <w:rFonts w:ascii="Arial" w:cs="Arial" w:eastAsia="Arial" w:hAnsi="Arial"/>
                <w:sz w:val="20"/>
                <w:szCs w:val="20"/>
                <w:color w:val="auto"/>
              </w:rPr>
              <w:t>0.4</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0.3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6"/>
        </w:trPr>
        <w:tc>
          <w:tcPr>
            <w:tcW w:w="7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cement tons</w:t>
            </w: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4.1%</w:t>
            </w: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7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7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Ready Mixed Concrete (in millions of cubic yards)</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23.2%</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223"/>
        </w:trPr>
        <w:tc>
          <w:tcPr>
            <w:tcW w:w="7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78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Asphalt (in millions):</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7800" w:type="dxa"/>
            <w:vAlign w:val="bottom"/>
            <w:gridSpan w:val="2"/>
          </w:tcPr>
          <w:p>
            <w:pPr>
              <w:ind w:left="260"/>
              <w:spacing w:after="0"/>
              <w:rPr>
                <w:sz w:val="20"/>
                <w:szCs w:val="20"/>
                <w:color w:val="auto"/>
              </w:rPr>
            </w:pPr>
            <w:r>
              <w:rPr>
                <w:rFonts w:ascii="Arial" w:cs="Arial" w:eastAsia="Arial" w:hAnsi="Arial"/>
                <w:sz w:val="20"/>
                <w:szCs w:val="20"/>
                <w:color w:val="auto"/>
              </w:rPr>
              <w:t>Tons to external customers</w:t>
            </w:r>
          </w:p>
        </w:tc>
        <w:tc>
          <w:tcPr>
            <w:tcW w:w="360" w:type="dxa"/>
            <w:vAlign w:val="bottom"/>
          </w:tcPr>
          <w:p>
            <w:pPr>
              <w:jc w:val="right"/>
              <w:spacing w:after="0"/>
              <w:rPr>
                <w:sz w:val="20"/>
                <w:szCs w:val="20"/>
                <w:color w:val="auto"/>
              </w:rPr>
            </w:pPr>
            <w:r>
              <w:rPr>
                <w:rFonts w:ascii="Arial" w:cs="Arial" w:eastAsia="Arial" w:hAnsi="Arial"/>
                <w:sz w:val="20"/>
                <w:szCs w:val="20"/>
                <w:color w:val="auto"/>
              </w:rPr>
              <w:t>2.0</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auto"/>
              </w:rPr>
              <w:t>0.3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8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Internal tons used in paving business</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0.8</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37"/>
        </w:trPr>
        <w:tc>
          <w:tcPr>
            <w:tcW w:w="7020" w:type="dxa"/>
            <w:vAlign w:val="bottom"/>
          </w:tcPr>
          <w:p>
            <w:pPr>
              <w:spacing w:after="0"/>
              <w:rPr>
                <w:sz w:val="20"/>
                <w:szCs w:val="20"/>
                <w:color w:val="auto"/>
              </w:rPr>
            </w:pPr>
            <w:r>
              <w:rPr>
                <w:rFonts w:ascii="Arial" w:cs="Arial" w:eastAsia="Arial" w:hAnsi="Arial"/>
                <w:sz w:val="20"/>
                <w:szCs w:val="20"/>
                <w:color w:val="auto"/>
              </w:rPr>
              <w:t>Total asphalt tons</w:t>
            </w:r>
          </w:p>
        </w:tc>
        <w:tc>
          <w:tcPr>
            <w:tcW w:w="7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w:t>
            </w: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w:t>
            </w: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115.9%</w:t>
            </w: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360" w:type="dxa"/>
            <w:vAlign w:val="bottom"/>
            <w:gridSpan w:val="4"/>
          </w:tcPr>
          <w:p>
            <w:pPr>
              <w:jc w:val="center"/>
              <w:ind w:right="440"/>
              <w:spacing w:after="0"/>
              <w:rPr>
                <w:sz w:val="20"/>
                <w:szCs w:val="20"/>
                <w:color w:val="auto"/>
              </w:rPr>
            </w:pPr>
            <w:r>
              <w:rPr>
                <w:rFonts w:ascii="Arial" w:cs="Arial" w:eastAsia="Arial" w:hAnsi="Arial"/>
                <w:sz w:val="20"/>
                <w:szCs w:val="20"/>
                <w:color w:val="auto"/>
                <w:w w:val="89"/>
              </w:rPr>
              <w:t>Three Months Ended</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56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September 30,</w:t>
            </w:r>
          </w:p>
        </w:tc>
        <w:tc>
          <w:tcPr>
            <w:tcW w:w="13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560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2020</w:t>
            </w:r>
          </w:p>
        </w:tc>
        <w:tc>
          <w:tcPr>
            <w:tcW w:w="36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7"/>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14.93</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14.75</w:t>
            </w:r>
          </w:p>
        </w:tc>
        <w:tc>
          <w:tcPr>
            <w:tcW w:w="3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1.2%</w:t>
            </w:r>
          </w:p>
        </w:tc>
      </w:tr>
      <w:tr>
        <w:trPr>
          <w:trHeight w:val="243"/>
        </w:trPr>
        <w:tc>
          <w:tcPr>
            <w:tcW w:w="5600" w:type="dxa"/>
            <w:vAlign w:val="bottom"/>
          </w:tcPr>
          <w:p>
            <w:pPr>
              <w:spacing w:after="0"/>
              <w:rPr>
                <w:sz w:val="20"/>
                <w:szCs w:val="20"/>
                <w:color w:val="auto"/>
              </w:rPr>
            </w:pPr>
            <w:r>
              <w:rPr>
                <w:rFonts w:ascii="Arial" w:cs="Arial" w:eastAsia="Arial" w:hAnsi="Arial"/>
                <w:sz w:val="20"/>
                <w:szCs w:val="20"/>
                <w:color w:val="auto"/>
              </w:rPr>
              <w:t>Cement (per ton)</w:t>
            </w:r>
          </w:p>
        </w:tc>
        <w:tc>
          <w:tcPr>
            <w:tcW w:w="1100" w:type="dxa"/>
            <w:vAlign w:val="bottom"/>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122.91</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113.41</w:t>
            </w:r>
          </w:p>
        </w:tc>
        <w:tc>
          <w:tcPr>
            <w:tcW w:w="36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0"/>
                <w:szCs w:val="20"/>
                <w:color w:val="auto"/>
              </w:rPr>
              <w:t>8.4%</w:t>
            </w:r>
          </w:p>
        </w:tc>
      </w:tr>
      <w:tr>
        <w:trPr>
          <w:trHeight w:val="243"/>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00" w:type="dxa"/>
            <w:vAlign w:val="bottom"/>
            <w:shd w:val="clear" w:color="auto" w:fill="CFF0FC"/>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116.75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114.15</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2.3%</w:t>
            </w:r>
          </w:p>
        </w:tc>
      </w:tr>
      <w:tr>
        <w:trPr>
          <w:trHeight w:val="250"/>
        </w:trPr>
        <w:tc>
          <w:tcPr>
            <w:tcW w:w="5600" w:type="dxa"/>
            <w:vAlign w:val="bottom"/>
          </w:tcPr>
          <w:p>
            <w:pPr>
              <w:spacing w:after="0"/>
              <w:rPr>
                <w:sz w:val="20"/>
                <w:szCs w:val="20"/>
                <w:color w:val="auto"/>
              </w:rPr>
            </w:pPr>
            <w:r>
              <w:rPr>
                <w:rFonts w:ascii="Arial" w:cs="Arial" w:eastAsia="Arial" w:hAnsi="Arial"/>
                <w:sz w:val="20"/>
                <w:szCs w:val="20"/>
                <w:color w:val="auto"/>
              </w:rPr>
              <w:t>Asphalt (per ton)</w:t>
            </w:r>
          </w:p>
        </w:tc>
        <w:tc>
          <w:tcPr>
            <w:tcW w:w="1100" w:type="dxa"/>
            <w:vAlign w:val="bottom"/>
          </w:tcPr>
          <w:p>
            <w:pPr>
              <w:jc w:val="right"/>
              <w:ind w:right="90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48.72</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620" w:type="dxa"/>
            <w:vAlign w:val="bottom"/>
          </w:tcPr>
          <w:p>
            <w:pPr>
              <w:jc w:val="right"/>
              <w:spacing w:after="0"/>
              <w:rPr>
                <w:sz w:val="20"/>
                <w:szCs w:val="20"/>
                <w:color w:val="auto"/>
              </w:rPr>
            </w:pPr>
            <w:r>
              <w:rPr>
                <w:rFonts w:ascii="Arial" w:cs="Arial" w:eastAsia="Arial" w:hAnsi="Arial"/>
                <w:sz w:val="20"/>
                <w:szCs w:val="20"/>
                <w:color w:val="auto"/>
              </w:rPr>
              <w:t>49.56</w:t>
            </w:r>
          </w:p>
        </w:tc>
        <w:tc>
          <w:tcPr>
            <w:tcW w:w="360" w:type="dxa"/>
            <w:vAlign w:val="bottom"/>
          </w:tcPr>
          <w:p>
            <w:pPr>
              <w:spacing w:after="0"/>
              <w:rPr>
                <w:sz w:val="21"/>
                <w:szCs w:val="21"/>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0"/>
                <w:szCs w:val="20"/>
                <w:color w:val="auto"/>
              </w:rPr>
              <w:t>(1.7)%</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End-Use Markets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Aggregates shipments to the infrastructure market increased 5%, primarily driven by strong underlying demand. The infrastructure market accounted for 36% of third-quarter organic aggregates shipments.</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Aggregates shipments to the nonresidential market increased 17%, driven by robust demand in heavy industrial projects of scale across our geographic footprint. The nonresidential market represented 35% of third-quarter organic aggregates shipments.</w:t>
      </w:r>
    </w:p>
    <w:p>
      <w:pPr>
        <w:spacing w:after="0" w:line="4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Aggregates shipments to the residential market increased 8%. Low available resale inventory and underbuilt single-family housing conditions continued to drive robust residential construction activity. The residential market accounted for 24% of third-quarter organic aggregates shipments.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5% of third-quarter organic aggregates shipments. Volumes to this end use increased 14%, driven by increased aglime shipments in Iowa.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Third-quarter aggregates shipments, including shipments from acquired operations, grew 10.2% compared with prior-year quarter. Acquired operations have selling prices below the Company’s average which limited pricing growth to 1.2%. Organic aggregates shipments increased 6.0% while pricing increased 2.2%, reflecting a higher percentage of lower-priced base stone shipments and opportunistic sales of low-priced excess fill material. East Group shipments increased 10.1%, reflecting strong construction activity across all three primary end-use markets and shipments from the recently acquired Tiller operations. Pricing increased 0.4% in the East Group, inclusive of acquisitions. On a mix-adjusted basis, East Group pricing grew 2.5%. West Group shipments increased 10.4%, from strong underlying demand in both Texas and Colorado, improving energy-sector activity and shipments from the recent SCC acquisition in Texas. West Group pricing increased 2.8%. Aggregates product gross margin decreased 220 basis points to 34.2%, driven primarily by higher diesel costs, higher repairs, maintenance and contract service costs and an increase in cost of revenues from the impact of selling acquired inventory after its markup to fair value as part of acquisition accounting, partially offset by higher average selling prices</w:t>
      </w: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Cement shipments increased 4.1% benefitting from robust construction activity throughout the Texas Triangle and improving demand for specialty oil-well cement products. Cement pricing improved 8.4%, or 6.6% on a mix-adjusted basis, reflecting periodic price increases. Product gross margin declined 250 basis points to 37.7%, as higher energy, operating and raw materials costs more than offset pricing gains.</w:t>
      </w:r>
    </w:p>
    <w:p>
      <w:pPr>
        <w:spacing w:after="0" w:line="4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Ready mixed concrete shipments increased 23.2%, or 20.5% organically, reflecting the healthy Texas and Colorado demand environment. Pricing increased 2.3% in third quarter 2021 compared with third quarter 2020, following the implementation of mid-year price increases in Texas. Product gross margin increased modestly to 9.8%, as volume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pricing growth overcame higher raw material and diesel costs. Asphalt shipments increased 115.9% as incremental volume from the Tiller acquisition more than offset Colorado shipment declines resulting from the late-summer liquid asphalt shortages that have since been resolved. Asphalt pricing decreased 1.7%, reflecting a higher percentage of lower-priced shipments from the Company’s newly-acquired Minnesota business. Organic pricing increased 1.2%. Asphalt and paving products and services gross margin decreased 530 basis points, driven by higher raw material costs and operational disruptions from the Colorado liquid asphalt shortage.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Magnesia Specialties third-quarter product revenues increased 30.3% to $71.9 million, reflecting improved demand for chemicals and lime products compared with a COVID-19-challenged prior-year quarter. Product gross profit was $28.1 million compared with $21.0 million. Product gross margin increased 100 basis points to 39.0% on strong volume and price increases. Third-quarter earnings from operations were $23.1 million in 2021 compared with $16.4 million in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Consolidated SG&amp;A for third quarter 2021 was 5.5% of total revenues compared with 5.4% in the prior-year quarter. During the third quarter 2021, the Company incurred $0.2 million in COVID-19-related expenses versus $1.3 million in the prior-year quarter. Prior year spending included stock build of enhanced personal protective equipment, as well as cleaning and sanitizing protocols across the Company’s operations, which are recorded in SG&amp;A. The Company incurred acquisition-related expenses of $7.4 million in the quarter ended September 30, 2021 versus $0.4 million in the prior-year quarter. Earnings from operations for the quarter were $356.9 million in 2021 compared with $400.6 million in 2020.</w:t>
      </w:r>
    </w:p>
    <w:p>
      <w:pPr>
        <w:spacing w:after="0" w:line="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 other operating income, net, was $8.4 million in 2021 and $67.6 million in 2020. The income in 2020 included $69.9 million of nonrecurring gains on the sales of investment land and divested assets.</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nonoperating income net, includes interest income; pension and postretirement benefit cost excluding service cost; foreign currency transaction gains and losses; equity earnings or losses from nonconsolidated affiliates and other miscellaneous income and expenses. For the third quarter, other nonoperating income, net, was $5.6 million and $4.0 million in 2021 and 2020, respectively. The 2021 amount reflected $3.9 million of lower pension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Nine Months Ended September 30, 2021</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Financial highlights for the nine months ended September 30, 2021 (unless noted, all comparisons are versus the prior-year period):</w:t>
      </w:r>
    </w:p>
    <w:p>
      <w:pPr>
        <w:spacing w:after="0" w:line="119"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Consolidated total revenues of $3.92 billion compared with $3.55 billion</w:t>
      </w:r>
    </w:p>
    <w:p>
      <w:pPr>
        <w:spacing w:after="0" w:line="15" w:lineRule="exact"/>
        <w:rPr>
          <w:rFonts w:ascii="Arial" w:cs="Arial" w:eastAsia="Arial" w:hAnsi="Arial"/>
          <w:sz w:val="20"/>
          <w:szCs w:val="20"/>
          <w:color w:val="007DC6"/>
        </w:rPr>
      </w:pP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$3.47 billion compared with $3.16 billion</w:t>
      </w: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Consolidated gross profit of $1.00 billion</w:t>
      </w:r>
      <w:r>
        <w:rPr>
          <w:rFonts w:ascii="Arial" w:cs="Arial" w:eastAsia="Arial" w:hAnsi="Arial"/>
          <w:sz w:val="16"/>
          <w:szCs w:val="16"/>
          <w:color w:val="auto"/>
        </w:rPr>
        <w:t>(1)</w:t>
      </w:r>
      <w:r>
        <w:rPr>
          <w:rFonts w:ascii="Arial" w:cs="Arial" w:eastAsia="Arial" w:hAnsi="Arial"/>
          <w:sz w:val="20"/>
          <w:szCs w:val="20"/>
          <w:color w:val="auto"/>
        </w:rPr>
        <w:t xml:space="preserve"> compared with $927.4 million</w:t>
      </w: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Consolidated earnings from operations of $763.7 million</w:t>
      </w:r>
      <w:r>
        <w:rPr>
          <w:rFonts w:ascii="Arial" w:cs="Arial" w:eastAsia="Arial" w:hAnsi="Arial"/>
          <w:sz w:val="16"/>
          <w:szCs w:val="16"/>
          <w:color w:val="auto"/>
        </w:rPr>
        <w:t>(2)</w:t>
      </w:r>
      <w:r>
        <w:rPr>
          <w:rFonts w:ascii="Arial" w:cs="Arial" w:eastAsia="Arial" w:hAnsi="Arial"/>
          <w:sz w:val="20"/>
          <w:szCs w:val="20"/>
          <w:color w:val="auto"/>
        </w:rPr>
        <w:t xml:space="preserve"> compared with $764.8 million</w:t>
      </w:r>
      <w:r>
        <w:rPr>
          <w:rFonts w:ascii="Arial" w:cs="Arial" w:eastAsia="Arial" w:hAnsi="Arial"/>
          <w:sz w:val="16"/>
          <w:szCs w:val="16"/>
          <w:color w:val="auto"/>
        </w:rPr>
        <w:t>(3)</w:t>
      </w: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$545.7 million compared with $538.0 million</w:t>
      </w:r>
      <w:r>
        <w:rPr>
          <w:rFonts w:ascii="Arial" w:cs="Arial" w:eastAsia="Arial" w:hAnsi="Arial"/>
          <w:sz w:val="16"/>
          <w:szCs w:val="16"/>
          <w:color w:val="auto"/>
        </w:rPr>
        <w:t>(4)</w:t>
      </w: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Adjusted EBITDA of $1.13 billion compared with $1.06 billion</w:t>
      </w:r>
      <w:r>
        <w:rPr>
          <w:rFonts w:ascii="Arial" w:cs="Arial" w:eastAsia="Arial" w:hAnsi="Arial"/>
          <w:sz w:val="16"/>
          <w:szCs w:val="16"/>
          <w:color w:val="auto"/>
        </w:rPr>
        <w:t>(3)</w:t>
      </w:r>
    </w:p>
    <w:p>
      <w:pPr>
        <w:ind w:left="740" w:hanging="368"/>
        <w:spacing w:after="0"/>
        <w:tabs>
          <w:tab w:leader="none" w:pos="740" w:val="left"/>
        </w:tabs>
        <w:numPr>
          <w:ilvl w:val="0"/>
          <w:numId w:val="17"/>
        </w:numPr>
        <w:rPr>
          <w:rFonts w:ascii="Arial" w:cs="Arial" w:eastAsia="Arial" w:hAnsi="Arial"/>
          <w:sz w:val="20"/>
          <w:szCs w:val="20"/>
          <w:color w:val="007DC6"/>
        </w:rPr>
      </w:pPr>
      <w:r>
        <w:rPr>
          <w:rFonts w:ascii="Arial" w:cs="Arial" w:eastAsia="Arial" w:hAnsi="Arial"/>
          <w:sz w:val="20"/>
          <w:szCs w:val="20"/>
          <w:color w:val="auto"/>
        </w:rPr>
        <w:t>Earnings per diluted share of $8.72</w:t>
      </w:r>
      <w:r>
        <w:rPr>
          <w:rFonts w:ascii="Arial" w:cs="Arial" w:eastAsia="Arial" w:hAnsi="Arial"/>
          <w:sz w:val="16"/>
          <w:szCs w:val="16"/>
          <w:color w:val="auto"/>
        </w:rPr>
        <w:t>(5)</w:t>
      </w:r>
      <w:r>
        <w:rPr>
          <w:rFonts w:ascii="Arial" w:cs="Arial" w:eastAsia="Arial" w:hAnsi="Arial"/>
          <w:sz w:val="20"/>
          <w:szCs w:val="20"/>
          <w:color w:val="auto"/>
        </w:rPr>
        <w:t xml:space="preserve"> compared with $8.61</w:t>
      </w:r>
      <w:r>
        <w:rPr>
          <w:rFonts w:ascii="Arial" w:cs="Arial" w:eastAsia="Arial" w:hAnsi="Arial"/>
          <w:sz w:val="16"/>
          <w:szCs w:val="16"/>
          <w:color w:val="auto"/>
        </w:rPr>
        <w:t>(4)</w:t>
      </w:r>
    </w:p>
    <w:p>
      <w:pPr>
        <w:spacing w:after="0" w:line="215" w:lineRule="exact"/>
        <w:rPr>
          <w:rFonts w:ascii="Arial" w:cs="Arial" w:eastAsia="Arial" w:hAnsi="Arial"/>
          <w:sz w:val="20"/>
          <w:szCs w:val="20"/>
          <w:color w:val="007DC6"/>
        </w:rPr>
      </w:pPr>
    </w:p>
    <w:p>
      <w:pPr>
        <w:ind w:left="780" w:hanging="398"/>
        <w:spacing w:after="0"/>
        <w:tabs>
          <w:tab w:leader="none" w:pos="780" w:val="left"/>
        </w:tabs>
        <w:numPr>
          <w:ilvl w:val="1"/>
          <w:numId w:val="17"/>
        </w:numPr>
        <w:rPr>
          <w:rFonts w:ascii="Arial" w:cs="Arial" w:eastAsia="Arial" w:hAnsi="Arial"/>
          <w:sz w:val="17"/>
          <w:szCs w:val="17"/>
          <w:color w:val="auto"/>
        </w:rPr>
      </w:pPr>
      <w:r>
        <w:rPr>
          <w:rFonts w:ascii="Arial" w:cs="Arial" w:eastAsia="Arial" w:hAnsi="Arial"/>
          <w:sz w:val="18"/>
          <w:szCs w:val="18"/>
          <w:i w:val="1"/>
          <w:iCs w:val="1"/>
          <w:color w:val="auto"/>
        </w:rPr>
        <w:t>Includes $15.7 million of costs for selling acquired inventory after markup to fair value as a part of acquisition accounting</w:t>
      </w:r>
    </w:p>
    <w:p>
      <w:pPr>
        <w:spacing w:after="0" w:line="23" w:lineRule="exact"/>
        <w:rPr>
          <w:rFonts w:ascii="Arial" w:cs="Arial" w:eastAsia="Arial" w:hAnsi="Arial"/>
          <w:sz w:val="17"/>
          <w:szCs w:val="17"/>
          <w:color w:val="auto"/>
        </w:rPr>
      </w:pPr>
    </w:p>
    <w:p>
      <w:pPr>
        <w:ind w:left="760" w:hanging="352"/>
        <w:spacing w:after="0" w:line="257" w:lineRule="auto"/>
        <w:tabs>
          <w:tab w:leader="none" w:pos="785" w:val="left"/>
        </w:tabs>
        <w:numPr>
          <w:ilvl w:val="2"/>
          <w:numId w:val="17"/>
        </w:numPr>
        <w:rPr>
          <w:rFonts w:ascii="Arial" w:cs="Arial" w:eastAsia="Arial" w:hAnsi="Arial"/>
          <w:sz w:val="17"/>
          <w:szCs w:val="17"/>
          <w:color w:val="auto"/>
        </w:rPr>
      </w:pPr>
      <w:r>
        <w:rPr>
          <w:rFonts w:ascii="Arial" w:cs="Arial" w:eastAsia="Arial" w:hAnsi="Arial"/>
          <w:sz w:val="18"/>
          <w:szCs w:val="18"/>
          <w:i w:val="1"/>
          <w:iCs w:val="1"/>
          <w:color w:val="auto"/>
        </w:rPr>
        <w:t>Includes $15.7 million of costs for selling acquired inventory after markup to fair value as a part of acquisition accounting and $18.0 million of acquisition-related expenses</w:t>
      </w:r>
    </w:p>
    <w:p>
      <w:pPr>
        <w:spacing w:after="0" w:line="1" w:lineRule="exact"/>
        <w:rPr>
          <w:sz w:val="20"/>
          <w:szCs w:val="20"/>
          <w:color w:val="auto"/>
        </w:rPr>
      </w:pPr>
    </w:p>
    <w:p>
      <w:pPr>
        <w:ind w:left="720" w:hanging="338"/>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8"/>
          <w:szCs w:val="18"/>
          <w:i w:val="1"/>
          <w:iCs w:val="1"/>
          <w:color w:val="auto"/>
        </w:rPr>
        <w:t>Includes nonrecurring gains on sales of investment land and divested assets of $69.9 million</w:t>
      </w:r>
    </w:p>
    <w:p>
      <w:pPr>
        <w:spacing w:after="0" w:line="23" w:lineRule="exact"/>
        <w:rPr>
          <w:rFonts w:ascii="Arial" w:cs="Arial" w:eastAsia="Arial" w:hAnsi="Arial"/>
          <w:sz w:val="17"/>
          <w:szCs w:val="17"/>
          <w:color w:val="auto"/>
        </w:rPr>
      </w:pPr>
    </w:p>
    <w:p>
      <w:pPr>
        <w:ind w:left="720" w:hanging="312"/>
        <w:spacing w:after="0"/>
        <w:tabs>
          <w:tab w:leader="none" w:pos="720" w:val="left"/>
        </w:tabs>
        <w:numPr>
          <w:ilvl w:val="1"/>
          <w:numId w:val="18"/>
        </w:numPr>
        <w:rPr>
          <w:rFonts w:ascii="Arial" w:cs="Arial" w:eastAsia="Arial" w:hAnsi="Arial"/>
          <w:sz w:val="17"/>
          <w:szCs w:val="17"/>
          <w:color w:val="auto"/>
        </w:rPr>
      </w:pPr>
      <w:r>
        <w:rPr>
          <w:rFonts w:ascii="Arial" w:cs="Arial" w:eastAsia="Arial" w:hAnsi="Arial"/>
          <w:sz w:val="18"/>
          <w:szCs w:val="18"/>
          <w:i w:val="1"/>
          <w:iCs w:val="1"/>
          <w:color w:val="auto"/>
        </w:rPr>
        <w:t>Includes nonrecurring gains on sales of investment land and divested assets, net of tax, of $54.1 million, or $0.87 per diluted share</w:t>
      </w:r>
    </w:p>
    <w:p>
      <w:pPr>
        <w:spacing w:after="0" w:line="9" w:lineRule="exact"/>
        <w:rPr>
          <w:rFonts w:ascii="Arial" w:cs="Arial" w:eastAsia="Arial" w:hAnsi="Arial"/>
          <w:sz w:val="17"/>
          <w:szCs w:val="17"/>
          <w:color w:val="auto"/>
        </w:rPr>
      </w:pPr>
    </w:p>
    <w:p>
      <w:pPr>
        <w:ind w:left="660" w:hanging="262"/>
        <w:spacing w:after="0" w:line="276" w:lineRule="auto"/>
        <w:tabs>
          <w:tab w:leader="none" w:pos="681" w:val="left"/>
        </w:tabs>
        <w:numPr>
          <w:ilvl w:val="1"/>
          <w:numId w:val="18"/>
        </w:numPr>
        <w:rPr>
          <w:rFonts w:ascii="Arial" w:cs="Arial" w:eastAsia="Arial" w:hAnsi="Arial"/>
          <w:sz w:val="17"/>
          <w:szCs w:val="17"/>
          <w:color w:val="auto"/>
        </w:rPr>
      </w:pPr>
      <w:r>
        <w:rPr>
          <w:rFonts w:ascii="Arial" w:cs="Arial" w:eastAsia="Arial" w:hAnsi="Arial"/>
          <w:sz w:val="18"/>
          <w:szCs w:val="18"/>
          <w:i w:val="1"/>
          <w:iCs w:val="1"/>
          <w:color w:val="auto"/>
        </w:rPr>
        <w:t>Includes $0.40 per diluted share of costs for selling acquired inventory after markup to fair value as a part of acquisition accounting and acquisition-related expenses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ind w:right="300"/>
        <w:spacing w:after="0" w:line="269" w:lineRule="auto"/>
        <w:rPr>
          <w:sz w:val="20"/>
          <w:szCs w:val="20"/>
          <w:color w:val="auto"/>
        </w:rPr>
      </w:pPr>
      <w:r>
        <w:rPr>
          <w:rFonts w:ascii="Arial" w:cs="Arial" w:eastAsia="Arial" w:hAnsi="Arial"/>
          <w:sz w:val="19"/>
          <w:szCs w:val="19"/>
          <w:color w:val="auto"/>
        </w:rPr>
        <w:t>The following tables present total revenues, gross profit (loss), SG&amp;A expenses and earnings (loss) from operations data for the Company and its reportable segments by product line for the nine months ended September 30, 2021 and 2020. In each case, the data is stated as a percentage of revenues of the Company or the relevant segment or product line, as the case may be.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20"/>
                <w:szCs w:val="20"/>
                <w:color w:val="auto"/>
                <w:w w:val="90"/>
              </w:rPr>
              <w:t>Nine Months Ended September 30,</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2021</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w w:val="95"/>
              </w:rPr>
              <w:t>% of Revenues</w:t>
            </w:r>
          </w:p>
        </w:tc>
        <w:tc>
          <w:tcPr>
            <w:tcW w:w="10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5"/>
          </w:tcPr>
          <w:p>
            <w:pPr>
              <w:jc w:val="right"/>
              <w:ind w:right="1040"/>
              <w:spacing w:after="0"/>
              <w:rPr>
                <w:sz w:val="20"/>
                <w:szCs w:val="20"/>
                <w:color w:val="auto"/>
              </w:rPr>
            </w:pPr>
            <w:r>
              <w:rPr>
                <w:rFonts w:ascii="Arial" w:cs="Arial" w:eastAsia="Arial" w:hAnsi="Arial"/>
                <w:sz w:val="20"/>
                <w:szCs w:val="20"/>
                <w:i w:val="1"/>
                <w:iCs w:val="1"/>
                <w:color w:val="auto"/>
              </w:rPr>
              <w:t>(Dollars in Millions)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1,496.5</w:t>
            </w:r>
          </w:p>
        </w:tc>
        <w:tc>
          <w:tcPr>
            <w:tcW w:w="340" w:type="dxa"/>
            <w:vAlign w:val="bottom"/>
            <w:shd w:val="clear" w:color="auto" w:fill="CFF0FC"/>
          </w:tcPr>
          <w:p>
            <w:pPr>
              <w:spacing w:after="0"/>
              <w:rPr>
                <w:sz w:val="21"/>
                <w:szCs w:val="21"/>
                <w:color w:val="auto"/>
              </w:rPr>
            </w:pPr>
          </w:p>
        </w:tc>
        <w:tc>
          <w:tcPr>
            <w:tcW w:w="1820" w:type="dxa"/>
            <w:vAlign w:val="bottom"/>
            <w:gridSpan w:val="3"/>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1,371.8</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20"/>
                <w:szCs w:val="20"/>
                <w:color w:val="auto"/>
              </w:rPr>
              <w:t>Asphalt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127.3</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Less: Interproduct revenues</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(12.9)</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Borders>
              <w:bottom w:val="single" w:sz="8" w:color="CFF0FC"/>
            </w:tcBorders>
          </w:tcPr>
          <w:p>
            <w:pPr>
              <w:ind w:left="380"/>
              <w:spacing w:after="0"/>
              <w:rPr>
                <w:sz w:val="20"/>
                <w:szCs w:val="20"/>
                <w:color w:val="auto"/>
              </w:rPr>
            </w:pPr>
            <w:r>
              <w:rPr>
                <w:rFonts w:ascii="Arial" w:cs="Arial" w:eastAsia="Arial" w:hAnsi="Arial"/>
                <w:sz w:val="20"/>
                <w:szCs w:val="20"/>
                <w:color w:val="auto"/>
              </w:rPr>
              <w:t>East Group Total</w:t>
            </w: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1,610.9</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1,371.8</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474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735.0</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720.3</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Cement</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358.4</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331.7</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20"/>
                <w:szCs w:val="20"/>
                <w:color w:val="auto"/>
              </w:rPr>
              <w:t>Ready mixed concrete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824.5</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689.4</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Asphalt and paving</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216.2</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254.9</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20"/>
                <w:szCs w:val="20"/>
                <w:color w:val="auto"/>
              </w:rPr>
              <w:t>Less: Interproduct revenues</w:t>
            </w:r>
          </w:p>
        </w:tc>
        <w:tc>
          <w:tcPr>
            <w:tcW w:w="22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20"/>
                <w:szCs w:val="20"/>
                <w:color w:val="auto"/>
              </w:rPr>
              <w:t>(272.2)</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20"/>
                <w:szCs w:val="20"/>
                <w:color w:val="auto"/>
              </w:rPr>
              <w:t>(210.9)</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1,861.9</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1,785.4</w:t>
            </w:r>
          </w:p>
        </w:tc>
        <w:tc>
          <w:tcPr>
            <w:tcW w:w="32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7"/>
        </w:trPr>
        <w:tc>
          <w:tcPr>
            <w:tcW w:w="474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3,472.8</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3,157.2</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219.8</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212.9</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3,692.6</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3,370.1</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6"/>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207.1</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164.0</w:t>
            </w: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17.9</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16.2</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4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225.0</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180.2</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3,917.6</w:t>
            </w:r>
          </w:p>
        </w:tc>
        <w:tc>
          <w:tcPr>
            <w:tcW w:w="3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3,550.3</w:t>
            </w:r>
          </w:p>
        </w:tc>
        <w:tc>
          <w:tcPr>
            <w:tcW w:w="32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20"/>
                <w:szCs w:val="20"/>
                <w:color w:val="auto"/>
                <w:w w:val="90"/>
              </w:rPr>
              <w:t>Nine Months Ended September 30,</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2021</w:t>
            </w:r>
          </w:p>
        </w:tc>
        <w:tc>
          <w:tcPr>
            <w:tcW w:w="1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2020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6"/>
              </w:rPr>
              <w:t>% of Revenues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gridSpan w:val="6"/>
          </w:tcPr>
          <w:p>
            <w:pPr>
              <w:jc w:val="right"/>
              <w:ind w:right="1040"/>
              <w:spacing w:after="0"/>
              <w:rPr>
                <w:sz w:val="20"/>
                <w:szCs w:val="20"/>
                <w:color w:val="auto"/>
              </w:rPr>
            </w:pPr>
            <w:r>
              <w:rPr>
                <w:rFonts w:ascii="Arial" w:cs="Arial" w:eastAsia="Arial" w:hAnsi="Arial"/>
                <w:sz w:val="20"/>
                <w:szCs w:val="20"/>
                <w:i w:val="1"/>
                <w:iCs w:val="1"/>
                <w:color w:val="auto"/>
              </w:rPr>
              <w:t>(Dollars in Millions)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20"/>
                <w:szCs w:val="20"/>
                <w:color w:val="auto"/>
              </w:rPr>
              <w:t>East Group</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514.3</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460.0</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20"/>
                <w:szCs w:val="20"/>
                <w:color w:val="auto"/>
              </w:rPr>
              <w:t>Asphalt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26.9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21.1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20"/>
                <w:szCs w:val="20"/>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47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East Group Total</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541.2</w:t>
            </w: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33.6</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460.0</w:t>
            </w:r>
          </w:p>
        </w:tc>
        <w:tc>
          <w:tcPr>
            <w:tcW w:w="32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173.4</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180.4</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20"/>
                <w:szCs w:val="20"/>
                <w:color w:val="auto"/>
              </w:rPr>
              <w:t>Cement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101.3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28.3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117.2</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69.9</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56.7</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tcPr>
          <w:p>
            <w:pPr>
              <w:ind w:left="620"/>
              <w:spacing w:after="0"/>
              <w:rPr>
                <w:sz w:val="20"/>
                <w:szCs w:val="20"/>
                <w:color w:val="auto"/>
              </w:rPr>
            </w:pPr>
            <w:r>
              <w:rPr>
                <w:rFonts w:ascii="Arial" w:cs="Arial" w:eastAsia="Arial" w:hAnsi="Arial"/>
                <w:sz w:val="20"/>
                <w:szCs w:val="20"/>
                <w:color w:val="auto"/>
              </w:rPr>
              <w:t>Asphalt and paving</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15.0</w:t>
            </w: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46.4</w:t>
            </w:r>
          </w:p>
        </w:tc>
        <w:tc>
          <w:tcPr>
            <w:tcW w:w="32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18.2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West Group Total</w:t>
            </w: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377.1</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20.3</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400.7</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918.3</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860.7</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920.0</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24.9</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861.0</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25.5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84.4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40.7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65.3</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(3.0)</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260"/>
              <w:spacing w:after="0"/>
              <w:rPr>
                <w:sz w:val="20"/>
                <w:szCs w:val="20"/>
                <w:color w:val="auto"/>
              </w:rPr>
            </w:pPr>
            <w:r>
              <w:rPr>
                <w:rFonts w:ascii="Arial" w:cs="Arial" w:eastAsia="Arial" w:hAnsi="Arial"/>
                <w:sz w:val="20"/>
                <w:szCs w:val="20"/>
                <w:color w:val="auto"/>
              </w:rPr>
              <w:t>(3.2)</w:t>
            </w: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w:t>
            </w: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81.4</w:t>
            </w: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36.2</w:t>
            </w:r>
          </w:p>
        </w:tc>
        <w:tc>
          <w:tcPr>
            <w:tcW w:w="2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62.1</w:t>
            </w:r>
          </w:p>
        </w:tc>
        <w:tc>
          <w:tcPr>
            <w:tcW w:w="32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34.5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2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0.3</w:t>
            </w: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4.3</w:t>
            </w: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20"/>
                <w:szCs w:val="20"/>
                <w:color w:val="auto"/>
              </w:rPr>
              <w:t>Total</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1,001.7</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25.6</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927.4</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20"/>
                <w:szCs w:val="20"/>
                <w:i w:val="1"/>
                <w:iCs w:val="1"/>
                <w:color w:val="auto"/>
              </w:rPr>
              <w:t>Aggregates Products Gross Profit Rollforward</w:t>
            </w: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060" w:type="dxa"/>
            <w:vAlign w:val="bottom"/>
            <w:gridSpan w:val="6"/>
          </w:tcPr>
          <w:p>
            <w:pPr>
              <w:spacing w:after="0"/>
              <w:rPr>
                <w:sz w:val="20"/>
                <w:szCs w:val="20"/>
                <w:color w:val="auto"/>
              </w:rPr>
            </w:pPr>
            <w:r>
              <w:rPr>
                <w:rFonts w:ascii="Arial" w:cs="Arial" w:eastAsia="Arial" w:hAnsi="Arial"/>
                <w:sz w:val="20"/>
                <w:szCs w:val="20"/>
                <w:color w:val="auto"/>
                <w:w w:val="99"/>
              </w:rPr>
              <w:t>The following presents a rollforward of aggregates products gross profit (dollars in millions):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6480" w:type="dxa"/>
            <w:vAlign w:val="bottom"/>
            <w:gridSpan w:val="4"/>
          </w:tcPr>
          <w:p>
            <w:pPr>
              <w:spacing w:after="0"/>
              <w:rPr>
                <w:sz w:val="20"/>
                <w:szCs w:val="20"/>
                <w:color w:val="auto"/>
              </w:rPr>
            </w:pPr>
            <w:r>
              <w:rPr>
                <w:rFonts w:ascii="Arial" w:cs="Arial" w:eastAsia="Arial" w:hAnsi="Arial"/>
                <w:sz w:val="20"/>
                <w:szCs w:val="20"/>
                <w:color w:val="auto"/>
                <w:w w:val="98"/>
              </w:rPr>
              <w:t>Aggregates products gross profit, nine months ended September 30, 2020</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640.4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Volume</w:t>
            </w:r>
          </w:p>
        </w:tc>
        <w:tc>
          <w:tcPr>
            <w:tcW w:w="220" w:type="dxa"/>
            <w:vAlign w:val="bottom"/>
            <w:tcBorders>
              <w:top w:val="single" w:sz="8" w:color="CFF0FC"/>
            </w:tcBorders>
            <w:shd w:val="clear" w:color="auto" w:fill="CFF0FC"/>
          </w:tcPr>
          <w:p>
            <w:pPr>
              <w:spacing w:after="0"/>
              <w:rPr>
                <w:sz w:val="20"/>
                <w:szCs w:val="20"/>
                <w:color w:val="auto"/>
              </w:rPr>
            </w:pPr>
          </w:p>
        </w:tc>
        <w:tc>
          <w:tcPr>
            <w:tcW w:w="11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82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62.2</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60"/>
              <w:spacing w:after="0"/>
              <w:rPr>
                <w:sz w:val="20"/>
                <w:szCs w:val="20"/>
                <w:color w:val="auto"/>
              </w:rPr>
            </w:pPr>
            <w:r>
              <w:rPr>
                <w:rFonts w:ascii="Arial" w:cs="Arial" w:eastAsia="Arial" w:hAnsi="Arial"/>
                <w:sz w:val="20"/>
                <w:szCs w:val="20"/>
                <w:color w:val="auto"/>
              </w:rPr>
              <w:t>Pricing</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Operational performance </w:t>
            </w:r>
            <w:r>
              <w:rPr>
                <w:rFonts w:ascii="Arial" w:cs="Arial" w:eastAsia="Arial" w:hAnsi="Arial"/>
                <w:sz w:val="16"/>
                <w:szCs w:val="16"/>
                <w:color w:val="auto"/>
              </w:rPr>
              <w:t>(1)</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(46.3)</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aggregates products gross profit</w:t>
            </w:r>
          </w:p>
        </w:tc>
        <w:tc>
          <w:tcPr>
            <w:tcW w:w="22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47.3</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20"/>
                <w:szCs w:val="20"/>
                <w:color w:val="auto"/>
                <w:w w:val="98"/>
              </w:rPr>
              <w:t>Aggregates products gross profit, nine months ended September 30, 2021</w:t>
            </w:r>
          </w:p>
        </w:tc>
        <w:tc>
          <w:tcPr>
            <w:tcW w:w="1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3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687.7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5"/>
          <w:szCs w:val="15"/>
          <w:color w:val="auto"/>
        </w:rPr>
      </w:pPr>
      <w:r>
        <w:rPr>
          <w:rFonts w:ascii="Arial" w:cs="Arial" w:eastAsia="Arial" w:hAnsi="Arial"/>
          <w:sz w:val="18"/>
          <w:szCs w:val="18"/>
          <w:i w:val="1"/>
          <w:iCs w:val="1"/>
          <w:color w:val="auto"/>
        </w:rPr>
        <w:t>Inclusive of cost increases/decreases, product and geographic mix and other operating impacts</w:t>
      </w:r>
    </w:p>
    <w:p>
      <w:pPr>
        <w:spacing w:after="0" w:line="317" w:lineRule="exact"/>
        <w:rPr>
          <w:rFonts w:ascii="Arial" w:cs="Arial" w:eastAsia="Arial" w:hAnsi="Arial"/>
          <w:sz w:val="15"/>
          <w:szCs w:val="15"/>
          <w:color w:val="auto"/>
        </w:rPr>
      </w:pPr>
    </w:p>
    <w:p>
      <w:pPr>
        <w:ind w:left="5080"/>
        <w:spacing w:after="0"/>
        <w:rPr>
          <w:rFonts w:ascii="Arial" w:cs="Arial" w:eastAsia="Arial" w:hAnsi="Arial"/>
          <w:sz w:val="15"/>
          <w:szCs w:val="15"/>
          <w:color w:val="auto"/>
        </w:rPr>
      </w:pPr>
      <w:r>
        <w:rPr>
          <w:rFonts w:ascii="Arial" w:cs="Arial" w:eastAsia="Arial" w:hAnsi="Arial"/>
          <w:sz w:val="20"/>
          <w:szCs w:val="20"/>
          <w:color w:val="auto"/>
        </w:rPr>
        <w:t>Page 40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20"/>
                <w:szCs w:val="20"/>
                <w:color w:val="auto"/>
                <w:w w:val="89"/>
              </w:rPr>
              <w:t>Nine Months Ended September 30,</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2021</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2020</w:t>
            </w: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181"/>
              <w:spacing w:after="0" w:line="220" w:lineRule="exact"/>
              <w:rPr>
                <w:sz w:val="20"/>
                <w:szCs w:val="20"/>
                <w:color w:val="auto"/>
              </w:rPr>
            </w:pPr>
            <w:r>
              <w:rPr>
                <w:rFonts w:ascii="Arial" w:cs="Arial" w:eastAsia="Arial" w:hAnsi="Arial"/>
                <w:sz w:val="20"/>
                <w:szCs w:val="20"/>
                <w:color w:val="auto"/>
              </w:rPr>
              <w:t>% of Total</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center"/>
              <w:ind w:right="81"/>
              <w:spacing w:after="0" w:line="220" w:lineRule="exact"/>
              <w:rPr>
                <w:sz w:val="20"/>
                <w:szCs w:val="20"/>
                <w:color w:val="auto"/>
              </w:rPr>
            </w:pPr>
            <w:r>
              <w:rPr>
                <w:rFonts w:ascii="Arial" w:cs="Arial" w:eastAsia="Arial" w:hAnsi="Arial"/>
                <w:sz w:val="20"/>
                <w:szCs w:val="20"/>
                <w:color w:val="auto"/>
                <w:w w:val="91"/>
              </w:rPr>
              <w:t>% of Total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20"/>
                <w:szCs w:val="20"/>
                <w:color w:val="auto"/>
              </w:rPr>
              <w:t>Amount</w:t>
            </w:r>
          </w:p>
        </w:tc>
        <w:tc>
          <w:tcPr>
            <w:tcW w:w="1300" w:type="dxa"/>
            <w:vAlign w:val="bottom"/>
          </w:tcPr>
          <w:p>
            <w:pPr>
              <w:jc w:val="right"/>
              <w:ind w:right="221"/>
              <w:spacing w:after="0"/>
              <w:rPr>
                <w:sz w:val="20"/>
                <w:szCs w:val="20"/>
                <w:color w:val="auto"/>
              </w:rPr>
            </w:pPr>
            <w:r>
              <w:rPr>
                <w:rFonts w:ascii="Arial" w:cs="Arial" w:eastAsia="Arial" w:hAnsi="Arial"/>
                <w:sz w:val="20"/>
                <w:szCs w:val="20"/>
                <w:color w:val="auto"/>
              </w:rPr>
              <w:t>Revenues</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20"/>
                <w:szCs w:val="20"/>
                <w:color w:val="auto"/>
              </w:rPr>
              <w:t>Amount</w:t>
            </w:r>
          </w:p>
        </w:tc>
        <w:tc>
          <w:tcPr>
            <w:tcW w:w="1360" w:type="dxa"/>
            <w:vAlign w:val="bottom"/>
            <w:gridSpan w:val="2"/>
          </w:tcPr>
          <w:p>
            <w:pPr>
              <w:jc w:val="center"/>
              <w:ind w:right="300"/>
              <w:spacing w:after="0"/>
              <w:rPr>
                <w:sz w:val="20"/>
                <w:szCs w:val="20"/>
                <w:color w:val="auto"/>
              </w:rPr>
            </w:pPr>
            <w:r>
              <w:rPr>
                <w:rFonts w:ascii="Arial" w:cs="Arial" w:eastAsia="Arial" w:hAnsi="Arial"/>
                <w:sz w:val="20"/>
                <w:szCs w:val="20"/>
                <w:color w:val="auto"/>
                <w:w w:val="86"/>
              </w:rPr>
              <w:t>Revenues</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0" w:type="dxa"/>
            <w:vAlign w:val="bottom"/>
            <w:tcBorders>
              <w:top w:val="single" w:sz="8" w:color="auto"/>
            </w:tcBorders>
            <w:gridSpan w:val="5"/>
          </w:tcPr>
          <w:p>
            <w:pPr>
              <w:jc w:val="right"/>
              <w:ind w:right="1140"/>
              <w:spacing w:after="0"/>
              <w:rPr>
                <w:sz w:val="20"/>
                <w:szCs w:val="20"/>
                <w:color w:val="auto"/>
              </w:rPr>
            </w:pPr>
            <w:r>
              <w:rPr>
                <w:rFonts w:ascii="Arial" w:cs="Arial" w:eastAsia="Arial" w:hAnsi="Arial"/>
                <w:sz w:val="20"/>
                <w:szCs w:val="20"/>
                <w:i w:val="1"/>
                <w:iCs w:val="1"/>
                <w:color w:val="auto"/>
              </w:rPr>
              <w:t>(Dollars in Millions)</w:t>
            </w: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77.0</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74.0</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5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101.1</w:t>
            </w:r>
          </w:p>
        </w:tc>
        <w:tc>
          <w:tcPr>
            <w:tcW w:w="36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100.2</w:t>
            </w:r>
          </w:p>
        </w:tc>
        <w:tc>
          <w:tcPr>
            <w:tcW w:w="42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178.1</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174.2</w:t>
            </w:r>
          </w:p>
        </w:tc>
        <w:tc>
          <w:tcPr>
            <w:tcW w:w="4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Magnesia Specialties</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11.1</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10.4</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5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59.0</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36.4</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20"/>
                <w:szCs w:val="20"/>
                <w:color w:val="auto"/>
              </w:rPr>
              <w:t>Total</w:t>
            </w:r>
          </w:p>
        </w:tc>
        <w:tc>
          <w:tcPr>
            <w:tcW w:w="5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248.2</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221.0</w:t>
            </w: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20"/>
                <w:szCs w:val="20"/>
                <w:b w:val="1"/>
                <w:bCs w:val="1"/>
                <w:color w:val="auto"/>
              </w:rPr>
              <w:t>Earnings (Loss) from operations:</w:t>
            </w: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20"/>
                <w:szCs w:val="20"/>
                <w:color w:val="auto"/>
              </w:rPr>
              <w:t>East Group</w:t>
            </w:r>
          </w:p>
        </w:tc>
        <w:tc>
          <w:tcPr>
            <w:tcW w:w="7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465.3</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386.1</w:t>
            </w: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5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284.2</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368.2</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749.5</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754.3</w:t>
            </w: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69.8</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51.2</w:t>
            </w:r>
          </w:p>
        </w:tc>
        <w:tc>
          <w:tcPr>
            <w:tcW w:w="4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20"/>
                <w:szCs w:val="20"/>
                <w:color w:val="auto"/>
              </w:rPr>
              <w:t>Corporate</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20"/>
                <w:szCs w:val="20"/>
                <w:color w:val="auto"/>
              </w:rPr>
              <w:t>(55.6)</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20"/>
                <w:szCs w:val="20"/>
                <w:color w:val="auto"/>
              </w:rPr>
              <w:t>(40.7)</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5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763.7</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19.5</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764.8</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volume and pricing variance data and shipments data by segment:</w:t>
      </w:r>
    </w:p>
    <w:p>
      <w:pPr>
        <w:spacing w:after="0" w:line="108" w:lineRule="exact"/>
        <w:rPr>
          <w:sz w:val="20"/>
          <w:szCs w:val="20"/>
          <w:color w:val="auto"/>
        </w:rPr>
      </w:pPr>
    </w:p>
    <w:p>
      <w:pPr>
        <w:ind w:left="8220"/>
        <w:spacing w:after="0"/>
        <w:rPr>
          <w:sz w:val="20"/>
          <w:szCs w:val="20"/>
          <w:color w:val="auto"/>
        </w:rPr>
      </w:pPr>
      <w:r>
        <w:rPr>
          <w:rFonts w:ascii="Arial" w:cs="Arial" w:eastAsia="Arial" w:hAnsi="Arial"/>
          <w:sz w:val="20"/>
          <w:szCs w:val="20"/>
          <w:color w:val="auto"/>
        </w:rPr>
        <w:t>Nine Months Ended</w:t>
      </w:r>
    </w:p>
    <w:p>
      <w:pPr>
        <w:spacing w:after="0" w:line="20" w:lineRule="exact"/>
        <w:rPr>
          <w:sz w:val="20"/>
          <w:szCs w:val="20"/>
          <w:color w:val="auto"/>
        </w:rPr>
      </w:pPr>
    </w:p>
    <w:p>
      <w:pPr>
        <w:ind w:left="8220"/>
        <w:spacing w:after="0"/>
        <w:rPr>
          <w:sz w:val="20"/>
          <w:szCs w:val="20"/>
          <w:color w:val="auto"/>
        </w:rPr>
      </w:pPr>
      <w:r>
        <w:rPr>
          <w:rFonts w:ascii="Arial" w:cs="Arial" w:eastAsia="Arial" w:hAnsi="Arial"/>
          <w:sz w:val="20"/>
          <w:szCs w:val="20"/>
          <w:color w:val="auto"/>
        </w:rPr>
        <w:t>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0" w:type="dxa"/>
            <w:vAlign w:val="bottom"/>
          </w:tcPr>
          <w:p>
            <w:pPr>
              <w:spacing w:after="0"/>
              <w:rPr>
                <w:sz w:val="20"/>
                <w:szCs w:val="20"/>
                <w:color w:val="auto"/>
              </w:rPr>
            </w:pPr>
          </w:p>
        </w:tc>
        <w:tc>
          <w:tcPr>
            <w:tcW w:w="14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20"/>
                <w:szCs w:val="20"/>
                <w:color w:val="auto"/>
              </w:rPr>
              <w:t>Volume</w:t>
            </w:r>
          </w:p>
        </w:tc>
        <w:tc>
          <w:tcPr>
            <w:tcW w:w="4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8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20"/>
                <w:szCs w:val="20"/>
                <w:color w:val="auto"/>
              </w:rPr>
              <w:t>Pricing</w:t>
            </w:r>
          </w:p>
        </w:tc>
        <w:tc>
          <w:tcPr>
            <w:tcW w:w="180" w:type="dxa"/>
            <w:vAlign w:val="bottom"/>
          </w:tcPr>
          <w:p>
            <w:pPr>
              <w:spacing w:after="0"/>
              <w:rPr>
                <w:sz w:val="20"/>
                <w:szCs w:val="20"/>
                <w:color w:val="auto"/>
              </w:rPr>
            </w:pPr>
          </w:p>
        </w:tc>
      </w:tr>
      <w:tr>
        <w:trPr>
          <w:trHeight w:val="237"/>
        </w:trPr>
        <w:tc>
          <w:tcPr>
            <w:tcW w:w="7000" w:type="dxa"/>
            <w:vAlign w:val="bottom"/>
          </w:tcPr>
          <w:p>
            <w:pPr>
              <w:spacing w:after="0"/>
              <w:rPr>
                <w:sz w:val="20"/>
                <w:szCs w:val="20"/>
                <w:color w:val="auto"/>
              </w:rPr>
            </w:pPr>
            <w:r>
              <w:rPr>
                <w:rFonts w:ascii="Arial" w:cs="Arial" w:eastAsia="Arial" w:hAnsi="Arial"/>
                <w:sz w:val="20"/>
                <w:szCs w:val="20"/>
                <w:b w:val="1"/>
                <w:bCs w:val="1"/>
                <w:color w:val="auto"/>
              </w:rPr>
              <w:t>Volume/Pricing variance</w:t>
            </w:r>
            <w:r>
              <w:rPr>
                <w:rFonts w:ascii="Arial" w:cs="Arial" w:eastAsia="Arial" w:hAnsi="Arial"/>
                <w:sz w:val="16"/>
                <w:szCs w:val="16"/>
                <w:color w:val="auto"/>
              </w:rPr>
              <w:t>(1)</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840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East Group</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6.5%</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r>
      <w:tr>
        <w:trPr>
          <w:trHeight w:val="243"/>
        </w:trPr>
        <w:tc>
          <w:tcPr>
            <w:tcW w:w="8400" w:type="dxa"/>
            <w:vAlign w:val="bottom"/>
            <w:gridSpan w:val="2"/>
          </w:tcPr>
          <w:p>
            <w:pPr>
              <w:ind w:left="260"/>
              <w:spacing w:after="0"/>
              <w:rPr>
                <w:sz w:val="20"/>
                <w:szCs w:val="20"/>
                <w:color w:val="auto"/>
              </w:rPr>
            </w:pPr>
            <w:r>
              <w:rPr>
                <w:rFonts w:ascii="Arial" w:cs="Arial" w:eastAsia="Arial" w:hAnsi="Arial"/>
                <w:sz w:val="20"/>
                <w:szCs w:val="20"/>
                <w:color w:val="auto"/>
              </w:rPr>
              <w:t>West Group</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0.0%</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1.9%</w:t>
            </w:r>
          </w:p>
        </w:tc>
      </w:tr>
      <w:tr>
        <w:trPr>
          <w:trHeight w:val="243"/>
        </w:trPr>
        <w:tc>
          <w:tcPr>
            <w:tcW w:w="840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4.1%</w:t>
            </w:r>
          </w:p>
        </w:tc>
        <w:tc>
          <w:tcPr>
            <w:tcW w:w="20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r>
      <w:tr>
        <w:trPr>
          <w:trHeight w:val="250"/>
        </w:trPr>
        <w:tc>
          <w:tcPr>
            <w:tcW w:w="8400" w:type="dxa"/>
            <w:vAlign w:val="bottom"/>
            <w:gridSpan w:val="2"/>
          </w:tcPr>
          <w:p>
            <w:pPr>
              <w:spacing w:after="0"/>
              <w:rPr>
                <w:sz w:val="20"/>
                <w:szCs w:val="20"/>
                <w:color w:val="auto"/>
              </w:rPr>
            </w:pPr>
            <w:r>
              <w:rPr>
                <w:rFonts w:ascii="Arial" w:cs="Arial" w:eastAsia="Arial" w:hAnsi="Arial"/>
                <w:sz w:val="20"/>
                <w:szCs w:val="20"/>
                <w:color w:val="auto"/>
              </w:rPr>
              <w:t>Organic aggregates operations</w:t>
            </w:r>
            <w:r>
              <w:rPr>
                <w:rFonts w:ascii="Arial" w:cs="Arial" w:eastAsia="Arial" w:hAnsi="Arial"/>
                <w:sz w:val="16"/>
                <w:szCs w:val="16"/>
                <w:color w:val="auto"/>
              </w:rPr>
              <w:t>(3)</w:t>
            </w:r>
          </w:p>
        </w:tc>
        <w:tc>
          <w:tcPr>
            <w:tcW w:w="820" w:type="dxa"/>
            <w:vAlign w:val="bottom"/>
            <w:gridSpan w:val="2"/>
          </w:tcPr>
          <w:p>
            <w:pPr>
              <w:jc w:val="right"/>
              <w:ind w:right="220"/>
              <w:spacing w:after="0"/>
              <w:rPr>
                <w:sz w:val="20"/>
                <w:szCs w:val="20"/>
                <w:color w:val="auto"/>
              </w:rPr>
            </w:pPr>
            <w:r>
              <w:rPr>
                <w:rFonts w:ascii="Arial" w:cs="Arial" w:eastAsia="Arial" w:hAnsi="Arial"/>
                <w:sz w:val="20"/>
                <w:szCs w:val="20"/>
                <w:color w:val="auto"/>
              </w:rPr>
              <w:t>2.0%</w:t>
            </w:r>
          </w:p>
        </w:tc>
        <w:tc>
          <w:tcPr>
            <w:tcW w:w="2020" w:type="dxa"/>
            <w:vAlign w:val="bottom"/>
            <w:gridSpan w:val="2"/>
          </w:tcPr>
          <w:p>
            <w:pPr>
              <w:jc w:val="right"/>
              <w:ind w:right="20"/>
              <w:spacing w:after="0"/>
              <w:rPr>
                <w:sz w:val="20"/>
                <w:szCs w:val="20"/>
                <w:color w:val="auto"/>
              </w:rPr>
            </w:pPr>
            <w:r>
              <w:rPr>
                <w:rFonts w:ascii="Arial" w:cs="Arial" w:eastAsia="Arial" w:hAnsi="Arial"/>
                <w:sz w:val="20"/>
                <w:szCs w:val="20"/>
                <w:color w:val="auto"/>
              </w:rPr>
              <w:t>2.9%</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91" w:lineRule="exact"/>
        <w:rPr>
          <w:sz w:val="20"/>
          <w:szCs w:val="20"/>
          <w:color w:val="auto"/>
        </w:rPr>
      </w:pPr>
    </w:p>
    <w:p>
      <w:pPr>
        <w:jc w:val="center"/>
        <w:ind w:left="6980"/>
        <w:spacing w:after="0"/>
        <w:rPr>
          <w:sz w:val="20"/>
          <w:szCs w:val="20"/>
          <w:color w:val="auto"/>
        </w:rPr>
      </w:pPr>
      <w:r>
        <w:rPr>
          <w:rFonts w:ascii="Arial" w:cs="Arial" w:eastAsia="Arial" w:hAnsi="Arial"/>
          <w:sz w:val="20"/>
          <w:szCs w:val="20"/>
          <w:color w:val="auto"/>
        </w:rPr>
        <w:t>Nine Months Ended</w:t>
      </w:r>
    </w:p>
    <w:p>
      <w:pPr>
        <w:spacing w:after="0" w:line="20" w:lineRule="exact"/>
        <w:rPr>
          <w:sz w:val="20"/>
          <w:szCs w:val="20"/>
          <w:color w:val="auto"/>
        </w:rPr>
      </w:pPr>
    </w:p>
    <w:p>
      <w:pPr>
        <w:jc w:val="center"/>
        <w:ind w:left="698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20"/>
                <w:szCs w:val="20"/>
                <w:color w:val="auto"/>
              </w:rPr>
              <w:t>2020</w:t>
            </w:r>
          </w:p>
        </w:tc>
        <w:tc>
          <w:tcPr>
            <w:tcW w:w="100" w:type="dxa"/>
            <w:vAlign w:val="bottom"/>
          </w:tcPr>
          <w:p>
            <w:pPr>
              <w:spacing w:after="0"/>
              <w:rPr>
                <w:sz w:val="20"/>
                <w:szCs w:val="20"/>
                <w:color w:val="auto"/>
              </w:rPr>
            </w:pPr>
          </w:p>
        </w:tc>
      </w:tr>
      <w:tr>
        <w:trPr>
          <w:trHeight w:val="237"/>
        </w:trPr>
        <w:tc>
          <w:tcPr>
            <w:tcW w:w="7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Arial" w:cs="Arial" w:eastAsia="Arial" w:hAnsi="Arial"/>
                <w:sz w:val="20"/>
                <w:szCs w:val="20"/>
                <w:i w:val="1"/>
                <w:iCs w:val="1"/>
                <w:color w:val="auto"/>
                <w:w w:val="97"/>
              </w:rPr>
              <w:t>(Tons in Millions)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2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8320" w:type="dxa"/>
            <w:vAlign w:val="bottom"/>
            <w:gridSpan w:val="2"/>
          </w:tcPr>
          <w:p>
            <w:pPr>
              <w:ind w:left="260"/>
              <w:spacing w:after="0"/>
              <w:rPr>
                <w:sz w:val="20"/>
                <w:szCs w:val="20"/>
                <w:color w:val="auto"/>
              </w:rPr>
            </w:pPr>
            <w:r>
              <w:rPr>
                <w:rFonts w:ascii="Arial" w:cs="Arial" w:eastAsia="Arial" w:hAnsi="Arial"/>
                <w:sz w:val="20"/>
                <w:szCs w:val="20"/>
                <w:color w:val="auto"/>
              </w:rPr>
              <w:t>East Group</w:t>
            </w:r>
          </w:p>
        </w:tc>
        <w:tc>
          <w:tcPr>
            <w:tcW w:w="660" w:type="dxa"/>
            <w:vAlign w:val="bottom"/>
          </w:tcPr>
          <w:p>
            <w:pPr>
              <w:jc w:val="right"/>
              <w:spacing w:after="0"/>
              <w:rPr>
                <w:sz w:val="20"/>
                <w:szCs w:val="20"/>
                <w:color w:val="auto"/>
              </w:rPr>
            </w:pPr>
            <w:r>
              <w:rPr>
                <w:rFonts w:ascii="Arial" w:cs="Arial" w:eastAsia="Arial" w:hAnsi="Arial"/>
                <w:sz w:val="20"/>
                <w:szCs w:val="20"/>
                <w:color w:val="auto"/>
              </w:rPr>
              <w:t>95.2</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89.4</w:t>
            </w:r>
          </w:p>
        </w:tc>
        <w:tc>
          <w:tcPr>
            <w:tcW w:w="100" w:type="dxa"/>
            <w:vAlign w:val="bottom"/>
          </w:tcPr>
          <w:p>
            <w:pPr>
              <w:spacing w:after="0"/>
              <w:rPr>
                <w:sz w:val="21"/>
                <w:szCs w:val="21"/>
                <w:color w:val="auto"/>
              </w:rPr>
            </w:pPr>
          </w:p>
        </w:tc>
      </w:tr>
      <w:tr>
        <w:trPr>
          <w:trHeight w:val="243"/>
        </w:trPr>
        <w:tc>
          <w:tcPr>
            <w:tcW w:w="83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6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51.8</w:t>
            </w:r>
          </w:p>
        </w:tc>
        <w:tc>
          <w:tcPr>
            <w:tcW w:w="2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51.8</w:t>
            </w:r>
          </w:p>
        </w:tc>
        <w:tc>
          <w:tcPr>
            <w:tcW w:w="100" w:type="dxa"/>
            <w:vAlign w:val="bottom"/>
            <w:shd w:val="clear" w:color="auto" w:fill="CFF0FC"/>
          </w:tcPr>
          <w:p>
            <w:pPr>
              <w:spacing w:after="0"/>
              <w:rPr>
                <w:sz w:val="21"/>
                <w:szCs w:val="21"/>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(2)</w:t>
            </w:r>
          </w:p>
        </w:tc>
        <w:tc>
          <w:tcPr>
            <w:tcW w:w="1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147.0</w:t>
            </w: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141.2</w:t>
            </w:r>
          </w:p>
        </w:tc>
        <w:tc>
          <w:tcPr>
            <w:tcW w:w="100" w:type="dxa"/>
            <w:vAlign w:val="bottom"/>
          </w:tcPr>
          <w:p>
            <w:pPr>
              <w:spacing w:after="0"/>
              <w:rPr>
                <w:sz w:val="20"/>
                <w:szCs w:val="20"/>
                <w:color w:val="auto"/>
              </w:rPr>
            </w:pPr>
          </w:p>
        </w:tc>
      </w:tr>
      <w:tr>
        <w:trPr>
          <w:trHeight w:val="20"/>
        </w:trPr>
        <w:tc>
          <w:tcPr>
            <w:tcW w:w="7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20"/>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23" w:lineRule="exact"/>
        <w:rPr>
          <w:rFonts w:ascii="Arial" w:cs="Arial" w:eastAsia="Arial" w:hAnsi="Arial"/>
          <w:sz w:val="15"/>
          <w:szCs w:val="15"/>
          <w:i w:val="1"/>
          <w:iCs w:val="1"/>
          <w:color w:val="auto"/>
        </w:rPr>
      </w:pPr>
    </w:p>
    <w:p>
      <w:pPr>
        <w:ind w:left="240" w:hanging="232"/>
        <w:spacing w:after="0"/>
        <w:tabs>
          <w:tab w:leader="none" w:pos="240" w:val="left"/>
        </w:tabs>
        <w:numPr>
          <w:ilvl w:val="0"/>
          <w:numId w:val="20"/>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9" w:lineRule="exact"/>
        <w:rPr>
          <w:rFonts w:ascii="Arial" w:cs="Arial" w:eastAsia="Arial" w:hAnsi="Arial"/>
          <w:sz w:val="15"/>
          <w:szCs w:val="15"/>
          <w:i w:val="1"/>
          <w:iCs w:val="1"/>
          <w:color w:val="auto"/>
        </w:rPr>
      </w:pPr>
    </w:p>
    <w:p>
      <w:pPr>
        <w:ind w:firstLine="8"/>
        <w:spacing w:after="0" w:line="260" w:lineRule="auto"/>
        <w:tabs>
          <w:tab w:leader="none" w:pos="265" w:val="left"/>
        </w:tabs>
        <w:numPr>
          <w:ilvl w:val="0"/>
          <w:numId w:val="20"/>
        </w:numPr>
        <w:rPr>
          <w:rFonts w:ascii="Arial" w:cs="Arial" w:eastAsia="Arial" w:hAnsi="Arial"/>
          <w:sz w:val="15"/>
          <w:szCs w:val="15"/>
          <w:i w:val="1"/>
          <w:iCs w:val="1"/>
          <w:color w:val="auto"/>
        </w:rPr>
      </w:pPr>
      <w:r>
        <w:rPr>
          <w:rFonts w:ascii="Arial" w:cs="Arial" w:eastAsia="Arial" w:hAnsi="Arial"/>
          <w:sz w:val="18"/>
          <w:szCs w:val="18"/>
          <w:i w:val="1"/>
          <w:iCs w:val="1"/>
          <w:color w:val="auto"/>
        </w:rPr>
        <w:t>Organic aggregates operations exclude volume and pricing data for acquisitions that have not been included in prior-year operations for the comparable period and divestitures.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20" w:type="dxa"/>
            <w:vAlign w:val="bottom"/>
            <w:gridSpan w:val="2"/>
          </w:tcPr>
          <w:p>
            <w:pPr>
              <w:spacing w:after="0"/>
              <w:rPr>
                <w:sz w:val="20"/>
                <w:szCs w:val="20"/>
                <w:color w:val="auto"/>
              </w:rPr>
            </w:pPr>
            <w:r>
              <w:rPr>
                <w:rFonts w:ascii="Arial" w:cs="Arial" w:eastAsia="Arial" w:hAnsi="Arial"/>
                <w:sz w:val="20"/>
                <w:szCs w:val="20"/>
                <w:color w:val="auto"/>
                <w:w w:val="92"/>
              </w:rPr>
              <w:t>The following table presents shipments data by product line for the Building Materials business:</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6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20" w:type="dxa"/>
            <w:vAlign w:val="bottom"/>
            <w:gridSpan w:val="4"/>
          </w:tcPr>
          <w:p>
            <w:pPr>
              <w:jc w:val="right"/>
              <w:ind w:right="61"/>
              <w:spacing w:after="0"/>
              <w:rPr>
                <w:sz w:val="20"/>
                <w:szCs w:val="20"/>
                <w:color w:val="auto"/>
              </w:rPr>
            </w:pPr>
            <w:r>
              <w:rPr>
                <w:rFonts w:ascii="Arial" w:cs="Arial" w:eastAsia="Arial" w:hAnsi="Arial"/>
                <w:sz w:val="20"/>
                <w:szCs w:val="20"/>
                <w:color w:val="auto"/>
              </w:rPr>
              <w:t>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40" w:type="dxa"/>
            <w:vAlign w:val="bottom"/>
            <w:gridSpan w:val="3"/>
          </w:tcPr>
          <w:p>
            <w:pPr>
              <w:jc w:val="right"/>
              <w:ind w:right="281"/>
              <w:spacing w:after="0"/>
              <w:rPr>
                <w:sz w:val="20"/>
                <w:szCs w:val="20"/>
                <w:color w:val="auto"/>
              </w:rPr>
            </w:pPr>
            <w:r>
              <w:rPr>
                <w:rFonts w:ascii="Arial" w:cs="Arial" w:eastAsia="Arial" w:hAnsi="Arial"/>
                <w:sz w:val="20"/>
                <w:szCs w:val="20"/>
                <w:color w:val="auto"/>
                <w:w w:val="94"/>
              </w:rPr>
              <w:t>September 30,</w:t>
            </w:r>
          </w:p>
        </w:tc>
        <w:tc>
          <w:tcPr>
            <w:tcW w:w="1120" w:type="dxa"/>
            <w:vAlign w:val="bottom"/>
            <w:gridSpan w:val="2"/>
            <w:vMerge w:val="restart"/>
          </w:tcPr>
          <w:p>
            <w:pPr>
              <w:jc w:val="right"/>
              <w:ind w:right="22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820" w:type="dxa"/>
            <w:vAlign w:val="bottom"/>
            <w:gridSpan w:val="2"/>
          </w:tcPr>
          <w:p>
            <w:pPr>
              <w:ind w:left="7400"/>
              <w:spacing w:after="0"/>
              <w:rPr>
                <w:sz w:val="20"/>
                <w:szCs w:val="20"/>
                <w:color w:val="auto"/>
              </w:rPr>
            </w:pPr>
            <w:r>
              <w:rPr>
                <w:rFonts w:ascii="Arial" w:cs="Arial" w:eastAsia="Arial" w:hAnsi="Arial"/>
                <w:sz w:val="20"/>
                <w:szCs w:val="20"/>
                <w:color w:val="auto"/>
                <w:w w:val="89"/>
              </w:rPr>
              <w:t>2021</w:t>
            </w:r>
          </w:p>
        </w:tc>
        <w:tc>
          <w:tcPr>
            <w:tcW w:w="1640" w:type="dxa"/>
            <w:vAlign w:val="bottom"/>
            <w:gridSpan w:val="3"/>
          </w:tcPr>
          <w:p>
            <w:pPr>
              <w:jc w:val="right"/>
              <w:ind w:right="20"/>
              <w:spacing w:after="0"/>
              <w:rPr>
                <w:sz w:val="20"/>
                <w:szCs w:val="20"/>
                <w:color w:val="auto"/>
              </w:rPr>
            </w:pPr>
            <w:r>
              <w:rPr>
                <w:rFonts w:ascii="Arial" w:cs="Arial" w:eastAsia="Arial" w:hAnsi="Arial"/>
                <w:sz w:val="20"/>
                <w:szCs w:val="20"/>
                <w:color w:val="auto"/>
              </w:rPr>
              <w:t>2020</w:t>
            </w: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37"/>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9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spacing w:after="0"/>
              <w:rPr>
                <w:sz w:val="20"/>
                <w:szCs w:val="20"/>
                <w:color w:val="auto"/>
              </w:rPr>
            </w:pPr>
            <w:r>
              <w:rPr>
                <w:rFonts w:ascii="Arial" w:cs="Arial" w:eastAsia="Arial" w:hAnsi="Arial"/>
                <w:sz w:val="20"/>
                <w:szCs w:val="20"/>
                <w:color w:val="auto"/>
              </w:rPr>
              <w:t>Aggregates (in millions):</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135.2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131.9</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60"/>
              <w:spacing w:after="0"/>
              <w:rPr>
                <w:sz w:val="20"/>
                <w:szCs w:val="20"/>
                <w:color w:val="auto"/>
              </w:rPr>
            </w:pPr>
            <w:r>
              <w:rPr>
                <w:rFonts w:ascii="Arial" w:cs="Arial" w:eastAsia="Arial" w:hAnsi="Arial"/>
                <w:sz w:val="20"/>
                <w:szCs w:val="20"/>
                <w:color w:val="auto"/>
              </w:rPr>
              <w:t>Internal tons used in other product lines</w:t>
            </w:r>
          </w:p>
        </w:tc>
        <w:tc>
          <w:tcPr>
            <w:tcW w:w="480" w:type="dxa"/>
            <w:vAlign w:val="bottom"/>
          </w:tcPr>
          <w:p>
            <w:pPr>
              <w:jc w:val="right"/>
              <w:spacing w:after="0"/>
              <w:rPr>
                <w:sz w:val="20"/>
                <w:szCs w:val="20"/>
                <w:color w:val="auto"/>
              </w:rPr>
            </w:pPr>
            <w:r>
              <w:rPr>
                <w:rFonts w:ascii="Arial" w:cs="Arial" w:eastAsia="Arial" w:hAnsi="Arial"/>
                <w:sz w:val="20"/>
                <w:szCs w:val="20"/>
                <w:color w:val="auto"/>
              </w:rPr>
              <w:t>11.8</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9.3</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aggregates tons</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147.0</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7"/>
              </w:rPr>
              <w:t>141.2</w:t>
            </w:r>
          </w:p>
        </w:tc>
        <w:tc>
          <w:tcPr>
            <w:tcW w:w="130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millions):</w:t>
            </w:r>
          </w:p>
        </w:tc>
        <w:tc>
          <w:tcPr>
            <w:tcW w:w="4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140"/>
              <w:spacing w:after="0"/>
              <w:rPr>
                <w:sz w:val="20"/>
                <w:szCs w:val="20"/>
                <w:color w:val="auto"/>
              </w:rPr>
            </w:pPr>
            <w:r>
              <w:rPr>
                <w:rFonts w:ascii="Arial" w:cs="Arial" w:eastAsia="Arial" w:hAnsi="Arial"/>
                <w:sz w:val="20"/>
                <w:szCs w:val="20"/>
                <w:color w:val="auto"/>
              </w:rPr>
              <w:t>Tons to external customers</w:t>
            </w:r>
          </w:p>
        </w:tc>
        <w:tc>
          <w:tcPr>
            <w:tcW w:w="480" w:type="dxa"/>
            <w:vAlign w:val="bottom"/>
          </w:tcPr>
          <w:p>
            <w:pPr>
              <w:jc w:val="right"/>
              <w:spacing w:after="0"/>
              <w:rPr>
                <w:sz w:val="20"/>
                <w:szCs w:val="20"/>
                <w:color w:val="auto"/>
              </w:rPr>
            </w:pPr>
            <w:r>
              <w:rPr>
                <w:rFonts w:ascii="Arial" w:cs="Arial" w:eastAsia="Arial" w:hAnsi="Arial"/>
                <w:sz w:val="20"/>
                <w:szCs w:val="20"/>
                <w:color w:val="auto"/>
              </w:rPr>
              <w:t>1.8</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20"/>
                <w:szCs w:val="20"/>
                <w:color w:val="auto"/>
              </w:rPr>
              <w:t>Internal tons used in ready mixed concrete</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0.9</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cement tons</w:t>
            </w:r>
          </w:p>
        </w:tc>
        <w:tc>
          <w:tcPr>
            <w:tcW w:w="9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260" w:type="dxa"/>
            <w:vAlign w:val="bottom"/>
            <w:tcBorders>
              <w:bottom w:val="single" w:sz="8" w:color="CFF0FC"/>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130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20"/>
                <w:szCs w:val="20"/>
                <w:color w:val="auto"/>
              </w:rPr>
              <w:t>0.9%</w:t>
            </w:r>
          </w:p>
        </w:tc>
        <w:tc>
          <w:tcPr>
            <w:tcW w:w="0" w:type="dxa"/>
            <w:vAlign w:val="bottom"/>
          </w:tcPr>
          <w:p>
            <w:pPr>
              <w:spacing w:after="0"/>
              <w:rPr>
                <w:sz w:val="1"/>
                <w:szCs w:val="1"/>
                <w:color w:val="auto"/>
              </w:rPr>
            </w:pPr>
          </w:p>
        </w:tc>
      </w:tr>
      <w:tr>
        <w:trPr>
          <w:trHeight w:val="224"/>
        </w:trPr>
        <w:tc>
          <w:tcPr>
            <w:tcW w:w="6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820" w:type="dxa"/>
            <w:vAlign w:val="bottom"/>
            <w:gridSpan w:val="2"/>
          </w:tcPr>
          <w:p>
            <w:pPr>
              <w:spacing w:after="0"/>
              <w:rPr>
                <w:sz w:val="20"/>
                <w:szCs w:val="20"/>
                <w:color w:val="auto"/>
              </w:rPr>
            </w:pPr>
            <w:r>
              <w:rPr>
                <w:rFonts w:ascii="Arial" w:cs="Arial" w:eastAsia="Arial" w:hAnsi="Arial"/>
                <w:sz w:val="20"/>
                <w:szCs w:val="20"/>
                <w:color w:val="auto"/>
              </w:rPr>
              <w:t>Ready Mixed Concrete (in millions of cubic yards)</w:t>
            </w:r>
          </w:p>
        </w:tc>
        <w:tc>
          <w:tcPr>
            <w:tcW w:w="480" w:type="dxa"/>
            <w:vAlign w:val="bottom"/>
          </w:tcPr>
          <w:p>
            <w:pPr>
              <w:jc w:val="right"/>
              <w:spacing w:after="0"/>
              <w:rPr>
                <w:sz w:val="20"/>
                <w:szCs w:val="20"/>
                <w:color w:val="auto"/>
              </w:rPr>
            </w:pPr>
            <w:r>
              <w:rPr>
                <w:rFonts w:ascii="Arial" w:cs="Arial" w:eastAsia="Arial" w:hAnsi="Arial"/>
                <w:sz w:val="20"/>
                <w:szCs w:val="20"/>
                <w:color w:val="auto"/>
              </w:rPr>
              <w:t>7.2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6.1</w:t>
            </w:r>
          </w:p>
        </w:tc>
        <w:tc>
          <w:tcPr>
            <w:tcW w:w="1300" w:type="dxa"/>
            <w:vAlign w:val="bottom"/>
            <w:gridSpan w:val="3"/>
          </w:tcPr>
          <w:p>
            <w:pPr>
              <w:jc w:val="right"/>
              <w:ind w:right="20"/>
              <w:spacing w:after="0"/>
              <w:rPr>
                <w:sz w:val="20"/>
                <w:szCs w:val="20"/>
                <w:color w:val="auto"/>
              </w:rPr>
            </w:pPr>
            <w:r>
              <w:rPr>
                <w:rFonts w:ascii="Arial" w:cs="Arial" w:eastAsia="Arial" w:hAnsi="Arial"/>
                <w:sz w:val="20"/>
                <w:szCs w:val="20"/>
                <w:color w:val="auto"/>
              </w:rPr>
              <w:t>18.7%</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spacing w:after="0"/>
              <w:rPr>
                <w:sz w:val="20"/>
                <w:szCs w:val="20"/>
                <w:color w:val="auto"/>
              </w:rPr>
            </w:pPr>
            <w:r>
              <w:rPr>
                <w:rFonts w:ascii="Arial" w:cs="Arial" w:eastAsia="Arial" w:hAnsi="Arial"/>
                <w:sz w:val="20"/>
                <w:szCs w:val="20"/>
                <w:color w:val="auto"/>
              </w:rPr>
              <w:t>Asphalt (in millions):</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Tons to external customers</w:t>
            </w: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gridSpan w:val="2"/>
          </w:tcPr>
          <w:p>
            <w:pPr>
              <w:ind w:left="260"/>
              <w:spacing w:after="0"/>
              <w:rPr>
                <w:sz w:val="20"/>
                <w:szCs w:val="20"/>
                <w:color w:val="auto"/>
              </w:rPr>
            </w:pPr>
            <w:r>
              <w:rPr>
                <w:rFonts w:ascii="Arial" w:cs="Arial" w:eastAsia="Arial" w:hAnsi="Arial"/>
                <w:sz w:val="20"/>
                <w:szCs w:val="20"/>
                <w:color w:val="auto"/>
              </w:rPr>
              <w:t>Internal tons used in paving business</w:t>
            </w:r>
          </w:p>
        </w:tc>
        <w:tc>
          <w:tcPr>
            <w:tcW w:w="480" w:type="dxa"/>
            <w:vAlign w:val="bottom"/>
          </w:tcPr>
          <w:p>
            <w:pPr>
              <w:jc w:val="right"/>
              <w:spacing w:after="0"/>
              <w:rPr>
                <w:sz w:val="20"/>
                <w:szCs w:val="20"/>
                <w:color w:val="auto"/>
              </w:rPr>
            </w:pPr>
            <w:r>
              <w:rPr>
                <w:rFonts w:ascii="Arial" w:cs="Arial" w:eastAsia="Arial" w:hAnsi="Arial"/>
                <w:sz w:val="20"/>
                <w:szCs w:val="20"/>
                <w:color w:val="auto"/>
              </w:rPr>
              <w:t>1.5</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2.0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4.8</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130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84.8%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20"/>
                <w:szCs w:val="20"/>
                <w:color w:val="auto"/>
                <w:w w:val="91"/>
              </w:rPr>
              <w:t>Nine Months Ended</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6"/>
        </w:trPr>
        <w:tc>
          <w:tcPr>
            <w:tcW w:w="4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6"/>
              </w:rPr>
              <w:t>September 30,</w:t>
            </w:r>
          </w:p>
        </w:tc>
        <w:tc>
          <w:tcPr>
            <w:tcW w:w="13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438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20"/>
                <w:szCs w:val="20"/>
                <w:color w:val="auto"/>
              </w:rPr>
              <w:t>2020</w:t>
            </w:r>
          </w:p>
        </w:tc>
        <w:tc>
          <w:tcPr>
            <w:tcW w:w="40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180" w:type="dxa"/>
            <w:vAlign w:val="bottom"/>
            <w:tcBorders>
              <w:bottom w:val="single" w:sz="8" w:color="CFF0FC"/>
            </w:tcBorders>
          </w:tcPr>
          <w:p>
            <w:pPr>
              <w:spacing w:after="0"/>
              <w:rPr>
                <w:sz w:val="20"/>
                <w:szCs w:val="20"/>
                <w:color w:val="auto"/>
              </w:rPr>
            </w:pPr>
          </w:p>
        </w:tc>
      </w:tr>
      <w:tr>
        <w:trPr>
          <w:trHeight w:val="236"/>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Aggregates (per ton)</w:t>
            </w:r>
          </w:p>
        </w:tc>
        <w:tc>
          <w:tcPr>
            <w:tcW w:w="1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93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15.08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14.73</w:t>
            </w:r>
          </w:p>
        </w:tc>
        <w:tc>
          <w:tcPr>
            <w:tcW w:w="4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r>
      <w:tr>
        <w:trPr>
          <w:trHeight w:val="243"/>
        </w:trPr>
        <w:tc>
          <w:tcPr>
            <w:tcW w:w="4380" w:type="dxa"/>
            <w:vAlign w:val="bottom"/>
          </w:tcPr>
          <w:p>
            <w:pPr>
              <w:spacing w:after="0"/>
              <w:rPr>
                <w:sz w:val="20"/>
                <w:szCs w:val="20"/>
                <w:color w:val="auto"/>
              </w:rPr>
            </w:pPr>
            <w:r>
              <w:rPr>
                <w:rFonts w:ascii="Arial" w:cs="Arial" w:eastAsia="Arial" w:hAnsi="Arial"/>
                <w:sz w:val="20"/>
                <w:szCs w:val="20"/>
                <w:color w:val="auto"/>
              </w:rPr>
              <w:t>Cement (per ton)</w:t>
            </w:r>
          </w:p>
        </w:tc>
        <w:tc>
          <w:tcPr>
            <w:tcW w:w="2340" w:type="dxa"/>
            <w:vAlign w:val="bottom"/>
            <w:gridSpan w:val="2"/>
          </w:tcPr>
          <w:p>
            <w:pPr>
              <w:jc w:val="right"/>
              <w:ind w:right="93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w w:val="94"/>
              </w:rPr>
              <w:t>120.29</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113.83</w:t>
            </w:r>
          </w:p>
        </w:tc>
        <w:tc>
          <w:tcPr>
            <w:tcW w:w="4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5.7%</w:t>
            </w:r>
          </w:p>
        </w:tc>
      </w:tr>
      <w:tr>
        <w:trPr>
          <w:trHeight w:val="243"/>
        </w:trPr>
        <w:tc>
          <w:tcPr>
            <w:tcW w:w="438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2340" w:type="dxa"/>
            <w:vAlign w:val="bottom"/>
            <w:gridSpan w:val="2"/>
            <w:shd w:val="clear" w:color="auto" w:fill="CFF0FC"/>
          </w:tcPr>
          <w:p>
            <w:pPr>
              <w:jc w:val="right"/>
              <w:ind w:right="932"/>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114.59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113.75</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0.7%</w:t>
            </w:r>
          </w:p>
        </w:tc>
      </w:tr>
      <w:tr>
        <w:trPr>
          <w:trHeight w:val="250"/>
        </w:trPr>
        <w:tc>
          <w:tcPr>
            <w:tcW w:w="4380" w:type="dxa"/>
            <w:vAlign w:val="bottom"/>
          </w:tcPr>
          <w:p>
            <w:pPr>
              <w:spacing w:after="0"/>
              <w:rPr>
                <w:sz w:val="20"/>
                <w:szCs w:val="20"/>
                <w:color w:val="auto"/>
              </w:rPr>
            </w:pPr>
            <w:r>
              <w:rPr>
                <w:rFonts w:ascii="Arial" w:cs="Arial" w:eastAsia="Arial" w:hAnsi="Arial"/>
                <w:sz w:val="20"/>
                <w:szCs w:val="20"/>
                <w:color w:val="auto"/>
              </w:rPr>
              <w:t>Asphalt (per ton)</w:t>
            </w:r>
          </w:p>
        </w:tc>
        <w:tc>
          <w:tcPr>
            <w:tcW w:w="2340" w:type="dxa"/>
            <w:vAlign w:val="bottom"/>
            <w:gridSpan w:val="2"/>
          </w:tcPr>
          <w:p>
            <w:pPr>
              <w:jc w:val="right"/>
              <w:ind w:right="932"/>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48.77</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47.99</w:t>
            </w:r>
          </w:p>
        </w:tc>
        <w:tc>
          <w:tcPr>
            <w:tcW w:w="40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1.6%</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Aggregates Product Line End-Use Markets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nine months ended September 30, 2021, organic aggregates shipments to the infrastructure market accounted for 34% of aggregates volumes and declined 5% compared to the prior-year period, primarily attributable to weather-impacted project delays, timing of projects and third-party logistical challenges.</w:t>
      </w:r>
    </w:p>
    <w:p>
      <w:pPr>
        <w:spacing w:after="0" w:line="7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Organic aggregates shipments to the nonresidential market increased 9%, driven by robust warehouse and data center activity. The nonresidential market represented 36% of year-to-date organic aggregates shipments.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Organic aggregates shipments to the residential market increased 9%, reflecting sustained robust housing demand and low available resale inventory. The residential market accounted for 25% of year-to-date organic aggregates shipments.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5% of year-to-date organic aggregates shipments. Volumes to this end use decreased 10%, driven by lower ballast shipments to Class I railroads.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 Product Lines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nine months ended September 30, 2021, aggregates shipments increased 4.1%, reflecting strong construction activity in the Carolinas, Georgia, Florida and Maryland. Pricing increased 2.4% compared with the prior-year period which offset higher energy and operating costs leading to a modest 20-basis-point improvement in aggregates product gross margin to 30.8%. Aggregates shipments increased 2.0% and pricing increased 2.9% on an organic basis.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nine months ended September 30, 2021, cement shipments increased 0.9% and pricing increased 5.7% compared with the prior-year period. On a mix-adjusted basis, pricing increased 4.3%. Higher kiln maintenance costs, storm-related incremental costs and inefficiencies caused by weather-related shut downs, coupled with an increase in energy and raw material costs contributed to a 700-basis-point decline in cement product gross margin to 28.3%.</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Ready mixed concrete shipments increased 18.7%, or 14.2% organically, driven by higher volumes from large projects and continued strong demand. Ready mixed concrete pricing for the nine months ended September 30, 2021 increased 0.7%. Asphalt shipments improved 84.8% compared with the prior-year period, attributable to incremental volumes from the acquired Tiller operations. Asphalt pricing increased 1.6% reflecting increased pricing from organic asphalt operations.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the nine months ended September 30, 2021, Magnesia Specialties reported product revenues of $207.1 million compared with $164.0 million for the prior-year period reflecting improved demand for chemicals and lime products compared with a COVID-19-challenged prior-year period. Product gross profit was $84.4 million compared with $65.3 million, primarily driven by higher volumes and revenues from improving domestic steel production and global demand for magnesia chemicals products. Product line gross margin for the nine months ended September 30, 2021, was 40.7%,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a 90-basis-point increase versus the prior-year period. Earnings from operations were $69.8 million compared with $51.2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nine months ended September 30, 2021, consolidated SG&amp;A was 6.3% of total revenues compared with 6.2% in 2020. During the first nine months of 2021, the Company incurred $1.8 million in COVID-19-related expenses compared with $4.8 million in the prior-year period for enhanced cleaning and sanitizing protocols across the Company’s operations, which are recorded in SG&amp;A. The Company incurred $18.0 million of acquisition-related expenses for the nine months ended September 30, 2021. Earnings from operations for the nine months ended September 30 were $763.7 million in 2021 compared with $764.8 million in 2020.</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the nine months ended September 30, consolidated other operating income, net, was income of $28.2 million and income of $59.6 million in 2021 and 2020, respectively. The 2021 income includes the $12.3 million gain on the sale of the former corporate headquarters. The 2020 amount included $69.9 million of nonrecurring gains on the sales of investment land and divested assets.</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nine months ended September 30, other nonoperating income, net, was $23.8 million in 2021 and $5.9 million in 2020. The 2021 amount reflected $11.8 million of lower pension expense compared with the prior year. The 2020 amount included an expense of $5.6 million to finance third-party railroad track maintenance.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nine months ended September 30, 2021, the effective income tax rate was 20.6%, which included a $2.9 million discrete benefit for research and development tax credits. For the nine months ended September 30, 2020, the effective income tax rate of 21.0% reflected a $6.9 million discrete benefit from financing third-party railroad track maintenance. In exchange, the Company received a federal income tax credit and deduction.</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Cash provided by operating activities for the nine months ended September 30, 2021 and 2020 was $780.3 million and $684.0 million, respectively. Operating cash flow is primarily derived from consolidated net earnings before deducting depreciation, depletion and amortization, and the impact of changes in working capital. Depreciation, depletion and amortization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spacing w:after="0"/>
              <w:rPr>
                <w:sz w:val="21"/>
                <w:szCs w:val="21"/>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color w:val="auto"/>
                <w:w w:val="91"/>
              </w:rPr>
              <w:t>Nine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77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right="443"/>
              <w:spacing w:after="0"/>
              <w:rPr>
                <w:sz w:val="20"/>
                <w:szCs w:val="20"/>
                <w:color w:val="auto"/>
              </w:rPr>
            </w:pPr>
            <w:r>
              <w:rPr>
                <w:rFonts w:ascii="Arial" w:cs="Arial" w:eastAsia="Arial" w:hAnsi="Arial"/>
                <w:sz w:val="20"/>
                <w:szCs w:val="20"/>
                <w:color w:val="auto"/>
                <w:w w:val="86"/>
              </w:rPr>
              <w:t>September 30,</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77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2021</w:t>
            </w: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20"/>
                <w:szCs w:val="20"/>
                <w:color w:val="auto"/>
              </w:rPr>
              <w:t>2020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6"/>
        </w:trPr>
        <w:tc>
          <w:tcPr>
            <w:tcW w:w="7700" w:type="dxa"/>
            <w:vAlign w:val="bottom"/>
          </w:tcPr>
          <w:p>
            <w:pPr>
              <w:spacing w:after="0"/>
              <w:rPr>
                <w:sz w:val="20"/>
                <w:szCs w:val="20"/>
                <w:color w:val="auto"/>
              </w:rPr>
            </w:pPr>
          </w:p>
        </w:tc>
        <w:tc>
          <w:tcPr>
            <w:tcW w:w="2900" w:type="dxa"/>
            <w:vAlign w:val="bottom"/>
            <w:gridSpan w:val="5"/>
          </w:tcPr>
          <w:p>
            <w:pPr>
              <w:jc w:val="center"/>
              <w:ind w:left="401"/>
              <w:spacing w:after="0"/>
              <w:rPr>
                <w:sz w:val="20"/>
                <w:szCs w:val="20"/>
                <w:color w:val="auto"/>
              </w:rPr>
            </w:pPr>
            <w:r>
              <w:rPr>
                <w:rFonts w:ascii="Arial" w:cs="Arial" w:eastAsia="Arial" w:hAnsi="Arial"/>
                <w:sz w:val="20"/>
                <w:szCs w:val="20"/>
                <w:i w:val="1"/>
                <w:iCs w:val="1"/>
                <w:color w:val="auto"/>
                <w:w w:val="97"/>
              </w:rPr>
              <w:t>(Dollars in Millions)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1040" w:type="dxa"/>
            <w:vAlign w:val="bottom"/>
            <w:shd w:val="clear" w:color="auto" w:fill="CFF0FC"/>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262.1</w:t>
            </w:r>
          </w:p>
        </w:tc>
        <w:tc>
          <w:tcPr>
            <w:tcW w:w="3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863"/>
              <w:spacing w:after="0"/>
              <w:rPr>
                <w:sz w:val="20"/>
                <w:szCs w:val="20"/>
                <w:color w:val="auto"/>
              </w:rPr>
            </w:pPr>
            <w:r>
              <w:rPr>
                <w:rFonts w:ascii="Arial" w:cs="Arial" w:eastAsia="Arial" w:hAnsi="Arial"/>
                <w:sz w:val="20"/>
                <w:szCs w:val="2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251.1</w:t>
            </w:r>
          </w:p>
        </w:tc>
        <w:tc>
          <w:tcPr>
            <w:tcW w:w="12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20"/>
                <w:szCs w:val="20"/>
                <w:color w:val="auto"/>
              </w:rPr>
              <w:t>Depletion</w:t>
            </w: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29.5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26.2</w:t>
            </w:r>
          </w:p>
        </w:tc>
        <w:tc>
          <w:tcPr>
            <w:tcW w:w="120" w:type="dxa"/>
            <w:vAlign w:val="bottom"/>
          </w:tcPr>
          <w:p>
            <w:pPr>
              <w:spacing w:after="0"/>
              <w:rPr>
                <w:sz w:val="21"/>
                <w:szCs w:val="21"/>
                <w:color w:val="auto"/>
              </w:rPr>
            </w:pPr>
          </w:p>
        </w:tc>
      </w:tr>
      <w:tr>
        <w:trPr>
          <w:trHeight w:val="243"/>
        </w:trPr>
        <w:tc>
          <w:tcPr>
            <w:tcW w:w="770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14.9</w:t>
            </w:r>
          </w:p>
        </w:tc>
        <w:tc>
          <w:tcPr>
            <w:tcW w:w="120" w:type="dxa"/>
            <w:vAlign w:val="bottom"/>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r>
              <w:rPr>
                <w:rFonts w:ascii="Arial" w:cs="Arial" w:eastAsia="Arial" w:hAnsi="Arial"/>
                <w:sz w:val="20"/>
                <w:szCs w:val="20"/>
                <w:color w:val="auto"/>
              </w:rPr>
              <w:t>Total</w:t>
            </w: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320.0</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6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5"/>
              </w:rPr>
              <w:t>292.2</w:t>
            </w:r>
          </w:p>
        </w:tc>
        <w:tc>
          <w:tcPr>
            <w:tcW w:w="12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seasonal nature of construction activity impacts the Company’s interim operating cash flow when compared with the full year. Full-year 2020 net cash provided by operating activities was $1.05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nine months ended September 30, 2021 and 2020, the Company paid $321.3 million and $250.8 million, respectively, for capital investments.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did not repurchase any shares of common stock during the first nine months of 2021. At September 30, 2021, 13,520,952 shares of common stock can be purchased under the Company’s repurchase authorization.</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April 30, 2021, the Company completed the acquisition of Tiller, a leading aggregates and hot mix asphalt supplier in the Minneapolis/St. Paul region, one of the largest and fastest growing midwestern metropolitan areas. The acquired operations complement the Company’s existing Central Division’s product offerings in the surrounding areas. The Company financed the acquisition using available cash and borrowings under its credit facilities.</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On July 30, 2021, the Company acquired assets of SCC. SCC is a leading producer of recycled concrete in the Houston area, one of the country’s largest addressable aggregates markets. Recycled concrete is principally used as a base aggregates product in infrastructure, commercial and residential construction applications. The Company financed the acquisition using available cash.</w:t>
      </w:r>
    </w:p>
    <w:p>
      <w:pPr>
        <w:spacing w:after="0" w:line="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July 2, 2021, the Company issued $700 million aggregate principal amount of 0.650% Senior Notes due 2023 (the 0.650% Senior Notes), $900 million aggregate principal amount of 2.400% Senior Notes due 2031 (the 2.400% Senior Notes) and $900 million aggregate principal amount of 3.200% Senior Notes due 2051 (the 3.200% Senior Notes) and, together with the 0.650% Senior Notes and the 2.400% Senior Notes (the Senior Notes). The Company used the net proceeds for the acquisition of the Lehigh West Region business, which closed on October 1, 2021, and for general corporate purposes. See Note 6 for further information regarding the Senior Notes.</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through a wholly-owned special-purpose subsidiary, has a $400 million trade receivable securitization facility (the Trade Receivable Facility). On September 22, 2021, the Company extended the maturity of the Trade Receivable Facility to September 21, 2022. The Trade Receivable Facility contains a cross-default provision to the Company’s other debt agreements. Subject to certain conditions, including lenders providing the requisite commitments, the Trade Receivable Facility may be increased to a borrowing base not to exceed $500 million.</w:t>
      </w:r>
    </w:p>
    <w:p>
      <w:pPr>
        <w:spacing w:after="0" w:line="86"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The Company has a $700 million five-year senior unsecured revolving facility (the Revolving Facility), which expires on December 5, 2024. The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Additionally, stock-based compensation expense is added back and interest income is deducted in the calculation of consolidated EBITDA. During periods that include an acquisition, pre-acquisition adjusted EBITDA of the acquired company is added to consolidated EBITDA as if the acquisition occurred on the first day of the calculation period. Certain other nonrecurring items, if they occur, can affect the calculation of consolidated EBITDA.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At September 30, 2021, the Company’s ratio of consolidated net debt-to-consolidated EBITDA, as defined by the Company’s Revolving Facility, for the trailing-twelve months was 3.49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October 1, 2020 to</w:t>
            </w:r>
          </w:p>
        </w:tc>
        <w:tc>
          <w:tcPr>
            <w:tcW w:w="0" w:type="dxa"/>
            <w:vAlign w:val="bottom"/>
          </w:tcPr>
          <w:p>
            <w:pPr>
              <w:spacing w:after="0"/>
              <w:rPr>
                <w:sz w:val="1"/>
                <w:szCs w:val="1"/>
                <w:color w:val="auto"/>
              </w:rPr>
            </w:pPr>
          </w:p>
        </w:tc>
      </w:tr>
      <w:tr>
        <w:trPr>
          <w:trHeight w:val="246"/>
        </w:trPr>
        <w:tc>
          <w:tcPr>
            <w:tcW w:w="8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September 30, 2021</w:t>
            </w:r>
          </w:p>
        </w:tc>
        <w:tc>
          <w:tcPr>
            <w:tcW w:w="0" w:type="dxa"/>
            <w:vAlign w:val="bottom"/>
          </w:tcPr>
          <w:p>
            <w:pPr>
              <w:spacing w:after="0"/>
              <w:rPr>
                <w:sz w:val="1"/>
                <w:szCs w:val="1"/>
                <w:color w:val="auto"/>
              </w:rPr>
            </w:pPr>
          </w:p>
        </w:tc>
      </w:tr>
      <w:tr>
        <w:trPr>
          <w:trHeight w:val="237"/>
        </w:trPr>
        <w:tc>
          <w:tcPr>
            <w:tcW w:w="8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7"/>
              </w:rPr>
              <w:t>(Dollars in Millions)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spacing w:after="0"/>
              <w:rPr>
                <w:sz w:val="20"/>
                <w:szCs w:val="20"/>
                <w:color w:val="auto"/>
              </w:rPr>
            </w:pPr>
            <w:r>
              <w:rPr>
                <w:rFonts w:ascii="Arial" w:cs="Arial" w:eastAsia="Arial" w:hAnsi="Arial"/>
                <w:sz w:val="20"/>
                <w:szCs w:val="20"/>
                <w:color w:val="auto"/>
              </w:rPr>
              <w:t>Add back:</w:t>
            </w: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Arial" w:cs="Arial" w:eastAsia="Arial" w:hAnsi="Arial"/>
                <w:sz w:val="20"/>
                <w:szCs w:val="20"/>
                <w:color w:val="auto"/>
              </w:rPr>
              <w:t>Income tax expense</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166.8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416.7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Arial" w:cs="Arial" w:eastAsia="Arial" w:hAnsi="Arial"/>
                <w:sz w:val="20"/>
                <w:szCs w:val="20"/>
                <w:color w:val="auto"/>
              </w:rPr>
              <w:t>Stock-based compensation expense</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40.6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Acquisition-related expenses</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900" w:type="dxa"/>
            <w:vAlign w:val="bottom"/>
          </w:tcPr>
          <w:p>
            <w:pPr>
              <w:ind w:left="260"/>
              <w:spacing w:after="0" w:line="227" w:lineRule="exact"/>
              <w:rPr>
                <w:sz w:val="20"/>
                <w:szCs w:val="20"/>
                <w:color w:val="auto"/>
              </w:rPr>
            </w:pPr>
            <w:r>
              <w:rPr>
                <w:rFonts w:ascii="Arial" w:cs="Arial" w:eastAsia="Arial" w:hAnsi="Arial"/>
                <w:sz w:val="20"/>
                <w:szCs w:val="20"/>
                <w:color w:val="auto"/>
              </w:rPr>
              <w:t>EBITDA related to acquired operations (Pre-acquisition</w:t>
            </w:r>
          </w:p>
        </w:tc>
        <w:tc>
          <w:tcPr>
            <w:tcW w:w="1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900" w:type="dxa"/>
            <w:vAlign w:val="bottom"/>
          </w:tcPr>
          <w:p>
            <w:pPr>
              <w:ind w:left="400"/>
              <w:spacing w:after="0"/>
              <w:rPr>
                <w:sz w:val="20"/>
                <w:szCs w:val="20"/>
                <w:color w:val="auto"/>
              </w:rPr>
            </w:pPr>
            <w:r>
              <w:rPr>
                <w:rFonts w:ascii="Arial" w:cs="Arial" w:eastAsia="Arial" w:hAnsi="Arial"/>
                <w:sz w:val="20"/>
                <w:szCs w:val="20"/>
                <w:color w:val="auto"/>
              </w:rPr>
              <w:t>October 1, 2020 to July 31, 2021)</w:t>
            </w: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20"/>
                <w:szCs w:val="20"/>
                <w:color w:val="auto"/>
              </w:rPr>
              <w:t>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shd w:val="clear" w:color="auto" w:fill="CFF0FC"/>
          </w:tcPr>
          <w:p>
            <w:pPr>
              <w:spacing w:after="0"/>
              <w:rPr>
                <w:sz w:val="20"/>
                <w:szCs w:val="20"/>
                <w:color w:val="auto"/>
              </w:rPr>
            </w:pPr>
            <w:r>
              <w:rPr>
                <w:rFonts w:ascii="Arial" w:cs="Arial" w:eastAsia="Arial" w:hAnsi="Arial"/>
                <w:sz w:val="20"/>
                <w:szCs w:val="20"/>
                <w:color w:val="auto"/>
              </w:rPr>
              <w:t>Deduct:</w:t>
            </w:r>
          </w:p>
        </w:tc>
        <w:tc>
          <w:tcPr>
            <w:tcW w:w="180" w:type="dxa"/>
            <w:vAlign w:val="bottom"/>
            <w:shd w:val="clear" w:color="auto" w:fill="CFF0FC"/>
          </w:tcPr>
          <w:p>
            <w:pPr>
              <w:spacing w:after="0"/>
              <w:rPr>
                <w:sz w:val="21"/>
                <w:szCs w:val="21"/>
                <w:color w:val="auto"/>
              </w:rPr>
            </w:pPr>
          </w:p>
        </w:tc>
        <w:tc>
          <w:tcPr>
            <w:tcW w:w="2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180" w:type="dxa"/>
            <w:vAlign w:val="bottom"/>
          </w:tcPr>
          <w:p>
            <w:pPr>
              <w:spacing w:after="0"/>
              <w:rPr>
                <w:sz w:val="21"/>
                <w:szCs w:val="21"/>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20"/>
                <w:szCs w:val="20"/>
                <w:color w:val="auto"/>
              </w:rPr>
              <w:t>(0.3)</w:t>
            </w:r>
          </w:p>
        </w:tc>
        <w:tc>
          <w:tcPr>
            <w:tcW w:w="0" w:type="dxa"/>
            <w:vAlign w:val="bottom"/>
          </w:tcPr>
          <w:p>
            <w:pPr>
              <w:spacing w:after="0"/>
              <w:rPr>
                <w:sz w:val="1"/>
                <w:szCs w:val="1"/>
                <w:color w:val="auto"/>
              </w:rPr>
            </w:pPr>
          </w:p>
        </w:tc>
      </w:tr>
      <w:tr>
        <w:trPr>
          <w:trHeight w:val="237"/>
        </w:trPr>
        <w:tc>
          <w:tcPr>
            <w:tcW w:w="8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1,523.4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20"/>
                <w:szCs w:val="20"/>
                <w:color w:val="auto"/>
              </w:rPr>
              <w:t>Consolidated net debt, as defined and including debt for which the Company</w:t>
            </w:r>
          </w:p>
        </w:tc>
        <w:tc>
          <w:tcPr>
            <w:tcW w:w="1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8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is a co-borrower, at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5,319.5</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9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net debt-to-consolidated EBITDA, as defined by the Company’s</w:t>
            </w:r>
          </w:p>
        </w:tc>
        <w:tc>
          <w:tcPr>
            <w:tcW w:w="18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9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Revolving Facility, at September 30, 2021 for the trailing-twelve months EBITDA</w:t>
            </w:r>
          </w:p>
        </w:tc>
        <w:tc>
          <w:tcPr>
            <w:tcW w:w="18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3.49 times</w:t>
            </w:r>
          </w:p>
        </w:tc>
        <w:tc>
          <w:tcPr>
            <w:tcW w:w="0" w:type="dxa"/>
            <w:vAlign w:val="bottom"/>
          </w:tcPr>
          <w:p>
            <w:pPr>
              <w:spacing w:after="0"/>
              <w:rPr>
                <w:sz w:val="1"/>
                <w:szCs w:val="1"/>
                <w:color w:val="auto"/>
              </w:rPr>
            </w:pPr>
          </w:p>
        </w:tc>
      </w:tr>
      <w:tr>
        <w:trPr>
          <w:trHeight w:val="20"/>
        </w:trPr>
        <w:tc>
          <w:tcPr>
            <w:tcW w:w="8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Inclusive of one-time, non-recurring and transaction-related expenses.</w:t>
      </w:r>
    </w:p>
    <w:p>
      <w:pPr>
        <w:spacing w:after="0" w:line="2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of a default on the Ratio, the lenders can terminate the Revolving Facility and Trade Receivable Facility and declare any outstanding balances as immediately due. There was $20 million outstanding under the Trade Receivable Facility and no borrowings under the Revolving Facility as of September 30, 2021.</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At September 30, 2021, the Company had $1,077.4 million of unused borrowing capacity under its Revolving Facility and Trade Receivable Facility, subject to complying with the related leverage covenant. Historically, the Company has successfully extended the maturity dates of these credit facilities. Further, as of September 30, 2021, the Company does not have any publicly-traded debt that matures prior to 2023.</w:t>
      </w:r>
    </w:p>
    <w:p>
      <w:pPr>
        <w:spacing w:after="0" w:line="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Coronavirus Aid, Relief and Economic Security Act (CARES Act) was signed into law in March 2020 and provided liquidity support for businesses. Through the CARES Act, the Company deferred payment of $27.6 million, representing the 6.2% employer share of Social Security taxes for the period from March 27, 2020 through December 31, 2020. Half of the deferred obligation will be due December 31, 2021 and the remaining half will be due December 31, 2022. There will be no interest assessed on amounts deferred.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2020. Management continues to evaluate its exposure to all operating risks on an ongoing basis.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ability of the Company to face challenges, including those posed by the COVID-19 pandemic and implementation of any such related response plans; fluctuations in COVID-19 cases in the United States and the extent that geography of outbreak primarily matches the regions in which the Company’s Building Materials business principally operates; 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 the duration, impact and severity of the impact of the COVID-19 pandemic on the Company, including the markets in which the Company does business, its suppliers, customers or other business partners as well as the Company’s employees; the economic impact of government responses to the pandemic; the performance of the United States economy, including the impact on the economy of the COVID-19 pandemic and governmental orders restricting activities imposed to prevent further outbreak of COVID-19; shipment declines resulting from economic events beyond the Company’s control; a widespread decline in aggregates pricing, including a decline in aggregates shipment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public construction; the level and timing of federal, state or local transportation or infrastructure or public projects funding, most particularly in Texas, Colorado, North Carolina, Georgia, Iowa, Florida, Minnesota and Maryland; the impact of governmental orders restricting activities imposed to prevent further outbreak of COVID-19 on travel, potentially reducing state fuel tax revenues used to fund highway projects; the United States Congress’ inability to reach agreement among themselves or with the Administration on policy issues that impact the federal budget; the ability of states and/or other entities to finance approved projects either with tax revenues or alternative financing structures; levels of construction spending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the markets the Company serves; a reduction in defense spending and the subsequent impact on construction activity on or near military bases; a decline in the commercial component of the nonresidential construction market, notably office and retail space, including a decline resulting from economic distress related to the COVID-19 pandemic; a decline in energy-related construction activity resulting from a sustained period of low global oil prices or changes in oil production patterns or capital spending, particularly in Texas; increasing residential mortgage interest rates and other factors that could result in a slowdown in residential construction; 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 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the failure of relevant government agencies to implement expected regulatory reductions; transportation availability or a sustained reduction in capital investment by the railroads, notably the availability of railcars, locomotive power and the condition of rail infrastructure to move trains to supply the Company’s Texas, Colorado, Florida, Carolinas and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(leading to reduced profit margins when compared with aggregates moved by truck); availability of trucks and licensed drivers for transport of the Company’s materials; availability and cost of construction equipment in the United States; weakening in the steel industry markets served by the Company’s dolomitic lime products; trade disputes with one or more nations impacting the U.S. economy, including the impact of tariffs on the steel industry; unplanned changes in costs or realignment of customers that introduce volatility to earnings, including the Magnesia Specialties business; proper functioning 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will not be realized or will not be realized within the expected time period, including achieving anticipated profitability to maintain compliance with the Company’s leverage ratio debt covenant; changes in tax laws, the interpretation of such laws and/or administrative practices, including acquisitions or divestitures, that would increase the Company’s tax rate; violation of the Company’s debt covenant if price and/or volumes return to previous levels of instability; downward pressure on the Company’s common stock price and its impact on goodwill impairment evaluations; the possibility of a reduction of the Company’s credit rating to non-investment grade; and other risk factors listed from time to time found in the Company’s filings with the SEC.</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should consider these forward-looking statements in light of risk factors discussed in the Company’s Annual Report on Form 10-K for the year ended December 31, 2020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its forward-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2021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looking statements, or adversely affect or be material to the Company. The Company assumes no obligation to update any such forward-looking statements.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color w:val="auto"/>
        </w:rPr>
        <w:t>Shareholders may obtain, without charge, a copy of Martin Marietta’s Annual Report on Form 10-K, as filed with the Securities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Exchange Commission for the fiscal year ended December 31, 2020, by writing to:</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4123 Parklake Avenue</w:t>
      </w:r>
    </w:p>
    <w:p>
      <w:pPr>
        <w:ind w:left="260"/>
        <w:spacing w:after="0"/>
        <w:rPr>
          <w:sz w:val="20"/>
          <w:szCs w:val="20"/>
          <w:color w:val="auto"/>
        </w:rPr>
      </w:pPr>
      <w:r>
        <w:rPr>
          <w:rFonts w:ascii="Arial" w:cs="Arial" w:eastAsia="Arial" w:hAnsi="Arial"/>
          <w:sz w:val="20"/>
          <w:szCs w:val="20"/>
          <w:color w:val="auto"/>
        </w:rPr>
        <w:t>Raleigh, North Carolina 27612</w:t>
      </w:r>
    </w:p>
    <w:p>
      <w:pPr>
        <w:spacing w:after="0" w:line="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783-4691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creates a part of, this report.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COVID-19 pandemic continues to impact the global and domestic economy. The Company’s operations have to date been considered “essential” operations under applicable governmental orders that restrict activities in an effort to prevent further outbreak of COVID-19. As such, the Company is conducting business with certain modifications, including engaging medical experts to screen those who may have had COVID-19 exposure before allowing access to sites; enhancing the cleaning and disinfection of equipment and common areas, including engaging third-party specialists to disinfect work spaces; and issuing a quarantine policy requiring employees with COVID-19 symptoms to stay home for at least 10 days, among other things.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Demand for aggregates products, particularly in the infrastructure construction market, is affected by federal, state and local budget and deficit issues. Remote working trends are reducing miles driven, which is having a negative impact on various revenue streams that fund roadway projects. Further, delays or cancellations of projects in the nonresidential and residential construction markets, which combined accounted for 61% of aggregates shipments for the nine months ended September 30, 2021, could occur if companies and consumers are unable to obtain financing for construction projects or if consumer confidence continues to be eroded by economic uncertainty.</w:t>
      </w:r>
    </w:p>
    <w:p>
      <w:pPr>
        <w:spacing w:after="0" w:line="57"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higher borrowing costs.</w:t>
      </w:r>
    </w:p>
    <w:p>
      <w:pPr>
        <w:spacing w:after="0" w:line="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Aside from these inherent risks from within its operations, the Company’s earnings are also affected by changes in short-term interest rates and changes in enacted tax laws.</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Variable-Rate Borrowing Facilities. </w:t>
      </w:r>
      <w:r>
        <w:rPr>
          <w:rFonts w:ascii="Arial" w:cs="Arial" w:eastAsia="Arial" w:hAnsi="Arial"/>
          <w:sz w:val="20"/>
          <w:szCs w:val="20"/>
          <w:color w:val="auto"/>
        </w:rPr>
        <w:t>At September 30, 2021, the Company had a $700 million Revolving Facility and a $400 million Trade</w:t>
      </w:r>
      <w:r>
        <w:rPr>
          <w:rFonts w:ascii="Arial" w:cs="Arial" w:eastAsia="Arial" w:hAnsi="Arial"/>
          <w:sz w:val="20"/>
          <w:szCs w:val="20"/>
          <w:i w:val="1"/>
          <w:iCs w:val="1"/>
          <w:color w:val="auto"/>
        </w:rPr>
        <w:t xml:space="preserve"> </w:t>
      </w:r>
      <w:r>
        <w:rPr>
          <w:rFonts w:ascii="Arial" w:cs="Arial" w:eastAsia="Arial" w:hAnsi="Arial"/>
          <w:sz w:val="20"/>
          <w:szCs w:val="20"/>
          <w:color w:val="auto"/>
        </w:rPr>
        <w:t>Receivable Facility. Borrowings under these facilities bear interest at a variable interest rate. A hypothetical 100-basis-point increase in interest rates on borrowings of $20 million, which was the collective outstanding balance at September 30, 2021, would increase interest expense by $0.2 million on an annual basis.</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2020. As of September 30, 2021, discount rates were approximately 40 basis points higher than the rate selected as of December 31, 2020, the most recent measurement date. Unless an event requires an interim remeasurement, the Company will next remeasure its pension obligation and funded status as of December 31, 2021. Changes in the discount rate and pension asset values will impact 2022 pension expense.</w:t>
      </w:r>
    </w:p>
    <w:p>
      <w:pPr>
        <w:spacing w:after="0" w:line="6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Income Tax. </w:t>
      </w:r>
      <w:r>
        <w:rPr>
          <w:rFonts w:ascii="Arial" w:cs="Arial" w:eastAsia="Arial" w:hAnsi="Arial"/>
          <w:sz w:val="20"/>
          <w:szCs w:val="20"/>
          <w:color w:val="auto"/>
        </w:rPr>
        <w:t>Any changes in enacted tax laws (such as the recent U.S. tax legislation), rules or regulatory or judicial interpretations; or any</w:t>
      </w:r>
      <w:r>
        <w:rPr>
          <w:rFonts w:ascii="Arial" w:cs="Arial" w:eastAsia="Arial" w:hAnsi="Arial"/>
          <w:sz w:val="20"/>
          <w:szCs w:val="20"/>
          <w:i w:val="1"/>
          <w:iCs w:val="1"/>
          <w:color w:val="auto"/>
        </w:rPr>
        <w:t xml:space="preserve"> </w:t>
      </w:r>
      <w:r>
        <w:rPr>
          <w:rFonts w:ascii="Arial" w:cs="Arial" w:eastAsia="Arial" w:hAnsi="Arial"/>
          <w:sz w:val="20"/>
          <w:szCs w:val="20"/>
          <w:color w:val="auto"/>
        </w:rPr>
        <w:t>change in the pronouncements relating to accounting for income taxes could materially impact our effective tax rate, tax payments, financial condition and results of operations.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2021</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electricity,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a majority of their 2021 coal requirements. Energy expense for the nine months ended September 30, 2021 increased approximately 29% compared with the prior-year period, due to increased natural gas, diesel, electricity and gasoline costs in 2021; however, any future energy prices cannot be reliably predicted. A hypothetical price change of 29% would change full year 2021 energy expense by $67 million as compared with 2020, assuming constant volumes.</w:t>
      </w:r>
    </w:p>
    <w:p>
      <w:pPr>
        <w:spacing w:after="0" w:line="8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full- year 2020 cement product revenues of $453 million, a hypothetical 10% change in sales price would impact cement product revenues by $45.3 million.</w:t>
      </w:r>
    </w:p>
    <w:p>
      <w:pPr>
        <w:spacing w:after="0" w:line="8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2021 compared with 2020, assuming constant volumes, would change the ready mixed concrete product line cost of revenues by $25.5 million. While increases in cement pricing may negatively impact the profitability of the ready mixed concrete operations, the cement business would benefit, although the positive impact may not reflect a direct correlation to the impact on the ready mixed concrete business.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Evaluation of Disclosure Controls and Procedures. </w:t>
      </w:r>
      <w:r>
        <w:rPr>
          <w:rFonts w:ascii="Arial" w:cs="Arial" w:eastAsia="Arial" w:hAnsi="Arial"/>
          <w:sz w:val="20"/>
          <w:szCs w:val="20"/>
          <w:color w:val="auto"/>
        </w:rPr>
        <w:t>As of September 30, 2021, an evaluation was performed under the supervision and with</w:t>
      </w:r>
      <w:r>
        <w:rPr>
          <w:rFonts w:ascii="Arial" w:cs="Arial" w:eastAsia="Arial" w:hAnsi="Arial"/>
          <w:sz w:val="20"/>
          <w:szCs w:val="20"/>
          <w:i w:val="1"/>
          <w:iCs w:val="1"/>
          <w:color w:val="auto"/>
        </w:rPr>
        <w:t xml:space="preserve"> </w:t>
      </w:r>
      <w:r>
        <w:rPr>
          <w:rFonts w:ascii="Arial" w:cs="Arial" w:eastAsia="Arial" w:hAnsi="Arial"/>
          <w:sz w:val="20"/>
          <w:szCs w:val="20"/>
          <w:color w:val="auto"/>
        </w:rPr>
        <w:t>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September 30, 2021.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22">
        <w:r>
          <w:rPr>
            <w:rFonts w:ascii="Arial" w:cs="Arial" w:eastAsia="Arial" w:hAnsi="Arial"/>
            <w:sz w:val="20"/>
            <w:szCs w:val="20"/>
            <w:i w:val="1"/>
            <w:iCs w:val="1"/>
            <w:u w:val="single" w:color="auto"/>
            <w:color w:val="0000EE"/>
          </w:rPr>
          <w:t>Note 10 Commitments and Contingencies, Legal and Administrative Proceedings</w:t>
        </w:r>
      </w:hyperlink>
      <w:r>
        <w:rPr>
          <w:rFonts w:ascii="Arial" w:cs="Arial" w:eastAsia="Arial" w:hAnsi="Arial"/>
          <w:sz w:val="20"/>
          <w:szCs w:val="20"/>
          <w:i w:val="1"/>
          <w:iCs w:val="1"/>
          <w:color w:val="auto"/>
        </w:rPr>
        <w:t>,</w:t>
      </w:r>
      <w:r>
        <w:rPr>
          <w:rFonts w:ascii="Arial" w:cs="Arial" w:eastAsia="Arial" w:hAnsi="Arial"/>
          <w:sz w:val="20"/>
          <w:szCs w:val="20"/>
          <w:color w:val="auto"/>
        </w:rPr>
        <w:t xml:space="preserve"> of this Form 10-Q.</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 Item 1A. Risk Factors and Forward-Looking Statements</w:t>
      </w:r>
      <w:r>
        <w:rPr>
          <w:rFonts w:ascii="Arial" w:cs="Arial" w:eastAsia="Arial" w:hAnsi="Arial"/>
          <w:sz w:val="20"/>
          <w:szCs w:val="20"/>
          <w:color w:val="auto"/>
        </w:rPr>
        <w:t xml:space="preserve"> of the Martin Marietta Annual Report on Form 10-K for the year ended December 31,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w w:val="88"/>
              </w:rPr>
              <w:t>Total Number of Shares</w:t>
            </w:r>
          </w:p>
        </w:tc>
        <w:tc>
          <w:tcPr>
            <w:tcW w:w="22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Maximum Number of</w:t>
            </w:r>
          </w:p>
        </w:tc>
      </w:tr>
      <w:tr>
        <w:trPr>
          <w:trHeight w:val="229"/>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Purchased as Part of</w:t>
            </w:r>
          </w:p>
        </w:tc>
        <w:tc>
          <w:tcPr>
            <w:tcW w:w="22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that May Yet</w:t>
            </w:r>
          </w:p>
        </w:tc>
      </w:tr>
      <w:tr>
        <w:trPr>
          <w:trHeight w:val="230"/>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ind w:left="140"/>
              <w:spacing w:after="0"/>
              <w:rPr>
                <w:sz w:val="20"/>
                <w:szCs w:val="20"/>
                <w:color w:val="auto"/>
              </w:rPr>
            </w:pPr>
            <w:r>
              <w:rPr>
                <w:rFonts w:ascii="Arial" w:cs="Arial" w:eastAsia="Arial" w:hAnsi="Arial"/>
                <w:sz w:val="18"/>
                <w:szCs w:val="18"/>
                <w:color w:val="auto"/>
              </w:rPr>
              <w:t>Total Number of</w:t>
            </w:r>
          </w:p>
        </w:tc>
        <w:tc>
          <w:tcPr>
            <w:tcW w:w="240" w:type="dxa"/>
            <w:vAlign w:val="bottom"/>
          </w:tcPr>
          <w:p>
            <w:pPr>
              <w:spacing w:after="0"/>
              <w:rPr>
                <w:sz w:val="19"/>
                <w:szCs w:val="19"/>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Average Price</w:t>
            </w: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be Purchased Under</w:t>
            </w:r>
          </w:p>
        </w:tc>
      </w:tr>
      <w:tr>
        <w:trPr>
          <w:trHeight w:val="230"/>
        </w:trPr>
        <w:tc>
          <w:tcPr>
            <w:tcW w:w="4320" w:type="dxa"/>
            <w:vAlign w:val="bottom"/>
            <w:gridSpan w:val="2"/>
          </w:tcPr>
          <w:p>
            <w:pPr>
              <w:ind w:left="1860"/>
              <w:spacing w:after="0"/>
              <w:rPr>
                <w:sz w:val="20"/>
                <w:szCs w:val="20"/>
                <w:color w:val="auto"/>
              </w:rPr>
            </w:pPr>
            <w:r>
              <w:rPr>
                <w:rFonts w:ascii="Arial" w:cs="Arial" w:eastAsia="Arial" w:hAnsi="Arial"/>
                <w:sz w:val="18"/>
                <w:szCs w:val="18"/>
                <w:color w:val="auto"/>
              </w:rPr>
              <w:t>Period</w:t>
            </w:r>
          </w:p>
        </w:tc>
        <w:tc>
          <w:tcPr>
            <w:tcW w:w="1500" w:type="dxa"/>
            <w:vAlign w:val="bottom"/>
          </w:tcPr>
          <w:p>
            <w:pPr>
              <w:ind w:left="120"/>
              <w:spacing w:after="0"/>
              <w:rPr>
                <w:sz w:val="20"/>
                <w:szCs w:val="20"/>
                <w:color w:val="auto"/>
              </w:rPr>
            </w:pPr>
            <w:r>
              <w:rPr>
                <w:rFonts w:ascii="Arial" w:cs="Arial" w:eastAsia="Arial" w:hAnsi="Arial"/>
                <w:sz w:val="18"/>
                <w:szCs w:val="18"/>
                <w:color w:val="auto"/>
                <w:w w:val="91"/>
              </w:rPr>
              <w:t>Shares Purchased</w:t>
            </w:r>
          </w:p>
        </w:tc>
        <w:tc>
          <w:tcPr>
            <w:tcW w:w="240" w:type="dxa"/>
            <w:vAlign w:val="bottom"/>
          </w:tcPr>
          <w:p>
            <w:pPr>
              <w:spacing w:after="0"/>
              <w:rPr>
                <w:sz w:val="20"/>
                <w:szCs w:val="20"/>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color w:val="auto"/>
              </w:rPr>
              <w:t>Paid per Share</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Plans or Programs</w:t>
            </w:r>
          </w:p>
        </w:tc>
        <w:tc>
          <w:tcPr>
            <w:tcW w:w="2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the Plans or Programs</w:t>
            </w:r>
          </w:p>
        </w:tc>
      </w:tr>
      <w:tr>
        <w:trPr>
          <w:trHeight w:val="223"/>
        </w:trPr>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1, 2021 - July 31, 2021</w:t>
            </w:r>
          </w:p>
        </w:tc>
        <w:tc>
          <w:tcPr>
            <w:tcW w:w="120" w:type="dxa"/>
            <w:vAlign w:val="bottom"/>
          </w:tcPr>
          <w:p>
            <w:pPr>
              <w:spacing w:after="0"/>
              <w:rPr>
                <w:sz w:val="19"/>
                <w:szCs w:val="19"/>
                <w:color w:val="auto"/>
              </w:rPr>
            </w:pPr>
          </w:p>
        </w:tc>
        <w:tc>
          <w:tcPr>
            <w:tcW w:w="15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540" w:type="dxa"/>
            <w:vAlign w:val="bottom"/>
            <w:tcBorders>
              <w:top w:val="single" w:sz="8" w:color="auto"/>
            </w:tcBorders>
          </w:tcPr>
          <w:p>
            <w:pPr>
              <w:jc w:val="right"/>
              <w:ind w:right="37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13,520,952</w:t>
            </w:r>
          </w:p>
        </w:tc>
        <w:tc>
          <w:tcPr>
            <w:tcW w:w="100" w:type="dxa"/>
            <w:vAlign w:val="bottom"/>
          </w:tcPr>
          <w:p>
            <w:pPr>
              <w:spacing w:after="0"/>
              <w:rPr>
                <w:sz w:val="19"/>
                <w:szCs w:val="19"/>
                <w:color w:val="auto"/>
              </w:rPr>
            </w:pPr>
          </w:p>
        </w:tc>
      </w:tr>
      <w:tr>
        <w:trPr>
          <w:trHeight w:val="230"/>
        </w:trPr>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1, 2021 - August 31, 2021</w:t>
            </w:r>
          </w:p>
        </w:tc>
        <w:tc>
          <w:tcPr>
            <w:tcW w:w="1500" w:type="dxa"/>
            <w:vAlign w:val="bottom"/>
            <w:shd w:val="clear" w:color="auto" w:fill="CFF0FC"/>
          </w:tcPr>
          <w:p>
            <w:pPr>
              <w:ind w:left="1320"/>
              <w:spacing w:after="0"/>
              <w:rPr>
                <w:sz w:val="20"/>
                <w:szCs w:val="20"/>
                <w:color w:val="auto"/>
              </w:rPr>
            </w:pPr>
            <w:r>
              <w:rPr>
                <w:rFonts w:ascii="Arial" w:cs="Arial" w:eastAsia="Arial" w:hAnsi="Arial"/>
                <w:sz w:val="18"/>
                <w:szCs w:val="18"/>
                <w:color w:val="auto"/>
                <w:w w:val="88"/>
              </w:rPr>
              <w:t>—</w:t>
            </w:r>
          </w:p>
        </w:tc>
        <w:tc>
          <w:tcPr>
            <w:tcW w:w="780" w:type="dxa"/>
            <w:vAlign w:val="bottom"/>
            <w:gridSpan w:val="2"/>
            <w:shd w:val="clear" w:color="auto" w:fill="CFF0FC"/>
          </w:tcPr>
          <w:p>
            <w:pPr>
              <w:jc w:val="right"/>
              <w:ind w:right="37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13,520,952</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September 1, 2021 - September 30, 2021</w:t>
            </w:r>
          </w:p>
        </w:tc>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88"/>
              </w:rPr>
              <w:t>—</w:t>
            </w:r>
          </w:p>
        </w:tc>
        <w:tc>
          <w:tcPr>
            <w:tcW w:w="780" w:type="dxa"/>
            <w:vAlign w:val="bottom"/>
            <w:tcBorders>
              <w:bottom w:val="single" w:sz="8" w:color="CFF0FC"/>
            </w:tcBorders>
            <w:gridSpan w:val="2"/>
          </w:tcPr>
          <w:p>
            <w:pPr>
              <w:jc w:val="right"/>
              <w:ind w:right="3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gridSpan w:val="2"/>
          </w:tcPr>
          <w:p>
            <w:pPr>
              <w:ind w:left="4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13,520,952</w:t>
            </w:r>
          </w:p>
        </w:tc>
        <w:tc>
          <w:tcPr>
            <w:tcW w:w="100" w:type="dxa"/>
            <w:vAlign w:val="bottom"/>
            <w:tcBorders>
              <w:bottom w:val="single" w:sz="8" w:color="CFF0FC"/>
            </w:tcBorders>
          </w:tcPr>
          <w:p>
            <w:pPr>
              <w:spacing w:after="0"/>
              <w:rPr>
                <w:sz w:val="19"/>
                <w:szCs w:val="19"/>
                <w:color w:val="auto"/>
              </w:rPr>
            </w:pPr>
          </w:p>
        </w:tc>
      </w:tr>
      <w:tr>
        <w:trPr>
          <w:trHeight w:val="223"/>
        </w:trPr>
        <w:tc>
          <w:tcPr>
            <w:tcW w:w="4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FF0FC"/>
          </w:tcPr>
          <w:p>
            <w:pPr>
              <w:ind w:left="132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52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1360" w:type="dxa"/>
            <w:vAlign w:val="bottom"/>
            <w:gridSpan w:val="4"/>
          </w:tcPr>
          <w:p>
            <w:pPr>
              <w:spacing w:after="0"/>
              <w:rPr>
                <w:sz w:val="20"/>
                <w:szCs w:val="20"/>
                <w:color w:val="auto"/>
              </w:rPr>
            </w:pPr>
            <w:r>
              <w:rPr>
                <w:rFonts w:ascii="Arial" w:cs="Arial" w:eastAsia="Arial" w:hAnsi="Arial"/>
                <w:sz w:val="20"/>
                <w:szCs w:val="20"/>
                <w:color w:val="auto"/>
                <w:w w:val="94"/>
              </w:rPr>
              <w:t>Item 6. Exhibits.</w:t>
            </w:r>
          </w:p>
        </w:tc>
        <w:tc>
          <w:tcPr>
            <w:tcW w:w="40" w:type="dxa"/>
            <w:vAlign w:val="bottom"/>
          </w:tcPr>
          <w:p>
            <w:pPr>
              <w:spacing w:after="0"/>
              <w:rPr>
                <w:sz w:val="19"/>
                <w:szCs w:val="19"/>
                <w:color w:val="auto"/>
              </w:rPr>
            </w:pPr>
          </w:p>
        </w:tc>
        <w:tc>
          <w:tcPr>
            <w:tcW w:w="9840" w:type="dxa"/>
            <w:vAlign w:val="bottom"/>
          </w:tcPr>
          <w:p>
            <w:pPr>
              <w:spacing w:after="0"/>
              <w:rPr>
                <w:sz w:val="19"/>
                <w:szCs w:val="19"/>
                <w:color w:val="auto"/>
              </w:rPr>
            </w:pPr>
          </w:p>
        </w:tc>
      </w:tr>
      <w:tr>
        <w:trPr>
          <w:trHeight w:val="479"/>
        </w:trPr>
        <w:tc>
          <w:tcPr>
            <w:tcW w:w="13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20"/>
                <w:szCs w:val="20"/>
                <w:color w:val="auto"/>
              </w:rPr>
              <w:t>Exhibit No.</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40" w:type="dxa"/>
            <w:vAlign w:val="bottom"/>
            <w:tcBorders>
              <w:bottom w:val="single" w:sz="8" w:color="auto"/>
            </w:tcBorders>
          </w:tcPr>
          <w:p>
            <w:pPr>
              <w:ind w:left="4500"/>
              <w:spacing w:after="0"/>
              <w:rPr>
                <w:sz w:val="20"/>
                <w:szCs w:val="20"/>
                <w:color w:val="auto"/>
              </w:rPr>
            </w:pPr>
            <w:r>
              <w:rPr>
                <w:rFonts w:ascii="Arial" w:cs="Arial" w:eastAsia="Arial" w:hAnsi="Arial"/>
                <w:sz w:val="20"/>
                <w:szCs w:val="20"/>
                <w:color w:val="auto"/>
              </w:rPr>
              <w:t>Document</w:t>
            </w:r>
          </w:p>
        </w:tc>
      </w:tr>
      <w:tr>
        <w:trPr>
          <w:trHeight w:val="426"/>
        </w:trPr>
        <w:tc>
          <w:tcPr>
            <w:tcW w:w="1300" w:type="dxa"/>
            <w:vAlign w:val="bottom"/>
            <w:gridSpan w:val="2"/>
          </w:tcPr>
          <w:p>
            <w:pPr>
              <w:spacing w:after="0"/>
              <w:rPr>
                <w:rFonts w:ascii="Arial" w:cs="Arial" w:eastAsia="Arial" w:hAnsi="Arial"/>
                <w:sz w:val="20"/>
                <w:szCs w:val="20"/>
                <w:color w:val="0000EE"/>
              </w:rPr>
            </w:pPr>
            <w:hyperlink w:anchor="page55">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3"/>
              </w:rPr>
              <w:t>Certification dated November 2, 2021 of Chief Executive Officer pursuant to Securities and Exchange Act of 1934 Rule</w:t>
            </w:r>
          </w:p>
        </w:tc>
      </w:tr>
      <w:tr>
        <w:trPr>
          <w:trHeight w:val="254"/>
        </w:trPr>
        <w:tc>
          <w:tcPr>
            <w:tcW w:w="46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13a-14 as adopted pursuant to Section 302 of the Sarbanes-Oxley Act of 2002</w:t>
            </w:r>
          </w:p>
        </w:tc>
      </w:tr>
      <w:tr>
        <w:trPr>
          <w:trHeight w:val="306"/>
        </w:trPr>
        <w:tc>
          <w:tcPr>
            <w:tcW w:w="1300" w:type="dxa"/>
            <w:vAlign w:val="bottom"/>
            <w:gridSpan w:val="2"/>
          </w:tcPr>
          <w:p>
            <w:pPr>
              <w:spacing w:after="0"/>
              <w:rPr>
                <w:rFonts w:ascii="Arial" w:cs="Arial" w:eastAsia="Arial" w:hAnsi="Arial"/>
                <w:sz w:val="20"/>
                <w:szCs w:val="20"/>
                <w:color w:val="0000EE"/>
              </w:rPr>
            </w:pPr>
            <w:hyperlink w:anchor="page57">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4"/>
              </w:rPr>
              <w:t>Certification dated November 2, 2021 of Chief Financial Officer pursuant to Securities and Exchange Act of 1934 Rule</w:t>
            </w:r>
          </w:p>
        </w:tc>
      </w:tr>
      <w:tr>
        <w:trPr>
          <w:trHeight w:val="254"/>
        </w:trPr>
        <w:tc>
          <w:tcPr>
            <w:tcW w:w="46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13a-14 as adopted pursuant to Section 302 of the Sarbanes-Oxley Act of 2002</w:t>
            </w:r>
          </w:p>
        </w:tc>
      </w:tr>
      <w:tr>
        <w:trPr>
          <w:trHeight w:val="307"/>
        </w:trPr>
        <w:tc>
          <w:tcPr>
            <w:tcW w:w="1300" w:type="dxa"/>
            <w:vAlign w:val="bottom"/>
            <w:gridSpan w:val="2"/>
          </w:tcPr>
          <w:p>
            <w:pPr>
              <w:spacing w:after="0"/>
              <w:rPr>
                <w:rFonts w:ascii="Arial" w:cs="Arial" w:eastAsia="Arial" w:hAnsi="Arial"/>
                <w:sz w:val="20"/>
                <w:szCs w:val="20"/>
                <w:color w:val="0000EE"/>
              </w:rPr>
            </w:pPr>
            <w:hyperlink w:anchor="page59">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0"/>
              </w:rPr>
              <w:t>Written Statement dated November 2, 2021 of Chief Executive Officer required by 18 U.S.C. 1350, as adopted pursuant to</w:t>
            </w:r>
          </w:p>
        </w:tc>
      </w:tr>
      <w:tr>
        <w:trPr>
          <w:trHeight w:val="254"/>
        </w:trPr>
        <w:tc>
          <w:tcPr>
            <w:tcW w:w="46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Section 906 of the Sarbanes-Oxley Act of 2002</w:t>
            </w:r>
          </w:p>
        </w:tc>
      </w:tr>
      <w:tr>
        <w:trPr>
          <w:trHeight w:val="306"/>
        </w:trPr>
        <w:tc>
          <w:tcPr>
            <w:tcW w:w="1300" w:type="dxa"/>
            <w:vAlign w:val="bottom"/>
            <w:gridSpan w:val="2"/>
          </w:tcPr>
          <w:p>
            <w:pPr>
              <w:spacing w:after="0"/>
              <w:rPr>
                <w:rFonts w:ascii="Arial" w:cs="Arial" w:eastAsia="Arial" w:hAnsi="Arial"/>
                <w:sz w:val="20"/>
                <w:szCs w:val="20"/>
                <w:color w:val="0000EE"/>
              </w:rPr>
            </w:pPr>
            <w:hyperlink w:anchor="page60">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w w:val="91"/>
              </w:rPr>
              <w:t>Written Statement dated November 2, 2021 of Chief Financial Officer required by 18 U.S.C. 1350, as adopted pursuant to</w:t>
            </w:r>
          </w:p>
        </w:tc>
      </w:tr>
      <w:tr>
        <w:trPr>
          <w:trHeight w:val="254"/>
        </w:trPr>
        <w:tc>
          <w:tcPr>
            <w:tcW w:w="460" w:type="dxa"/>
            <w:vAlign w:val="bottom"/>
            <w:tcBorders>
              <w:top w:val="single" w:sz="8" w:color="0000EE"/>
            </w:tcBorders>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80" w:type="dxa"/>
            <w:vAlign w:val="bottom"/>
            <w:gridSpan w:val="2"/>
          </w:tcPr>
          <w:p>
            <w:pPr>
              <w:ind w:left="40"/>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400" w:hanging="1392"/>
        <w:spacing w:after="0"/>
        <w:tabs>
          <w:tab w:leader="none" w:pos="1400" w:val="left"/>
        </w:tabs>
        <w:numPr>
          <w:ilvl w:val="0"/>
          <w:numId w:val="21"/>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color w:val="auto"/>
              </w:rPr>
              <w:t>101.INS</w:t>
            </w:r>
          </w:p>
        </w:tc>
        <w:tc>
          <w:tcPr>
            <w:tcW w:w="10160" w:type="dxa"/>
            <w:vAlign w:val="bottom"/>
          </w:tcPr>
          <w:p>
            <w:pPr>
              <w:ind w:left="320"/>
              <w:spacing w:after="0"/>
              <w:rPr>
                <w:sz w:val="20"/>
                <w:szCs w:val="20"/>
                <w:color w:val="auto"/>
              </w:rPr>
            </w:pPr>
            <w:r>
              <w:rPr>
                <w:rFonts w:ascii="Arial" w:cs="Arial" w:eastAsia="Arial" w:hAnsi="Arial"/>
                <w:sz w:val="20"/>
                <w:szCs w:val="20"/>
                <w:color w:val="auto"/>
                <w:w w:val="92"/>
              </w:rPr>
              <w:t>Inline XBRL Instance Document – The instance document does not appear in the Interactive Data File because its XBRL</w:t>
            </w:r>
          </w:p>
        </w:tc>
      </w:tr>
      <w:tr>
        <w:trPr>
          <w:trHeight w:val="250"/>
        </w:trPr>
        <w:tc>
          <w:tcPr>
            <w:tcW w:w="1080" w:type="dxa"/>
            <w:vAlign w:val="bottom"/>
          </w:tcPr>
          <w:p>
            <w:pPr>
              <w:spacing w:after="0"/>
              <w:rPr>
                <w:sz w:val="21"/>
                <w:szCs w:val="21"/>
                <w:color w:val="auto"/>
              </w:rPr>
            </w:pPr>
          </w:p>
        </w:tc>
        <w:tc>
          <w:tcPr>
            <w:tcW w:w="10160" w:type="dxa"/>
            <w:vAlign w:val="bottom"/>
          </w:tcPr>
          <w:p>
            <w:pPr>
              <w:ind w:left="320"/>
              <w:spacing w:after="0"/>
              <w:rPr>
                <w:sz w:val="20"/>
                <w:szCs w:val="20"/>
                <w:color w:val="auto"/>
              </w:rPr>
            </w:pPr>
            <w:r>
              <w:rPr>
                <w:rFonts w:ascii="Arial" w:cs="Arial" w:eastAsia="Arial" w:hAnsi="Arial"/>
                <w:sz w:val="20"/>
                <w:szCs w:val="20"/>
                <w:color w:val="auto"/>
              </w:rPr>
              <w:t>tags are embedded within the Inline XBRL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101.SCH</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101.CAL</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101.LAB</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101.PRE</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351"/>
        </w:trPr>
        <w:tc>
          <w:tcPr>
            <w:tcW w:w="1080" w:type="dxa"/>
            <w:vAlign w:val="bottom"/>
          </w:tcPr>
          <w:p>
            <w:pPr>
              <w:spacing w:after="0"/>
              <w:rPr>
                <w:sz w:val="20"/>
                <w:szCs w:val="20"/>
                <w:color w:val="auto"/>
              </w:rPr>
            </w:pPr>
            <w:r>
              <w:rPr>
                <w:rFonts w:ascii="Arial" w:cs="Arial" w:eastAsia="Arial" w:hAnsi="Arial"/>
                <w:sz w:val="20"/>
                <w:szCs w:val="20"/>
                <w:color w:val="auto"/>
              </w:rPr>
              <w:t>101.DEF</w:t>
            </w:r>
          </w:p>
        </w:tc>
        <w:tc>
          <w:tcPr>
            <w:tcW w:w="10160" w:type="dxa"/>
            <w:vAlign w:val="bottom"/>
          </w:tcPr>
          <w:p>
            <w:pPr>
              <w:ind w:left="320"/>
              <w:spacing w:after="0"/>
              <w:rPr>
                <w:sz w:val="20"/>
                <w:szCs w:val="20"/>
                <w:color w:val="auto"/>
              </w:rPr>
            </w:pPr>
            <w:r>
              <w:rPr>
                <w:rFonts w:ascii="Arial" w:cs="Arial" w:eastAsia="Arial" w:hAnsi="Arial"/>
                <w:sz w:val="20"/>
                <w:szCs w:val="20"/>
                <w:color w:val="auto"/>
              </w:rPr>
              <w:t>Inline XBRL Taxonomy Extension Definition Linkbase</w:t>
            </w:r>
          </w:p>
        </w:tc>
      </w:tr>
    </w:tbl>
    <w:p>
      <w:pPr>
        <w:spacing w:after="0" w:line="101" w:lineRule="exact"/>
        <w:rPr>
          <w:sz w:val="20"/>
          <w:szCs w:val="20"/>
          <w:color w:val="auto"/>
        </w:rPr>
      </w:pPr>
    </w:p>
    <w:p>
      <w:pPr>
        <w:ind w:left="1400" w:hanging="1392"/>
        <w:spacing w:after="0"/>
        <w:tabs>
          <w:tab w:leader="none" w:pos="14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33"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color w:val="auto"/>
        </w:rPr>
        <w:t>Page 53 of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43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140" w:type="dxa"/>
            <w:vAlign w:val="bottom"/>
          </w:tcPr>
          <w:p>
            <w:pPr>
              <w:jc w:val="center"/>
              <w:ind w:right="1901"/>
              <w:spacing w:after="0"/>
              <w:rPr>
                <w:sz w:val="20"/>
                <w:szCs w:val="20"/>
                <w:color w:val="auto"/>
              </w:rPr>
            </w:pPr>
            <w:r>
              <w:rPr>
                <w:rFonts w:ascii="Arial" w:cs="Arial" w:eastAsia="Arial" w:hAnsi="Arial"/>
                <w:sz w:val="20"/>
                <w:szCs w:val="20"/>
                <w:color w:val="auto"/>
                <w:w w:val="89"/>
              </w:rPr>
              <w:t>(Registrant)</w:t>
            </w:r>
          </w:p>
        </w:tc>
      </w:tr>
      <w:tr>
        <w:trPr>
          <w:trHeight w:val="455"/>
        </w:trPr>
        <w:tc>
          <w:tcPr>
            <w:tcW w:w="4340" w:type="dxa"/>
            <w:vAlign w:val="bottom"/>
          </w:tcPr>
          <w:p>
            <w:pPr>
              <w:spacing w:after="0"/>
              <w:rPr>
                <w:sz w:val="20"/>
                <w:szCs w:val="20"/>
                <w:color w:val="auto"/>
              </w:rPr>
            </w:pPr>
            <w:r>
              <w:rPr>
                <w:rFonts w:ascii="Arial" w:cs="Arial" w:eastAsia="Arial" w:hAnsi="Arial"/>
                <w:sz w:val="20"/>
                <w:szCs w:val="20"/>
                <w:color w:val="auto"/>
              </w:rPr>
              <w:t>Date: November 2, 2021</w:t>
            </w:r>
          </w:p>
        </w:tc>
        <w:tc>
          <w:tcPr>
            <w:tcW w:w="6900" w:type="dxa"/>
            <w:vAlign w:val="bottom"/>
            <w:gridSpan w:val="2"/>
          </w:tcPr>
          <w:p>
            <w:pPr>
              <w:ind w:left="2360"/>
              <w:spacing w:after="0"/>
              <w:rPr>
                <w:sz w:val="20"/>
                <w:szCs w:val="20"/>
                <w:color w:val="auto"/>
              </w:rPr>
            </w:pPr>
            <w:r>
              <w:rPr>
                <w:rFonts w:ascii="Arial" w:cs="Arial" w:eastAsia="Arial" w:hAnsi="Arial"/>
                <w:sz w:val="20"/>
                <w:szCs w:val="20"/>
                <w:color w:val="auto"/>
              </w:rPr>
              <w:t>By: /s/ James A. J. Nickolas</w:t>
            </w:r>
          </w:p>
        </w:tc>
      </w:tr>
      <w:tr>
        <w:trPr>
          <w:trHeight w:val="206"/>
        </w:trPr>
        <w:tc>
          <w:tcPr>
            <w:tcW w:w="43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1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3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3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4140" w:type="dxa"/>
            <w:vAlign w:val="bottom"/>
          </w:tcPr>
          <w:p>
            <w:pPr>
              <w:jc w:val="center"/>
              <w:ind w:right="1881"/>
              <w:spacing w:after="0"/>
              <w:rPr>
                <w:sz w:val="20"/>
                <w:szCs w:val="20"/>
                <w:color w:val="auto"/>
              </w:rPr>
            </w:pPr>
            <w:r>
              <w:rPr>
                <w:rFonts w:ascii="Arial" w:cs="Arial" w:eastAsia="Arial" w:hAnsi="Arial"/>
                <w:sz w:val="20"/>
                <w:szCs w:val="20"/>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54 of 54</w:t>
      </w:r>
    </w:p>
    <w:p>
      <w:pPr>
        <w:sectPr>
          <w:pgSz w:w="11900" w:h="16838" w:orient="portrait"/>
          <w:cols w:equalWidth="0" w:num="1">
            <w:col w:w="11240"/>
          </w:cols>
          <w:pgMar w:left="320" w:top="56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42"/>
        <w:spacing w:after="0"/>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4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spacing w:after="0" w:line="263" w:lineRule="exact"/>
        <w:rPr>
          <w:sz w:val="20"/>
          <w:szCs w:val="20"/>
          <w:color w:val="auto"/>
        </w:rPr>
      </w:pPr>
    </w:p>
    <w:p>
      <w:pPr>
        <w:jc w:val="both"/>
        <w:ind w:left="1300" w:hanging="442"/>
        <w:spacing w:after="0" w:line="250" w:lineRule="auto"/>
        <w:tabs>
          <w:tab w:leader="none" w:pos="13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80" w:type="dxa"/>
            <w:vAlign w:val="bottom"/>
          </w:tcPr>
          <w:p>
            <w:pPr>
              <w:spacing w:after="0"/>
              <w:rPr>
                <w:sz w:val="20"/>
                <w:szCs w:val="20"/>
                <w:color w:val="auto"/>
              </w:rPr>
            </w:pPr>
            <w:r>
              <w:rPr>
                <w:rFonts w:ascii="Arial" w:cs="Arial" w:eastAsia="Arial" w:hAnsi="Arial"/>
                <w:sz w:val="20"/>
                <w:szCs w:val="20"/>
                <w:color w:val="auto"/>
              </w:rPr>
              <w:t>Date: November 2, 2021</w:t>
            </w:r>
          </w:p>
        </w:tc>
        <w:tc>
          <w:tcPr>
            <w:tcW w:w="6860" w:type="dxa"/>
            <w:vAlign w:val="bottom"/>
            <w:gridSpan w:val="2"/>
          </w:tcPr>
          <w:p>
            <w:pPr>
              <w:ind w:left="2380"/>
              <w:spacing w:after="0"/>
              <w:rPr>
                <w:sz w:val="20"/>
                <w:szCs w:val="20"/>
                <w:color w:val="auto"/>
              </w:rPr>
            </w:pPr>
            <w:r>
              <w:rPr>
                <w:rFonts w:ascii="Arial" w:cs="Arial" w:eastAsia="Arial" w:hAnsi="Arial"/>
                <w:sz w:val="20"/>
                <w:szCs w:val="20"/>
                <w:color w:val="auto"/>
              </w:rPr>
              <w:t>By:  /s/ C. Howard Nye</w:t>
            </w:r>
          </w:p>
        </w:tc>
      </w:tr>
      <w:tr>
        <w:trPr>
          <w:trHeight w:val="206"/>
        </w:trPr>
        <w:tc>
          <w:tcPr>
            <w:tcW w:w="43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40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3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3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42"/>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4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42"/>
        <w:spacing w:after="0" w:line="250" w:lineRule="auto"/>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60" w:hanging="438"/>
        <w:spacing w:after="0" w:line="246" w:lineRule="auto"/>
        <w:tabs>
          <w:tab w:leader="none" w:pos="2160" w:val="left"/>
        </w:tabs>
        <w:numPr>
          <w:ilvl w:val="1"/>
          <w:numId w:val="2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7" w:name="page58"/>
    <w:bookmarkEnd w:id="57"/>
    <w:p>
      <w:pPr>
        <w:spacing w:after="0" w:line="276" w:lineRule="exact"/>
        <w:rPr>
          <w:sz w:val="20"/>
          <w:szCs w:val="20"/>
          <w:color w:val="auto"/>
        </w:rPr>
      </w:pPr>
    </w:p>
    <w:p>
      <w:pPr>
        <w:jc w:val="both"/>
        <w:ind w:left="1300" w:hanging="442"/>
        <w:spacing w:after="0" w:line="250" w:lineRule="auto"/>
        <w:tabs>
          <w:tab w:leader="none" w:pos="13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60" w:hanging="438"/>
        <w:spacing w:after="0" w:line="250" w:lineRule="auto"/>
        <w:tabs>
          <w:tab w:leader="none" w:pos="21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60" w:hanging="438"/>
        <w:spacing w:after="0" w:line="260" w:lineRule="auto"/>
        <w:tabs>
          <w:tab w:leader="none" w:pos="2160" w:val="left"/>
        </w:tabs>
        <w:numPr>
          <w:ilvl w:val="1"/>
          <w:numId w:val="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40" w:type="dxa"/>
            <w:vAlign w:val="bottom"/>
          </w:tcPr>
          <w:p>
            <w:pPr>
              <w:spacing w:after="0"/>
              <w:rPr>
                <w:sz w:val="20"/>
                <w:szCs w:val="20"/>
                <w:color w:val="auto"/>
              </w:rPr>
            </w:pPr>
            <w:r>
              <w:rPr>
                <w:rFonts w:ascii="Arial" w:cs="Arial" w:eastAsia="Arial" w:hAnsi="Arial"/>
                <w:sz w:val="20"/>
                <w:szCs w:val="20"/>
                <w:color w:val="auto"/>
              </w:rPr>
              <w:t>Date: November 2, 2021</w:t>
            </w:r>
          </w:p>
        </w:tc>
        <w:tc>
          <w:tcPr>
            <w:tcW w:w="6900" w:type="dxa"/>
            <w:vAlign w:val="bottom"/>
            <w:gridSpan w:val="2"/>
          </w:tcPr>
          <w:p>
            <w:pPr>
              <w:ind w:left="2400"/>
              <w:spacing w:after="0"/>
              <w:rPr>
                <w:sz w:val="20"/>
                <w:szCs w:val="20"/>
                <w:color w:val="auto"/>
              </w:rPr>
            </w:pPr>
            <w:r>
              <w:rPr>
                <w:rFonts w:ascii="Arial" w:cs="Arial" w:eastAsia="Arial" w:hAnsi="Arial"/>
                <w:sz w:val="20"/>
                <w:szCs w:val="20"/>
                <w:color w:val="auto"/>
              </w:rPr>
              <w:t>By:  /s/ James A. J. Nickolas</w:t>
            </w:r>
          </w:p>
        </w:tc>
      </w:tr>
      <w:tr>
        <w:trPr>
          <w:trHeight w:val="206"/>
        </w:trPr>
        <w:tc>
          <w:tcPr>
            <w:tcW w:w="4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6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3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06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44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2021 (the “Report”) of Martin Marietta Materials, Inc. (the “Registrant”), as filed with the Securities and Exchange Commission on the date hereof, I, C. Howard Nye, the Chief Executive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Chairman, President and</w:t>
      </w:r>
    </w:p>
    <w:p>
      <w:pPr>
        <w:ind w:left="69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2, 2021</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32.02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2021 (the “Report”) of Martin Marietta Materials, Inc. (the “Registrant”), as filed with the Securities and Exchange Commission on the date hereof, I, James A. J. Nickolas, the Chief Financial Officer of the Registrant, certify, to the best of my knowledge, that:</w:t>
      </w:r>
    </w:p>
    <w:p>
      <w:pPr>
        <w:spacing w:after="0" w:line="199" w:lineRule="exact"/>
        <w:rPr>
          <w:sz w:val="20"/>
          <w:szCs w:val="20"/>
          <w:color w:val="auto"/>
        </w:rPr>
      </w:pPr>
    </w:p>
    <w:p>
      <w:pPr>
        <w:ind w:left="1700" w:hanging="842"/>
        <w:spacing w:after="0" w:line="260" w:lineRule="auto"/>
        <w:tabs>
          <w:tab w:leader="none" w:pos="1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00" w:right="20" w:hanging="842"/>
        <w:spacing w:after="0" w:line="260" w:lineRule="auto"/>
        <w:tabs>
          <w:tab w:leader="none" w:pos="17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Sr. Vice President and</w:t>
      </w:r>
    </w:p>
    <w:p>
      <w:pPr>
        <w:ind w:left="69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2, 2021</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95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Company’s domestic aggregates quarries and mines is subject to regulation by the federal Mine Safety and Health Administration (MSHA) under the Federal Mine Safety and Health Act of 1977 (the Mine Act). MSHA inspects the Company’s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they are sometimes dismissed.</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(i.e.,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Company’s quarries and mines operated outside the United States.</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presents the following items regarding certain mining safety and health matters for the three months ended September 30, 2021:</w:t>
      </w:r>
    </w:p>
    <w:p>
      <w:pPr>
        <w:spacing w:after="0" w:line="190" w:lineRule="exact"/>
        <w:rPr>
          <w:sz w:val="20"/>
          <w:szCs w:val="20"/>
          <w:color w:val="auto"/>
        </w:rPr>
      </w:pPr>
    </w:p>
    <w:p>
      <w:pPr>
        <w:jc w:val="both"/>
        <w:ind w:left="440" w:hanging="432"/>
        <w:spacing w:after="0" w:line="259" w:lineRule="auto"/>
        <w:tabs>
          <w:tab w:leader="none" w:pos="440" w:val="left"/>
        </w:tabs>
        <w:numPr>
          <w:ilvl w:val="0"/>
          <w:numId w:val="29"/>
        </w:numPr>
        <w:rPr>
          <w:rFonts w:ascii="Arial" w:cs="Arial" w:eastAsia="Arial" w:hAnsi="Arial"/>
          <w:sz w:val="19"/>
          <w:szCs w:val="19"/>
          <w:b w:val="1"/>
          <w:bCs w:val="1"/>
          <w:color w:val="auto"/>
        </w:rPr>
      </w:pPr>
      <w:r>
        <w:rPr>
          <w:rFonts w:ascii="Arial" w:cs="Arial" w:eastAsia="Arial" w:hAnsi="Arial"/>
          <w:sz w:val="19"/>
          <w:szCs w:val="19"/>
          <w:color w:val="auto"/>
        </w:rPr>
        <w:t>Total number of violations of mandatory health or safety standards that could significantly and substantially contribute to the cause and effect of a mine safety or health hazard under section 104 of the Mine Act for which the Company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64" w:lineRule="exact"/>
        <w:rPr>
          <w:rFonts w:ascii="Arial" w:cs="Arial" w:eastAsia="Arial" w:hAnsi="Arial"/>
          <w:sz w:val="19"/>
          <w:szCs w:val="19"/>
          <w:b w:val="1"/>
          <w:bCs w:val="1"/>
          <w:color w:val="auto"/>
        </w:rPr>
      </w:pPr>
    </w:p>
    <w:p>
      <w:pPr>
        <w:jc w:val="both"/>
        <w:ind w:left="440" w:hanging="432"/>
        <w:spacing w:after="0" w:line="246" w:lineRule="auto"/>
        <w:tabs>
          <w:tab w:leader="none" w:pos="440" w:val="left"/>
        </w:tabs>
        <w:numPr>
          <w:ilvl w:val="0"/>
          <w:numId w:val="29"/>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4" w:lineRule="exact"/>
        <w:rPr>
          <w:rFonts w:ascii="Arial" w:cs="Arial" w:eastAsia="Arial" w:hAnsi="Arial"/>
          <w:sz w:val="20"/>
          <w:szCs w:val="20"/>
          <w:b w:val="1"/>
          <w:bCs w:val="1"/>
          <w:color w:val="auto"/>
        </w:rPr>
      </w:pPr>
    </w:p>
    <w:p>
      <w:pPr>
        <w:jc w:val="both"/>
        <w:ind w:left="440" w:hanging="432"/>
        <w:spacing w:after="0" w:line="291" w:lineRule="auto"/>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436880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ind w:left="440"/>
        <w:spacing w:after="0" w:line="261" w:lineRule="auto"/>
        <w:rPr>
          <w:sz w:val="20"/>
          <w:szCs w:val="20"/>
          <w:color w:val="auto"/>
        </w:rPr>
      </w:pPr>
      <w:r>
        <w:rPr>
          <w:rFonts w:ascii="Arial" w:cs="Arial" w:eastAsia="Arial" w:hAnsi="Arial"/>
          <w:sz w:val="20"/>
          <w:szCs w:val="20"/>
          <w:color w:val="auto"/>
        </w:rPr>
        <w:t>or health hazard, but the conditions do not cause imminent danger, and the MSHA inspector finds that the violation is caused by an unwarranted failure of the operator to comply with the health and safety standards.</w:t>
      </w:r>
    </w:p>
    <w:p>
      <w:pPr>
        <w:spacing w:after="0" w:line="189" w:lineRule="exact"/>
        <w:rPr>
          <w:sz w:val="20"/>
          <w:szCs w:val="20"/>
          <w:color w:val="auto"/>
        </w:rPr>
      </w:pPr>
    </w:p>
    <w:p>
      <w:pPr>
        <w:jc w:val="both"/>
        <w:ind w:left="440" w:hanging="432"/>
        <w:spacing w:after="0" w:line="244" w:lineRule="auto"/>
        <w:tabs>
          <w:tab w:leader="none" w:pos="44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7" w:lineRule="exact"/>
        <w:rPr>
          <w:rFonts w:ascii="Arial" w:cs="Arial" w:eastAsia="Arial" w:hAnsi="Arial"/>
          <w:sz w:val="20"/>
          <w:szCs w:val="20"/>
          <w:b w:val="1"/>
          <w:bCs w:val="1"/>
          <w:color w:val="auto"/>
        </w:rPr>
      </w:pPr>
    </w:p>
    <w:p>
      <w:pPr>
        <w:jc w:val="both"/>
        <w:ind w:left="440" w:hanging="432"/>
        <w:spacing w:after="0" w:line="263" w:lineRule="auto"/>
        <w:tabs>
          <w:tab w:leader="none" w:pos="440" w:val="left"/>
        </w:tabs>
        <w:numPr>
          <w:ilvl w:val="0"/>
          <w:numId w:val="30"/>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89" w:lineRule="exact"/>
        <w:rPr>
          <w:rFonts w:ascii="Arial" w:cs="Arial" w:eastAsia="Arial" w:hAnsi="Arial"/>
          <w:sz w:val="19"/>
          <w:szCs w:val="19"/>
          <w:b w:val="1"/>
          <w:bCs w:val="1"/>
          <w:color w:val="auto"/>
        </w:rPr>
      </w:pPr>
    </w:p>
    <w:p>
      <w:pPr>
        <w:jc w:val="both"/>
        <w:ind w:left="440" w:hanging="432"/>
        <w:spacing w:after="0" w:line="282" w:lineRule="auto"/>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74" w:lineRule="exact"/>
        <w:rPr>
          <w:rFonts w:ascii="Arial" w:cs="Arial" w:eastAsia="Arial" w:hAnsi="Arial"/>
          <w:sz w:val="18"/>
          <w:szCs w:val="18"/>
          <w:b w:val="1"/>
          <w:bCs w:val="1"/>
          <w:color w:val="auto"/>
        </w:rPr>
      </w:pPr>
    </w:p>
    <w:p>
      <w:pPr>
        <w:jc w:val="both"/>
        <w:ind w:left="440" w:hanging="432"/>
        <w:spacing w:after="0" w:line="291" w:lineRule="auto"/>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40" w:hanging="432"/>
        <w:spacing w:after="0" w:line="282" w:lineRule="auto"/>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74" w:lineRule="exact"/>
        <w:rPr>
          <w:rFonts w:ascii="Arial" w:cs="Arial" w:eastAsia="Arial" w:hAnsi="Arial"/>
          <w:sz w:val="18"/>
          <w:szCs w:val="18"/>
          <w:b w:val="1"/>
          <w:bCs w:val="1"/>
          <w:color w:val="auto"/>
        </w:rPr>
      </w:pPr>
    </w:p>
    <w:p>
      <w:pPr>
        <w:ind w:left="440" w:hanging="432"/>
        <w:spacing w:after="0"/>
        <w:tabs>
          <w:tab w:leader="none" w:pos="44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40" w:hanging="432"/>
        <w:spacing w:after="0"/>
        <w:tabs>
          <w:tab w:leader="none" w:pos="440" w:val="left"/>
        </w:tabs>
        <w:numPr>
          <w:ilvl w:val="0"/>
          <w:numId w:val="30"/>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9"/>
          <w:szCs w:val="19"/>
          <w:color w:val="auto"/>
        </w:rPr>
        <w:t>penalties they have received from MSHA, or complaints of discrimination by miners under Section 105 of the Mine Act. Appendix 1 shows, for each of the Company’s quarries and mines identified, as of September 30, 2021,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768985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2"/>
        </w:trPr>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720"/>
              <w:spacing w:after="0"/>
              <w:rPr>
                <w:sz w:val="20"/>
                <w:szCs w:val="20"/>
                <w:color w:val="auto"/>
              </w:rPr>
            </w:pPr>
            <w:r>
              <w:rPr>
                <w:rFonts w:ascii="Arial" w:cs="Arial" w:eastAsia="Arial" w:hAnsi="Arial"/>
                <w:sz w:val="20"/>
                <w:szCs w:val="20"/>
                <w:color w:val="auto"/>
                <w:w w:val="89"/>
              </w:rPr>
              <w:t>Appendix 1</w:t>
            </w:r>
          </w:p>
        </w:tc>
      </w:tr>
      <w:tr>
        <w:trPr>
          <w:trHeight w:val="662"/>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7"/>
              </w:rPr>
              <w:t>Received Received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89"/>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Total</w:t>
            </w:r>
          </w:p>
        </w:tc>
        <w:tc>
          <w:tcPr>
            <w:tcW w:w="230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87"/>
              </w:rPr>
              <w:t>Total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500" w:type="dxa"/>
            <w:vAlign w:val="bottom"/>
            <w:gridSpan w:val="2"/>
          </w:tcPr>
          <w:p>
            <w:pPr>
              <w:ind w:left="80"/>
              <w:spacing w:after="0"/>
              <w:rPr>
                <w:sz w:val="20"/>
                <w:szCs w:val="20"/>
                <w:color w:val="auto"/>
              </w:rPr>
            </w:pPr>
            <w:r>
              <w:rPr>
                <w:rFonts w:ascii="Arial" w:cs="Arial" w:eastAsia="Arial" w:hAnsi="Arial"/>
                <w:sz w:val="20"/>
                <w:szCs w:val="20"/>
                <w:b w:val="1"/>
                <w:bCs w:val="1"/>
                <w:color w:val="auto"/>
                <w:w w:val="90"/>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1"/>
              </w:rPr>
              <w:t>Legal</w:t>
            </w:r>
          </w:p>
        </w:tc>
      </w:tr>
      <w:tr>
        <w:trPr>
          <w:trHeight w:val="230"/>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95"/>
              </w:rPr>
              <w:t>Dollar</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4"/>
              </w:rPr>
              <w:t>of</w:t>
            </w:r>
          </w:p>
        </w:tc>
        <w:tc>
          <w:tcPr>
            <w:tcW w:w="1620" w:type="dxa"/>
            <w:vAlign w:val="bottom"/>
            <w:gridSpan w:val="2"/>
          </w:tcPr>
          <w:p>
            <w:pPr>
              <w:ind w:left="20"/>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5"/>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00" w:type="dxa"/>
            <w:vAlign w:val="bottom"/>
          </w:tcPr>
          <w:p>
            <w:pPr>
              <w:ind w:left="120"/>
              <w:spacing w:after="0"/>
              <w:rPr>
                <w:sz w:val="20"/>
                <w:szCs w:val="20"/>
                <w:color w:val="auto"/>
              </w:rPr>
            </w:pPr>
            <w:r>
              <w:rPr>
                <w:rFonts w:ascii="Arial" w:cs="Arial" w:eastAsia="Arial" w:hAnsi="Arial"/>
                <w:sz w:val="20"/>
                <w:szCs w:val="20"/>
                <w:b w:val="1"/>
                <w:bCs w:val="1"/>
                <w:color w:val="auto"/>
                <w:w w:val="91"/>
              </w:rPr>
              <w:t>Section</w:t>
            </w:r>
          </w:p>
        </w:tc>
        <w:tc>
          <w:tcPr>
            <w:tcW w:w="700" w:type="dxa"/>
            <w:vAlign w:val="bottom"/>
          </w:tcPr>
          <w:p>
            <w:pPr>
              <w:ind w:left="60"/>
              <w:spacing w:after="0"/>
              <w:rPr>
                <w:sz w:val="20"/>
                <w:szCs w:val="20"/>
                <w:color w:val="auto"/>
              </w:rPr>
            </w:pPr>
            <w:r>
              <w:rPr>
                <w:rFonts w:ascii="Arial" w:cs="Arial" w:eastAsia="Arial" w:hAnsi="Arial"/>
                <w:sz w:val="20"/>
                <w:szCs w:val="20"/>
                <w:b w:val="1"/>
                <w:bCs w:val="1"/>
                <w:color w:val="auto"/>
                <w:w w:val="85"/>
              </w:rPr>
              <w:t>Section</w:t>
            </w:r>
          </w:p>
        </w:tc>
        <w:tc>
          <w:tcPr>
            <w:tcW w:w="14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89"/>
              </w:rPr>
              <w:t>Value of</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7"/>
              </w:rPr>
              <w:t>Last</w:t>
            </w:r>
          </w:p>
        </w:tc>
        <w:tc>
          <w:tcPr>
            <w:tcW w:w="164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Instituted Resolved</w:t>
            </w:r>
          </w:p>
        </w:tc>
      </w:tr>
      <w:tr>
        <w:trPr>
          <w:trHeight w:val="229"/>
        </w:trPr>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00" w:type="dxa"/>
            <w:vAlign w:val="bottom"/>
            <w:gridSpan w:val="2"/>
          </w:tcPr>
          <w:p>
            <w:pPr>
              <w:ind w:left="40"/>
              <w:spacing w:after="0"/>
              <w:rPr>
                <w:sz w:val="20"/>
                <w:szCs w:val="20"/>
                <w:color w:val="auto"/>
              </w:rPr>
            </w:pPr>
            <w:r>
              <w:rPr>
                <w:rFonts w:ascii="Arial" w:cs="Arial" w:eastAsia="Arial" w:hAnsi="Arial"/>
                <w:sz w:val="20"/>
                <w:szCs w:val="20"/>
                <w:b w:val="1"/>
                <w:bCs w:val="1"/>
                <w:color w:val="auto"/>
                <w:w w:val="98"/>
              </w:rPr>
              <w:t>110(b)(2) 107(a)</w:t>
            </w:r>
          </w:p>
        </w:tc>
        <w:tc>
          <w:tcPr>
            <w:tcW w:w="140" w:type="dxa"/>
            <w:vAlign w:val="bottom"/>
          </w:tcPr>
          <w:p>
            <w:pPr>
              <w:spacing w:after="0"/>
              <w:rPr>
                <w:sz w:val="19"/>
                <w:szCs w:val="19"/>
                <w:color w:val="auto"/>
              </w:rPr>
            </w:pPr>
          </w:p>
        </w:tc>
        <w:tc>
          <w:tcPr>
            <w:tcW w:w="940" w:type="dxa"/>
            <w:vAlign w:val="bottom"/>
          </w:tcPr>
          <w:p>
            <w:pPr>
              <w:jc w:val="center"/>
              <w:ind w:right="101"/>
              <w:spacing w:after="0"/>
              <w:rPr>
                <w:sz w:val="20"/>
                <w:szCs w:val="20"/>
                <w:color w:val="auto"/>
              </w:rPr>
            </w:pPr>
            <w:r>
              <w:rPr>
                <w:rFonts w:ascii="Arial" w:cs="Arial" w:eastAsia="Arial" w:hAnsi="Arial"/>
                <w:sz w:val="20"/>
                <w:szCs w:val="20"/>
                <w:b w:val="1"/>
                <w:bCs w:val="1"/>
                <w:color w:val="auto"/>
                <w:w w:val="98"/>
              </w:rPr>
              <w:t>MSHA</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1"/>
              </w:rPr>
              <w:t>Related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1"/>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3"/>
              </w:rPr>
              <w:t>During</w:t>
            </w:r>
          </w:p>
        </w:tc>
      </w:tr>
      <w:tr>
        <w:trPr>
          <w:trHeight w:val="230"/>
        </w:trPr>
        <w:tc>
          <w:tcPr>
            <w:tcW w:w="98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3380" w:type="dxa"/>
            <w:vAlign w:val="bottom"/>
            <w:gridSpan w:val="5"/>
          </w:tcPr>
          <w:p>
            <w:pPr>
              <w:spacing w:after="0"/>
              <w:rPr>
                <w:sz w:val="20"/>
                <w:szCs w:val="20"/>
                <w:color w:val="auto"/>
              </w:rPr>
            </w:pPr>
            <w:r>
              <w:rPr>
                <w:rFonts w:ascii="Arial" w:cs="Arial" w:eastAsia="Arial" w:hAnsi="Arial"/>
                <w:sz w:val="20"/>
                <w:szCs w:val="20"/>
                <w:b w:val="1"/>
                <w:bCs w:val="1"/>
                <w:color w:val="auto"/>
                <w:w w:val="86"/>
              </w:rPr>
              <w:t>Violations Orders Assessment/ Fatalities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98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rPr>
              <w:t>ID</w:t>
            </w:r>
          </w:p>
        </w:tc>
        <w:tc>
          <w:tcPr>
            <w:tcW w:w="7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1080" w:type="dxa"/>
            <w:vAlign w:val="bottom"/>
            <w:gridSpan w:val="2"/>
          </w:tcPr>
          <w:p>
            <w:pPr>
              <w:jc w:val="center"/>
              <w:spacing w:after="0"/>
              <w:rPr>
                <w:sz w:val="20"/>
                <w:szCs w:val="20"/>
                <w:color w:val="auto"/>
              </w:rPr>
            </w:pPr>
            <w:r>
              <w:rPr>
                <w:rFonts w:ascii="Arial" w:cs="Arial" w:eastAsia="Arial" w:hAnsi="Arial"/>
                <w:sz w:val="20"/>
                <w:szCs w:val="20"/>
                <w:b w:val="1"/>
                <w:bCs w:val="1"/>
                <w:color w:val="auto"/>
                <w:w w:val="87"/>
              </w:rPr>
              <w:t>$Proposed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9"/>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3101636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4407372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3100189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4402963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Appling</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0901083</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3100059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3100066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Auburn 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0100006</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6"/>
              </w:rPr>
              <w:t>Auburn GA</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0900436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Augusta</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700" w:type="dxa"/>
            <w:vAlign w:val="bottom"/>
            <w:gridSpan w:val="2"/>
          </w:tcPr>
          <w:p>
            <w:pPr>
              <w:spacing w:after="0"/>
              <w:rPr>
                <w:sz w:val="20"/>
                <w:szCs w:val="20"/>
                <w:color w:val="auto"/>
              </w:rPr>
            </w:pPr>
            <w:r>
              <w:rPr>
                <w:rFonts w:ascii="Arial" w:cs="Arial" w:eastAsia="Arial" w:hAnsi="Arial"/>
                <w:sz w:val="20"/>
                <w:szCs w:val="20"/>
                <w:color w:val="auto"/>
                <w:w w:val="93"/>
              </w:rPr>
              <w:t>GA Quarry 0900065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3100071</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Ball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Ground</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0900955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3100064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3101979</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3800072</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700" w:type="dxa"/>
            <w:vAlign w:val="bottom"/>
            <w:gridSpan w:val="2"/>
          </w:tcPr>
          <w:p>
            <w:pPr>
              <w:spacing w:after="0"/>
              <w:rPr>
                <w:sz w:val="20"/>
                <w:szCs w:val="20"/>
                <w:color w:val="auto"/>
              </w:rPr>
            </w:pPr>
            <w:r>
              <w:rPr>
                <w:rFonts w:ascii="Arial" w:cs="Arial" w:eastAsia="Arial" w:hAnsi="Arial"/>
                <w:sz w:val="20"/>
                <w:szCs w:val="20"/>
                <w:color w:val="auto"/>
                <w:w w:val="91"/>
              </w:rPr>
              <w:t>City Quarry 3101105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9"/>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Ankle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3102220</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3101963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88"/>
              </w:rPr>
              <w:t>Boonesboro</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1800024</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3100042</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3101869</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4003395</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3800716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3100063</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159</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3800016</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98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98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3100050</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9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98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3100057</w:t>
            </w:r>
          </w:p>
        </w:tc>
        <w:tc>
          <w:tcPr>
            <w:tcW w:w="7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874</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bl>
    <w:p>
      <w:pPr>
        <w:sectPr>
          <w:pgSz w:w="11900" w:h="16838" w:orient="portrait"/>
          <w:cols w:equalWidth="0" w:num="1">
            <w:col w:w="11240"/>
          </w:cols>
          <w:pgMar w:left="320" w:top="122" w:right="339" w:bottom="0"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2"/>
        </w:trPr>
        <w:tc>
          <w:tcPr>
            <w:tcW w:w="2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40" w:type="dxa"/>
            <w:vAlign w:val="bottom"/>
          </w:tcPr>
          <w:p>
            <w:pPr>
              <w:spacing w:after="0"/>
              <w:rPr>
                <w:sz w:val="20"/>
                <w:szCs w:val="20"/>
                <w:color w:val="auto"/>
              </w:rPr>
            </w:pPr>
            <w:r>
              <w:rPr>
                <w:rFonts w:ascii="Arial" w:cs="Arial" w:eastAsia="Arial" w:hAnsi="Arial"/>
                <w:sz w:val="20"/>
                <w:szCs w:val="20"/>
                <w:color w:val="auto"/>
              </w:rPr>
              <w:t>Chattanooga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4003159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Churchville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1800012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Clarks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3102009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3102237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Cumming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0900460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Denver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3101971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Doswell Quarry VA</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4400045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0900024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East Alamance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3102021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Edgefield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3800738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Edmund Sand</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3800662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3100065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Franklin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3102130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1800013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Fuquay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3102055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3100072</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Georgetown II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3800525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w w:val="94"/>
              </w:rPr>
              <w:t>Greensboro Portable Plt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3102336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20"/>
                <w:szCs w:val="20"/>
                <w:color w:val="auto"/>
                <w:w w:val="95"/>
              </w:rPr>
              <w:t>Greensboro Portable Plt II 3102335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3100043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Hicone</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3102088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3100051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Junction City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0901029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Kannapolis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3100070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Kent Sand &amp; Gravel</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1800745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w w:val="98"/>
              </w:rPr>
              <w:t>Kings Mountain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3100047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Lemon Springs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3101104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0900023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Loamy Sand Gravel</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3800721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3102125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Mallard Creek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3102006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3102084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20"/>
                <w:szCs w:val="20"/>
                <w:color w:val="auto"/>
              </w:rPr>
              <w:t>Maylene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0100634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Medford Quarry</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1800035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20"/>
                <w:szCs w:val="20"/>
                <w:color w:val="auto"/>
              </w:rPr>
              <w:t>Midlothian Quarry</w:t>
            </w:r>
          </w:p>
        </w:tc>
        <w:tc>
          <w:tcPr>
            <w:tcW w:w="980" w:type="dxa"/>
            <w:vAlign w:val="bottom"/>
          </w:tcPr>
          <w:p>
            <w:pPr>
              <w:jc w:val="right"/>
              <w:ind w:right="41"/>
              <w:spacing w:after="0"/>
              <w:rPr>
                <w:sz w:val="20"/>
                <w:szCs w:val="20"/>
                <w:color w:val="auto"/>
              </w:rPr>
            </w:pPr>
            <w:r>
              <w:rPr>
                <w:rFonts w:ascii="Arial" w:cs="Arial" w:eastAsia="Arial" w:hAnsi="Arial"/>
                <w:sz w:val="20"/>
                <w:szCs w:val="20"/>
                <w:color w:val="auto"/>
              </w:rPr>
              <w:t>4403767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4"/>
              </w:rPr>
              <w:t>Misc Greensboro District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B8611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Morgan County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0901126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Newton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0900899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North Columbia</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3800146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North East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1800417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Old Charleston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3800702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O'Neal Plant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0103076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Onslow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3102120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Paulding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0901107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Perry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0801083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Pinesburg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1800021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Pomona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3100052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8"/>
              </w:rPr>
              <w:t>Raleigh Durham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3101941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Red Hill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4400072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Red Oak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0900069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Reidsville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3100068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Rock Hill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3800026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Ruby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0900074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Salem 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3102038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Six Mile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0901144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1"/>
              </w:rPr>
              <w:t>St. Marys Sand Company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0901199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Statesville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3100055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Texas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1800009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Thomasville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3101475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Tyrone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0900306</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Vance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0103022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Warfordsburg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3600168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Warrenton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0900580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Wilmington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3101308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Wilson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3102230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Woodleaf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3100069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100" w:type="dxa"/>
            <w:vAlign w:val="bottom"/>
          </w:tcPr>
          <w:p>
            <w:pPr>
              <w:spacing w:after="0" w:line="227" w:lineRule="exact"/>
              <w:rPr>
                <w:sz w:val="20"/>
                <w:szCs w:val="20"/>
                <w:color w:val="auto"/>
              </w:rPr>
            </w:pPr>
            <w:r>
              <w:rPr>
                <w:rFonts w:ascii="Arial" w:cs="Arial" w:eastAsia="Arial" w:hAnsi="Arial"/>
                <w:sz w:val="20"/>
                <w:szCs w:val="20"/>
                <w:color w:val="auto"/>
              </w:rPr>
              <w:t>(45) North Indianapolis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100" w:type="dxa"/>
            <w:vAlign w:val="bottom"/>
          </w:tcPr>
          <w:p>
            <w:pPr>
              <w:spacing w:after="0"/>
              <w:rPr>
                <w:sz w:val="20"/>
                <w:szCs w:val="20"/>
                <w:color w:val="auto"/>
              </w:rPr>
            </w:pPr>
            <w:r>
              <w:rPr>
                <w:rFonts w:ascii="Arial" w:cs="Arial" w:eastAsia="Arial" w:hAnsi="Arial"/>
                <w:sz w:val="20"/>
                <w:szCs w:val="20"/>
                <w:color w:val="auto"/>
              </w:rPr>
              <w:t>SURFACE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1200002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625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8"/>
              </w:rPr>
              <w:t>Alden Portable Plant #2</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1302033</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100" w:type="dxa"/>
            <w:vAlign w:val="bottom"/>
          </w:tcPr>
          <w:p>
            <w:pPr>
              <w:spacing w:after="0"/>
              <w:rPr>
                <w:sz w:val="20"/>
                <w:szCs w:val="20"/>
                <w:color w:val="auto"/>
              </w:rPr>
            </w:pPr>
            <w:r>
              <w:rPr>
                <w:rFonts w:ascii="Arial" w:cs="Arial" w:eastAsia="Arial" w:hAnsi="Arial"/>
                <w:sz w:val="20"/>
                <w:szCs w:val="20"/>
                <w:color w:val="auto"/>
              </w:rPr>
              <w:t>Alden Portable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1302037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Alden 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1300228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Ames Mine</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1300014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Apple Grove S G</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3301676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Belmont Sand</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1201911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North</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1500065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tcPr>
          <w:p>
            <w:pPr>
              <w:spacing w:after="0" w:line="227" w:lineRule="exact"/>
              <w:rPr>
                <w:sz w:val="20"/>
                <w:szCs w:val="20"/>
                <w:color w:val="auto"/>
              </w:rPr>
            </w:pPr>
            <w:r>
              <w:rPr>
                <w:rFonts w:ascii="Arial" w:cs="Arial" w:eastAsia="Arial" w:hAnsi="Arial"/>
                <w:sz w:val="20"/>
                <w:szCs w:val="20"/>
                <w:color w:val="auto"/>
              </w:rPr>
              <w:t>Bowling Green South</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1500025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Burning Springs Mine</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4608862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Carmel Sand</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1202124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Cedar Rapids 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1300122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Cedarville 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3304072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Cloverdale 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1201744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Cumberland 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1500037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Des Moines Portable</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1300150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w w:val="95"/>
              </w:rPr>
              <w:t>Des Moines Portable #2</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1300932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Dubois 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2501046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Durham Mine</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1301225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E Town Sand Gravel</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3304279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Earlham 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1302123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Fairfield 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3301396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172</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Ferguson 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1300124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Elk River Wash Plant</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2101218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Fort Calhoun 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2500006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2,041</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Fort Dodge Mine</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1300032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1,367</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20"/>
                <w:szCs w:val="20"/>
                <w:color w:val="auto"/>
                <w:w w:val="98"/>
              </w:rPr>
              <w:t>Greenwood Quarry  New 2300141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Harlan Quarry</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1500071</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Hartford Quarry</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1500095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Inactive Iowa Grading</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1302126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Iowa Grading</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1302316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4"/>
              </w:rPr>
              <w:t>Johnson County Sand &amp;</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Gravel</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1202506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Kentucky Ave Mine</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1201762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2,097</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Kokomo Mine</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1202105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674</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Kokomo Sand</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1202203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Kokomo Stone</w:t>
            </w:r>
          </w:p>
        </w:tc>
        <w:tc>
          <w:tcPr>
            <w:tcW w:w="9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1200142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060" w:type="dxa"/>
            <w:vAlign w:val="bottom"/>
          </w:tcPr>
          <w:p>
            <w:pPr>
              <w:spacing w:after="0"/>
              <w:rPr>
                <w:sz w:val="20"/>
                <w:szCs w:val="20"/>
                <w:color w:val="auto"/>
              </w:rPr>
            </w:pPr>
            <w:r>
              <w:rPr>
                <w:rFonts w:ascii="Arial" w:cs="Arial" w:eastAsia="Arial" w:hAnsi="Arial"/>
                <w:sz w:val="20"/>
                <w:szCs w:val="20"/>
                <w:color w:val="auto"/>
              </w:rPr>
              <w:t>Linn County Sand</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1302208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1300112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Marshalltown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1300718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A2354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Moore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1302188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687</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1301778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New Marshall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1302504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1201994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Noblesville Stone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1202176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1,558</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6"/>
              </w:rPr>
              <w:t>North Indianapolis Quarry 1201993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375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North Valley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2501271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Ottawa Quarry  New</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1401590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Pedersen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1302192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Petersburg Ky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1516895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Phillipsburg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3300006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Portable Mill (Durnin)</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2101110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4"/>
              </w:rPr>
              <w:t>Potable Plant (Sager, 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2101112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9"/>
              </w:rPr>
              <w:t>Portable Mill (Lindberg)</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2103287</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Portble Mill (Spare)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2103120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5"/>
              </w:rPr>
              <w:t>Portable Mill (Schenkey)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2103147</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20"/>
                <w:szCs w:val="20"/>
                <w:color w:val="auto"/>
                <w:w w:val="98"/>
              </w:rPr>
              <w:t>Portable Mill (Nordmann) 2103355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7"/>
              </w:rPr>
              <w:t>Portable Mill (Sager, T.)</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2101843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Portable Mill (Popp)</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2101593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Portland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1302122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Putnam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1202242</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Raccoon River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1302315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Randolph Mine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2302308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Reasnor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1300814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80" w:type="dxa"/>
            <w:vAlign w:val="bottom"/>
          </w:tcPr>
          <w:p>
            <w:pPr>
              <w:spacing w:after="0" w:line="227" w:lineRule="exact"/>
              <w:rPr>
                <w:sz w:val="20"/>
                <w:szCs w:val="20"/>
                <w:color w:val="auto"/>
              </w:rPr>
            </w:pPr>
            <w:r>
              <w:rPr>
                <w:rFonts w:ascii="Arial" w:cs="Arial" w:eastAsia="Arial" w:hAnsi="Arial"/>
                <w:sz w:val="20"/>
                <w:szCs w:val="20"/>
                <w:color w:val="auto"/>
              </w:rPr>
              <w:t>Reclamation Crew</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80" w:type="dxa"/>
            <w:vAlign w:val="bottom"/>
          </w:tcPr>
          <w:p>
            <w:pPr>
              <w:spacing w:after="0"/>
              <w:rPr>
                <w:sz w:val="20"/>
                <w:szCs w:val="20"/>
                <w:color w:val="auto"/>
              </w:rPr>
            </w:pPr>
            <w:r>
              <w:rPr>
                <w:rFonts w:ascii="Arial" w:cs="Arial" w:eastAsia="Arial" w:hAnsi="Arial"/>
                <w:sz w:val="20"/>
                <w:szCs w:val="20"/>
                <w:color w:val="auto"/>
              </w:rPr>
              <w:t>(Rowan)</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2103690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1302290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Shamrock SG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3304011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8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Spring Valley Cook Rd</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SG</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3304534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St Cloud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2100081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Stamper Mine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2302232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5</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Sully Mine</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1300063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Sunflower Qy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1401556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2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2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468"/>
        </w:trPr>
        <w:tc>
          <w:tcPr>
            <w:tcW w:w="2080" w:type="dxa"/>
            <w:vAlign w:val="bottom"/>
          </w:tcPr>
          <w:p>
            <w:pPr>
              <w:spacing w:after="0"/>
              <w:rPr>
                <w:sz w:val="20"/>
                <w:szCs w:val="20"/>
                <w:color w:val="auto"/>
              </w:rPr>
            </w:pPr>
            <w:r>
              <w:rPr>
                <w:rFonts w:ascii="Arial" w:cs="Arial" w:eastAsia="Arial" w:hAnsi="Arial"/>
                <w:sz w:val="20"/>
                <w:szCs w:val="20"/>
                <w:color w:val="auto"/>
              </w:rPr>
              <w:t>Troy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3301678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Waterloo Sand</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2501314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Waverly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1202038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Weeping Water Mine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2500998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2,469</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West Center Sand</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2501231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Xenia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3301393</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7"/>
              </w:rPr>
              <w:t>Yellow Medicine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2100033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Rich Sand &amp;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0504186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9"/>
              </w:rPr>
              <w:t>Granite Canyon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4800018</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w w:val="87"/>
              </w:rPr>
              <w:t>3,902</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w w:val="96"/>
              </w:rPr>
              <w:t>Greeley 35th Ready Mix</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0504382</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20"/>
                <w:szCs w:val="20"/>
                <w:color w:val="auto"/>
                <w:w w:val="95"/>
              </w:rPr>
              <w:t>Greeley 35th Sand Gravel 0504613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4800004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Milford Quarry  Utah</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4202177</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Pacific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4500844</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Parkdale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0504635</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Parsons Sand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0503215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89"/>
              </w:rPr>
              <w:t>Penrose Sand and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0504509</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Platte Sand &amp; Gravel</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0504418</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Portable Crushing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0503984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1</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0504359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Portable Plant 21</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0504520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Red Canyon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0504136</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w w:val="99"/>
              </w:rPr>
              <w:t>Riverbend Sand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0504841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0500860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1,125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Taft Sand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0504526</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0504735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51 Sand &amp;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4105381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Beckmann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4101335</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Bedrock Sand Gravel</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4103283</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250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Bells Savoy SG</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4104019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Black Rock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0300011</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Black Spur Quarry</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4104159</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87"/>
              </w:rPr>
              <w:t>2,155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20"/>
                <w:szCs w:val="20"/>
                <w:color w:val="auto"/>
              </w:rPr>
              <w:t>Blake Quarry</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1401584</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80" w:type="dxa"/>
            <w:vAlign w:val="bottom"/>
            <w:shd w:val="clear" w:color="auto" w:fill="CFF0FC"/>
          </w:tcPr>
          <w:p>
            <w:pPr>
              <w:spacing w:after="0"/>
              <w:rPr>
                <w:sz w:val="20"/>
                <w:szCs w:val="20"/>
                <w:color w:val="auto"/>
              </w:rPr>
            </w:pPr>
            <w:r>
              <w:rPr>
                <w:rFonts w:ascii="Arial" w:cs="Arial" w:eastAsia="Arial" w:hAnsi="Arial"/>
                <w:sz w:val="20"/>
                <w:szCs w:val="20"/>
                <w:color w:val="auto"/>
              </w:rPr>
              <w:t>Bridgeport Stone</w:t>
            </w:r>
          </w:p>
        </w:tc>
        <w:tc>
          <w:tcPr>
            <w:tcW w:w="9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97"/>
              </w:rPr>
              <w:t>4100007</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20"/>
                <w:szCs w:val="20"/>
                <w:color w:val="auto"/>
              </w:rPr>
              <w:t>Broken Bow SG</w:t>
            </w:r>
          </w:p>
        </w:tc>
        <w:tc>
          <w:tcPr>
            <w:tcW w:w="940" w:type="dxa"/>
            <w:vAlign w:val="bottom"/>
          </w:tcPr>
          <w:p>
            <w:pPr>
              <w:jc w:val="right"/>
              <w:ind w:right="61"/>
              <w:spacing w:after="0"/>
              <w:rPr>
                <w:sz w:val="20"/>
                <w:szCs w:val="20"/>
                <w:color w:val="auto"/>
              </w:rPr>
            </w:pPr>
            <w:r>
              <w:rPr>
                <w:rFonts w:ascii="Arial" w:cs="Arial" w:eastAsia="Arial" w:hAnsi="Arial"/>
                <w:sz w:val="20"/>
                <w:szCs w:val="20"/>
                <w:color w:val="auto"/>
                <w:w w:val="97"/>
              </w:rPr>
              <w:t>3400460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0"/>
        </w:trPr>
        <w:tc>
          <w:tcPr>
            <w:tcW w:w="2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20"/>
                <w:szCs w:val="20"/>
                <w:color w:val="auto"/>
                <w:w w:val="91"/>
              </w:rPr>
              <w:t>Appendix 1</w:t>
            </w:r>
          </w:p>
        </w:tc>
      </w:tr>
      <w:tr>
        <w:trPr>
          <w:trHeight w:val="225"/>
        </w:trPr>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Chico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4103360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Davis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3401299</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561</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Garfield SG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4103909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Garwood Gravel</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4102886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GMS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C335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Gulf Coast Port #2</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4104204</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0301614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Helotes</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4103137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4103829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Hondo</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4104708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Hondo West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4104090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Hugo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3400061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Hunter Cement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4102820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Hunter 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4105230</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Idabel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3400507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Jones Mill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0301586</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Koontz McCombs Pit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4105048</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**Liberty Ranch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4105268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4105170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Midlothian Cement</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4100071</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Mill Creek Limestone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3401859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Mill Creek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3401285</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Perryville Aggregates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1601417</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Poteet Sand</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4101342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Rio Medina</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4103594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125</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San Pedro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4101337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Sawyer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3401634</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8"/>
              </w:rPr>
              <w:t>Smithson Valley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4104108</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Snyder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3401651</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Tin Top SG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4102852</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3402049</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Webberville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4104363</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9"/>
              </w:rPr>
              <w:t>Woodworth Aggregates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1601070</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4"/>
              </w:rPr>
              <w:t>Geology and Exploration</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B7127</w:t>
            </w:r>
          </w:p>
        </w:tc>
        <w:tc>
          <w:tcPr>
            <w:tcW w:w="5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40"/>
              <w:spacing w:after="0"/>
              <w:rPr>
                <w:sz w:val="20"/>
                <w:szCs w:val="20"/>
                <w:color w:val="auto"/>
              </w:rPr>
            </w:pPr>
            <w:r>
              <w:rPr>
                <w:rFonts w:ascii="Arial" w:cs="Arial" w:eastAsia="Arial" w:hAnsi="Arial"/>
                <w:sz w:val="20"/>
                <w:szCs w:val="20"/>
                <w:color w:val="auto"/>
              </w:rPr>
              <w:t>no</w:t>
            </w:r>
          </w:p>
        </w:tc>
        <w:tc>
          <w:tcPr>
            <w:tcW w:w="800" w:type="dxa"/>
            <w:vAlign w:val="bottom"/>
          </w:tcPr>
          <w:p>
            <w:pPr>
              <w:ind w:left="300"/>
              <w:spacing w:after="0"/>
              <w:rPr>
                <w:sz w:val="20"/>
                <w:szCs w:val="20"/>
                <w:color w:val="auto"/>
              </w:rPr>
            </w:pPr>
            <w:r>
              <w:rPr>
                <w:rFonts w:ascii="Arial" w:cs="Arial" w:eastAsia="Arial" w:hAnsi="Arial"/>
                <w:sz w:val="20"/>
                <w:szCs w:val="20"/>
                <w:color w:val="auto"/>
              </w:rPr>
              <w:t>no</w:t>
            </w:r>
          </w:p>
        </w:tc>
        <w:tc>
          <w:tcPr>
            <w:tcW w:w="72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4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Salisbury Shop</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3101235</w:t>
            </w:r>
          </w:p>
        </w:tc>
        <w:tc>
          <w:tcPr>
            <w:tcW w:w="56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68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70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w:t>
            </w:r>
          </w:p>
        </w:tc>
        <w:tc>
          <w:tcPr>
            <w:tcW w:w="800" w:type="dxa"/>
            <w:vAlign w:val="bottom"/>
            <w:shd w:val="clear" w:color="auto" w:fill="CFF0FC"/>
          </w:tcPr>
          <w:p>
            <w:pPr>
              <w:ind w:left="300"/>
              <w:spacing w:after="0"/>
              <w:rPr>
                <w:sz w:val="20"/>
                <w:szCs w:val="20"/>
                <w:color w:val="auto"/>
              </w:rPr>
            </w:pPr>
            <w:r>
              <w:rPr>
                <w:rFonts w:ascii="Arial" w:cs="Arial" w:eastAsia="Arial" w:hAnsi="Arial"/>
                <w:sz w:val="20"/>
                <w:szCs w:val="20"/>
                <w:color w:val="auto"/>
              </w:rPr>
              <w:t>no</w:t>
            </w:r>
          </w:p>
        </w:tc>
        <w:tc>
          <w:tcPr>
            <w:tcW w:w="72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547"/>
        </w:trPr>
        <w:tc>
          <w:tcPr>
            <w:tcW w:w="2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gridSpan w:val="2"/>
          </w:tcPr>
          <w:p>
            <w:pPr>
              <w:ind w:left="420"/>
              <w:spacing w:after="0"/>
              <w:rPr>
                <w:sz w:val="20"/>
                <w:szCs w:val="20"/>
                <w:color w:val="auto"/>
              </w:rPr>
            </w:pPr>
            <w:r>
              <w:rPr>
                <w:rFonts w:ascii="Arial" w:cs="Arial" w:eastAsia="Arial" w:hAnsi="Arial"/>
                <w:sz w:val="20"/>
                <w:szCs w:val="20"/>
                <w:color w:val="auto"/>
                <w:w w:val="89"/>
              </w:rPr>
              <w:t>Appendix 1</w:t>
            </w:r>
          </w:p>
        </w:tc>
      </w:tr>
      <w:tr>
        <w:trPr>
          <w:trHeight w:val="468"/>
        </w:trPr>
        <w:tc>
          <w:tcPr>
            <w:tcW w:w="1780" w:type="dxa"/>
            <w:vAlign w:val="bottom"/>
          </w:tcPr>
          <w:p>
            <w:pPr>
              <w:spacing w:after="0"/>
              <w:rPr>
                <w:sz w:val="20"/>
                <w:szCs w:val="20"/>
                <w:color w:val="auto"/>
              </w:rPr>
            </w:pPr>
            <w:r>
              <w:rPr>
                <w:rFonts w:ascii="Arial" w:cs="Arial" w:eastAsia="Arial" w:hAnsi="Arial"/>
                <w:sz w:val="20"/>
                <w:szCs w:val="20"/>
                <w:color w:val="auto"/>
              </w:rPr>
              <w:t>Woodville  Stone</w:t>
            </w:r>
          </w:p>
        </w:tc>
        <w:tc>
          <w:tcPr>
            <w:tcW w:w="1180" w:type="dxa"/>
            <w:vAlign w:val="bottom"/>
          </w:tcPr>
          <w:p>
            <w:pPr>
              <w:jc w:val="right"/>
              <w:ind w:right="41"/>
              <w:spacing w:after="0"/>
              <w:rPr>
                <w:sz w:val="20"/>
                <w:szCs w:val="20"/>
                <w:color w:val="auto"/>
              </w:rPr>
            </w:pPr>
            <w:r>
              <w:rPr>
                <w:rFonts w:ascii="Arial" w:cs="Arial" w:eastAsia="Arial" w:hAnsi="Arial"/>
                <w:sz w:val="20"/>
                <w:szCs w:val="20"/>
                <w:color w:val="auto"/>
              </w:rPr>
              <w:t>3300156</w:t>
            </w:r>
          </w:p>
        </w:tc>
        <w:tc>
          <w:tcPr>
            <w:tcW w:w="600" w:type="dxa"/>
            <w:vAlign w:val="bottom"/>
          </w:tcPr>
          <w:p>
            <w:pPr>
              <w:jc w:val="right"/>
              <w:ind w:right="241"/>
              <w:spacing w:after="0"/>
              <w:rPr>
                <w:sz w:val="20"/>
                <w:szCs w:val="20"/>
                <w:color w:val="auto"/>
              </w:rPr>
            </w:pPr>
            <w:r>
              <w:rPr>
                <w:rFonts w:ascii="Arial" w:cs="Arial" w:eastAsia="Arial" w:hAnsi="Arial"/>
                <w:sz w:val="20"/>
                <w:szCs w:val="20"/>
                <w:color w:val="auto"/>
              </w:rPr>
              <w:t>7</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500" w:type="dxa"/>
            <w:vAlign w:val="bottom"/>
          </w:tcPr>
          <w:p>
            <w:pPr>
              <w:jc w:val="right"/>
              <w:ind w:right="141"/>
              <w:spacing w:after="0"/>
              <w:rPr>
                <w:sz w:val="20"/>
                <w:szCs w:val="20"/>
                <w:color w:val="auto"/>
              </w:rPr>
            </w:pPr>
            <w:r>
              <w:rPr>
                <w:rFonts w:ascii="Arial" w:cs="Arial" w:eastAsia="Arial" w:hAnsi="Arial"/>
                <w:sz w:val="20"/>
                <w:szCs w:val="20"/>
                <w:color w:val="auto"/>
              </w:rPr>
              <w:t>0</w:t>
            </w:r>
          </w:p>
        </w:tc>
        <w:tc>
          <w:tcPr>
            <w:tcW w:w="740" w:type="dxa"/>
            <w:vAlign w:val="bottom"/>
          </w:tcPr>
          <w:p>
            <w:pPr>
              <w:ind w:left="260"/>
              <w:spacing w:after="0"/>
              <w:rPr>
                <w:sz w:val="20"/>
                <w:szCs w:val="20"/>
                <w:color w:val="auto"/>
              </w:rPr>
            </w:pPr>
            <w:r>
              <w:rPr>
                <w:rFonts w:ascii="Arial" w:cs="Arial" w:eastAsia="Arial" w:hAnsi="Arial"/>
                <w:sz w:val="20"/>
                <w:szCs w:val="20"/>
                <w:color w:val="auto"/>
              </w:rPr>
              <w:t>no</w:t>
            </w:r>
          </w:p>
        </w:tc>
        <w:tc>
          <w:tcPr>
            <w:tcW w:w="780" w:type="dxa"/>
            <w:vAlign w:val="bottom"/>
          </w:tcPr>
          <w:p>
            <w:pPr>
              <w:ind w:left="300"/>
              <w:spacing w:after="0"/>
              <w:rPr>
                <w:sz w:val="20"/>
                <w:szCs w:val="20"/>
                <w:color w:val="auto"/>
              </w:rPr>
            </w:pPr>
            <w:r>
              <w:rPr>
                <w:rFonts w:ascii="Arial" w:cs="Arial" w:eastAsia="Arial" w:hAnsi="Arial"/>
                <w:sz w:val="20"/>
                <w:szCs w:val="20"/>
                <w:color w:val="auto"/>
              </w:rPr>
              <w:t>no</w:t>
            </w:r>
          </w:p>
        </w:tc>
        <w:tc>
          <w:tcPr>
            <w:tcW w:w="760" w:type="dxa"/>
            <w:vAlign w:val="bottom"/>
          </w:tcPr>
          <w:p>
            <w:pPr>
              <w:jc w:val="right"/>
              <w:ind w:right="221"/>
              <w:spacing w:after="0"/>
              <w:rPr>
                <w:sz w:val="20"/>
                <w:szCs w:val="20"/>
                <w:color w:val="auto"/>
              </w:rPr>
            </w:pPr>
            <w:r>
              <w:rPr>
                <w:rFonts w:ascii="Arial" w:cs="Arial" w:eastAsia="Arial" w:hAnsi="Arial"/>
                <w:sz w:val="20"/>
                <w:szCs w:val="20"/>
                <w:color w:val="auto"/>
              </w:rPr>
              <w:t>3</w:t>
            </w:r>
          </w:p>
        </w:tc>
        <w:tc>
          <w:tcPr>
            <w:tcW w:w="680" w:type="dxa"/>
            <w:vAlign w:val="bottom"/>
          </w:tcPr>
          <w:p>
            <w:pPr>
              <w:jc w:val="right"/>
              <w:ind w:right="181"/>
              <w:spacing w:after="0"/>
              <w:rPr>
                <w:sz w:val="20"/>
                <w:szCs w:val="20"/>
                <w:color w:val="auto"/>
              </w:rPr>
            </w:pPr>
            <w:r>
              <w:rPr>
                <w:rFonts w:ascii="Arial" w:cs="Arial" w:eastAsia="Arial" w:hAnsi="Arial"/>
                <w:sz w:val="20"/>
                <w:szCs w:val="20"/>
                <w:color w:val="auto"/>
              </w:rPr>
              <w:t>3</w:t>
            </w:r>
          </w:p>
        </w:tc>
        <w:tc>
          <w:tcPr>
            <w:tcW w:w="660" w:type="dxa"/>
            <w:vAlign w:val="bottom"/>
          </w:tcPr>
          <w:p>
            <w:pPr>
              <w:jc w:val="right"/>
              <w:ind w:right="201"/>
              <w:spacing w:after="0"/>
              <w:rPr>
                <w:sz w:val="20"/>
                <w:szCs w:val="20"/>
                <w:color w:val="auto"/>
              </w:rPr>
            </w:pPr>
            <w:r>
              <w:rPr>
                <w:rFonts w:ascii="Arial" w:cs="Arial" w:eastAsia="Arial" w:hAnsi="Arial"/>
                <w:sz w:val="20"/>
                <w:szCs w:val="20"/>
                <w:color w:val="auto"/>
              </w:rPr>
              <w:t>1</w:t>
            </w:r>
          </w:p>
        </w:tc>
      </w:tr>
      <w:tr>
        <w:trPr>
          <w:trHeight w:val="243"/>
        </w:trPr>
        <w:tc>
          <w:tcPr>
            <w:tcW w:w="17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20"/>
                <w:szCs w:val="20"/>
                <w:b w:val="1"/>
                <w:bCs w:val="1"/>
                <w:color w:val="auto"/>
              </w:rPr>
              <w:t>TOTAL</w:t>
            </w:r>
          </w:p>
        </w:tc>
        <w:tc>
          <w:tcPr>
            <w:tcW w:w="1180" w:type="dxa"/>
            <w:vAlign w:val="bottom"/>
          </w:tcPr>
          <w:p>
            <w:pPr>
              <w:spacing w:after="0"/>
              <w:rPr>
                <w:sz w:val="22"/>
                <w:szCs w:val="22"/>
                <w:color w:val="auto"/>
              </w:rPr>
            </w:pPr>
          </w:p>
        </w:tc>
        <w:tc>
          <w:tcPr>
            <w:tcW w:w="600" w:type="dxa"/>
            <w:vAlign w:val="bottom"/>
          </w:tcPr>
          <w:p>
            <w:pPr>
              <w:jc w:val="right"/>
              <w:ind w:right="181"/>
              <w:spacing w:after="0"/>
              <w:rPr>
                <w:sz w:val="20"/>
                <w:szCs w:val="20"/>
                <w:color w:val="auto"/>
              </w:rPr>
            </w:pPr>
            <w:r>
              <w:rPr>
                <w:rFonts w:ascii="Arial" w:cs="Arial" w:eastAsia="Arial" w:hAnsi="Arial"/>
                <w:sz w:val="20"/>
                <w:szCs w:val="20"/>
                <w:b w:val="1"/>
                <w:bCs w:val="1"/>
                <w:color w:val="auto"/>
              </w:rPr>
              <w:t>25</w:t>
            </w:r>
          </w:p>
        </w:tc>
        <w:tc>
          <w:tcPr>
            <w:tcW w:w="66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b w:val="1"/>
                <w:bCs w:val="1"/>
                <w:color w:val="auto"/>
              </w:rPr>
              <w:t>0</w:t>
            </w:r>
          </w:p>
        </w:tc>
        <w:tc>
          <w:tcPr>
            <w:tcW w:w="680" w:type="dxa"/>
            <w:vAlign w:val="bottom"/>
          </w:tcPr>
          <w:p>
            <w:pPr>
              <w:jc w:val="right"/>
              <w:ind w:right="201"/>
              <w:spacing w:after="0"/>
              <w:rPr>
                <w:sz w:val="20"/>
                <w:szCs w:val="20"/>
                <w:color w:val="auto"/>
              </w:rPr>
            </w:pPr>
            <w:r>
              <w:rPr>
                <w:rFonts w:ascii="Arial" w:cs="Arial" w:eastAsia="Arial" w:hAnsi="Arial"/>
                <w:sz w:val="20"/>
                <w:szCs w:val="20"/>
                <w:b w:val="1"/>
                <w:bCs w:val="1"/>
                <w:color w:val="auto"/>
              </w:rPr>
              <w:t>0</w:t>
            </w:r>
          </w:p>
        </w:tc>
        <w:tc>
          <w:tcPr>
            <w:tcW w:w="560" w:type="dxa"/>
            <w:vAlign w:val="bottom"/>
          </w:tcPr>
          <w:p>
            <w:pPr>
              <w:jc w:val="right"/>
              <w:ind w:right="61"/>
              <w:spacing w:after="0"/>
              <w:rPr>
                <w:sz w:val="20"/>
                <w:szCs w:val="20"/>
                <w:color w:val="auto"/>
              </w:rPr>
            </w:pPr>
            <w:r>
              <w:rPr>
                <w:rFonts w:ascii="Arial" w:cs="Arial" w:eastAsia="Arial" w:hAnsi="Arial"/>
                <w:sz w:val="20"/>
                <w:szCs w:val="20"/>
                <w:b w:val="1"/>
                <w:bCs w:val="1"/>
                <w:color w:val="auto"/>
              </w:rPr>
              <w:t>0</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740" w:type="dxa"/>
            <w:vAlign w:val="bottom"/>
          </w:tcPr>
          <w:p>
            <w:pPr>
              <w:jc w:val="right"/>
              <w:ind w:right="81"/>
              <w:spacing w:after="0"/>
              <w:rPr>
                <w:sz w:val="20"/>
                <w:szCs w:val="20"/>
                <w:color w:val="auto"/>
              </w:rPr>
            </w:pPr>
            <w:r>
              <w:rPr>
                <w:rFonts w:ascii="Arial" w:cs="Arial" w:eastAsia="Arial" w:hAnsi="Arial"/>
                <w:sz w:val="20"/>
                <w:szCs w:val="20"/>
                <w:b w:val="1"/>
                <w:bCs w:val="1"/>
                <w:color w:val="auto"/>
                <w:w w:val="88"/>
              </w:rPr>
              <w:t>25,591</w:t>
            </w:r>
          </w:p>
        </w:tc>
        <w:tc>
          <w:tcPr>
            <w:tcW w:w="500" w:type="dxa"/>
            <w:vAlign w:val="bottom"/>
          </w:tcPr>
          <w:p>
            <w:pPr>
              <w:jc w:val="right"/>
              <w:ind w:right="141"/>
              <w:spacing w:after="0"/>
              <w:rPr>
                <w:sz w:val="20"/>
                <w:szCs w:val="20"/>
                <w:color w:val="auto"/>
              </w:rPr>
            </w:pPr>
            <w:r>
              <w:rPr>
                <w:rFonts w:ascii="Arial" w:cs="Arial" w:eastAsia="Arial" w:hAnsi="Arial"/>
                <w:sz w:val="20"/>
                <w:szCs w:val="20"/>
                <w:b w:val="1"/>
                <w:bCs w:val="1"/>
                <w:color w:val="auto"/>
              </w:rPr>
              <w:t>0</w:t>
            </w: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jc w:val="right"/>
              <w:ind w:right="161"/>
              <w:spacing w:after="0"/>
              <w:rPr>
                <w:sz w:val="20"/>
                <w:szCs w:val="20"/>
                <w:color w:val="auto"/>
              </w:rPr>
            </w:pPr>
            <w:r>
              <w:rPr>
                <w:rFonts w:ascii="Arial" w:cs="Arial" w:eastAsia="Arial" w:hAnsi="Arial"/>
                <w:sz w:val="20"/>
                <w:szCs w:val="20"/>
                <w:b w:val="1"/>
                <w:bCs w:val="1"/>
                <w:color w:val="auto"/>
              </w:rPr>
              <w:t>17</w:t>
            </w:r>
          </w:p>
        </w:tc>
        <w:tc>
          <w:tcPr>
            <w:tcW w:w="680" w:type="dxa"/>
            <w:vAlign w:val="bottom"/>
          </w:tcPr>
          <w:p>
            <w:pPr>
              <w:jc w:val="right"/>
              <w:ind w:right="141"/>
              <w:spacing w:after="0"/>
              <w:rPr>
                <w:sz w:val="20"/>
                <w:szCs w:val="20"/>
                <w:color w:val="auto"/>
              </w:rPr>
            </w:pPr>
            <w:r>
              <w:rPr>
                <w:rFonts w:ascii="Arial" w:cs="Arial" w:eastAsia="Arial" w:hAnsi="Arial"/>
                <w:sz w:val="20"/>
                <w:szCs w:val="20"/>
                <w:b w:val="1"/>
                <w:bCs w:val="1"/>
                <w:color w:val="auto"/>
              </w:rPr>
              <w:t>18</w:t>
            </w:r>
          </w:p>
        </w:tc>
        <w:tc>
          <w:tcPr>
            <w:tcW w:w="660" w:type="dxa"/>
            <w:vAlign w:val="bottom"/>
          </w:tcPr>
          <w:p>
            <w:pPr>
              <w:jc w:val="right"/>
              <w:ind w:right="161"/>
              <w:spacing w:after="0"/>
              <w:rPr>
                <w:sz w:val="20"/>
                <w:szCs w:val="20"/>
                <w:color w:val="auto"/>
              </w:rPr>
            </w:pPr>
            <w:r>
              <w:rPr>
                <w:rFonts w:ascii="Arial" w:cs="Arial" w:eastAsia="Arial" w:hAnsi="Arial"/>
                <w:sz w:val="20"/>
                <w:szCs w:val="20"/>
                <w:b w:val="1"/>
                <w:bCs w:val="1"/>
                <w:color w:val="auto"/>
              </w:rPr>
              <w:t>11</w:t>
            </w:r>
          </w:p>
        </w:tc>
      </w:tr>
    </w:tbl>
    <w:p>
      <w:pPr>
        <w:spacing w:after="0" w:line="186" w:lineRule="exact"/>
        <w:rPr>
          <w:sz w:val="20"/>
          <w:szCs w:val="20"/>
          <w:color w:val="auto"/>
        </w:rPr>
      </w:pPr>
    </w:p>
    <w:p>
      <w:pPr>
        <w:jc w:val="both"/>
        <w:ind w:firstLine="8"/>
        <w:spacing w:after="0" w:line="260" w:lineRule="auto"/>
        <w:tabs>
          <w:tab w:leader="none" w:pos="153" w:val="left"/>
        </w:tabs>
        <w:numPr>
          <w:ilvl w:val="0"/>
          <w:numId w:val="31"/>
        </w:numPr>
        <w:rPr>
          <w:rFonts w:ascii="Arial" w:cs="Arial" w:eastAsia="Arial" w:hAnsi="Arial"/>
          <w:sz w:val="19"/>
          <w:szCs w:val="19"/>
          <w:color w:val="auto"/>
        </w:rPr>
      </w:pPr>
      <w:r>
        <w:rPr>
          <w:rFonts w:ascii="Arial" w:cs="Arial" w:eastAsia="Arial" w:hAnsi="Arial"/>
          <w:sz w:val="19"/>
          <w:szCs w:val="19"/>
          <w:color w:val="auto"/>
        </w:rPr>
        <w:t>Of the 11 legal actions pending on September 30, 2021, five were contests of citations or orders referenced in Subpart B of CFR Part 2700, which includes contests of citations and orders issued under Section 104 of the Mine Act and contests of imminent danger orders under Section 107 of the Mine Act and nine were contests of proposed penalties referenced in Subpart C of 29 CFR Part 2700, which are administrative proceedings before the Commission challenging a civil penalty that MSHA has proposed for the violation contained in a citation or order, and three were a contest of an order issued under section 103 (K) of the Mine Act.</w:t>
      </w:r>
    </w:p>
    <w:p>
      <w:pPr>
        <w:spacing w:after="0" w:line="153"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**Sites acquired by the Company on July 30, 2021 as part of the acquisition of assets from Southern Crushed Concrete. Represents citations, orders, violations, assessments, etc. with respect to the period of ownership by the Company from July 31, 2021 through September 30, 2021.</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7"/>
    </w:lvl>
  </w:abstractNum>
  <w:abstractNum w:abstractNumId="6">
    <w:nsid w:val="7C83E458"/>
    <w:multiLevelType w:val="hybridMultilevel"/>
    <w:lvl w:ilvl="0">
      <w:lvlJc w:val="left"/>
      <w:lvlText w:val="%1."/>
      <w:numFmt w:val="decimal"/>
      <w:start w:val="9"/>
    </w:lvl>
  </w:abstractNum>
  <w:abstractNum w:abstractNumId="7">
    <w:nsid w:val="257130A3"/>
    <w:multiLevelType w:val="hybridMultilevel"/>
    <w:lvl w:ilvl="0">
      <w:lvlJc w:val="left"/>
      <w:lvlText w:val="%1."/>
      <w:numFmt w:val="decimal"/>
      <w:start w:val="10"/>
    </w:lvl>
  </w:abstractNum>
  <w:abstractNum w:abstractNumId="8">
    <w:nsid w:val="62BBD95A"/>
    <w:multiLevelType w:val="hybridMultilevel"/>
    <w:lvl w:ilvl="0">
      <w:lvlJc w:val="left"/>
      <w:lvlText w:val="%1."/>
      <w:numFmt w:val="decimal"/>
      <w:start w:val="11"/>
    </w:lvl>
  </w:abstractNum>
  <w:abstractNum w:abstractNumId="9">
    <w:nsid w:val="436C6125"/>
    <w:multiLevelType w:val="hybridMultilevel"/>
    <w:lvl w:ilvl="0">
      <w:lvlJc w:val="left"/>
      <w:lvlText w:val="%1."/>
      <w:numFmt w:val="decimal"/>
      <w:start w:val="12"/>
    </w:lvl>
  </w:abstractNum>
  <w:abstractNum w:abstractNumId="10">
    <w:nsid w:val="628C895D"/>
    <w:multiLevelType w:val="hybridMultilevel"/>
    <w:lvl w:ilvl="0">
      <w:lvlJc w:val="left"/>
      <w:lvlText w:val="%1."/>
      <w:numFmt w:val="decimal"/>
      <w:start w:val="14"/>
    </w:lvl>
  </w:abstractNum>
  <w:abstractNum w:abstractNumId="11">
    <w:nsid w:val="333AB105"/>
    <w:multiLevelType w:val="hybridMultilevel"/>
    <w:lvl w:ilvl="0">
      <w:lvlJc w:val="left"/>
      <w:lvlText w:val="%1."/>
      <w:numFmt w:val="decimal"/>
      <w:start w:val="15"/>
    </w:lvl>
  </w:abstractNum>
  <w:abstractNum w:abstractNumId="12">
    <w:nsid w:val="721DA317"/>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lvl w:ilvl="3">
      <w:lvlJc w:val="left"/>
      <w:lvlText w:val="(%4)"/>
      <w:numFmt w:val="decimal"/>
      <w:start w:val="2"/>
    </w:lvl>
  </w:abstractNum>
  <w:abstractNum w:abstractNumId="13">
    <w:nsid w:val="2443A858"/>
    <w:multiLevelType w:val="hybridMultilevel"/>
    <w:lvl w:ilvl="0">
      <w:lvlJc w:val="left"/>
      <w:lvlText w:val="(%1)"/>
      <w:numFmt w:val="decimal"/>
      <w:start w:val="5"/>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17">
    <w:nsid w:val="8EDBDAB"/>
    <w:multiLevelType w:val="hybridMultilevel"/>
    <w:lvl w:ilvl="0">
      <w:lvlJc w:val="left"/>
      <w:lvlText w:val="(%1)"/>
      <w:numFmt w:val="decimal"/>
      <w:start w:val="3"/>
    </w:lvl>
    <w:lvl w:ilvl="1">
      <w:lvlJc w:val="left"/>
      <w:lvlText w:val="(%2)"/>
      <w:numFmt w:val="decimal"/>
      <w:start w:val="4"/>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95"/>
    </w:lvl>
  </w:abstractNum>
  <w:abstractNum w:abstractNumId="21">
    <w:nsid w:val="189A769B"/>
    <w:multiLevelType w:val="hybridMultilevel"/>
    <w:lvl w:ilvl="0">
      <w:lvlJc w:val="left"/>
      <w:lvlText w:val="%1"/>
      <w:numFmt w:val="decimal"/>
      <w:start w:val="104"/>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5"/>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lowerLetter"/>
      <w:start w:val="1"/>
    </w:lvl>
  </w:abstractNum>
  <w:abstractNum w:abstractNumId="25">
    <w:nsid w:val="836C40E"/>
    <w:multiLevelType w:val="hybridMultilevel"/>
    <w:lvl w:ilvl="0">
      <w:lvlJc w:val="left"/>
      <w:lvlText w:val="%1."/>
      <w:numFmt w:val="decimal"/>
      <w:start w:val="5"/>
    </w:lvl>
    <w:lvl w:ilvl="1">
      <w:lvlJc w:val="left"/>
      <w:lvlText w:val="%2."/>
      <w:numFmt w:val="lowerLetter"/>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2021-11-02T14:11:57Z</dcterms:created>
  <dcterms:modified xsi:type="dcterms:W3CDTF">2021-11-02T14:11:57Z</dcterms:modified>
</cp:coreProperties>
</file>