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880" w:right="1300" w:hanging="3872"/>
        <w:spacing w:after="0" w:line="243"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June 30, 2018</w:t>
      </w:r>
    </w:p>
    <w:p>
      <w:pPr>
        <w:spacing w:after="0" w:line="18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7" w:right="219" w:bottom="1440" w:gutter="0" w:footer="0" w:header="0"/>
        </w:sectPr>
      </w:pPr>
    </w:p>
    <w:p>
      <w:pPr>
        <w:spacing w:after="0" w:line="29" w:lineRule="exact"/>
        <w:rPr>
          <w:sz w:val="24"/>
          <w:szCs w:val="24"/>
          <w:color w:val="auto"/>
        </w:rPr>
      </w:pPr>
    </w:p>
    <w:p>
      <w:pPr>
        <w:jc w:val="right"/>
        <w:ind w:right="440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7" w:right="219" w:bottom="1440" w:gutter="0" w:footer="0" w:header="0"/>
          <w:type w:val="continuous"/>
        </w:sectPr>
      </w:pP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62865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4800" w:type="dxa"/>
            <w:vAlign w:val="bottom"/>
          </w:tcPr>
          <w:p>
            <w:pPr>
              <w:jc w:val="center"/>
              <w:ind w:right="1505"/>
              <w:spacing w:after="0"/>
              <w:rPr>
                <w:sz w:val="20"/>
                <w:szCs w:val="20"/>
                <w:color w:val="auto"/>
              </w:rPr>
            </w:pPr>
            <w:r>
              <w:rPr>
                <w:rFonts w:ascii="Arial" w:cs="Arial" w:eastAsia="Arial" w:hAnsi="Arial"/>
                <w:sz w:val="19"/>
                <w:szCs w:val="19"/>
                <w:b w:val="1"/>
                <w:bCs w:val="1"/>
                <w:color w:val="auto"/>
                <w:w w:val="93"/>
              </w:rPr>
              <w:t>North Carolina</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0"/>
              </w:rPr>
              <w:t>56-1848578</w:t>
            </w:r>
          </w:p>
        </w:tc>
      </w:tr>
      <w:tr>
        <w:trPr>
          <w:trHeight w:val="216"/>
        </w:trPr>
        <w:tc>
          <w:tcPr>
            <w:tcW w:w="4800" w:type="dxa"/>
            <w:vAlign w:val="bottom"/>
          </w:tcPr>
          <w:p>
            <w:pPr>
              <w:jc w:val="center"/>
              <w:ind w:right="156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3520" w:type="dxa"/>
            <w:vAlign w:val="bottom"/>
          </w:tcPr>
          <w:p>
            <w:pPr>
              <w:jc w:val="center"/>
              <w:ind w:left="154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90"/>
              </w:rPr>
              <w:t>incorporation or organization)</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92"/>
              </w:rPr>
              <w:t>2710 Wycliff Road, Raleigh, NC</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3"/>
              </w:rPr>
              <w:t>(Zip Code)</w:t>
            </w:r>
          </w:p>
        </w:tc>
      </w:tr>
    </w:tbl>
    <w:p>
      <w:pPr>
        <w:jc w:val="center"/>
        <w:ind w:right="20"/>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ind w:right="20"/>
        <w:spacing w:after="0" w:line="239"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20"/>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spacing w:after="0" w:line="5" w:lineRule="exact"/>
        <w:rPr>
          <w:sz w:val="24"/>
          <w:szCs w:val="24"/>
          <w:color w:val="auto"/>
        </w:rPr>
      </w:pPr>
    </w:p>
    <w:p>
      <w:pPr>
        <w:jc w:val="both"/>
        <w:ind w:right="20"/>
        <w:spacing w:after="0" w:line="239"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jc w:val="center"/>
        <w:ind w:right="20"/>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spacing w:after="0" w:line="5" w:lineRule="exact"/>
        <w:rPr>
          <w:sz w:val="24"/>
          <w:szCs w:val="24"/>
          <w:color w:val="auto"/>
        </w:rPr>
      </w:pPr>
    </w:p>
    <w:p>
      <w:pPr>
        <w:jc w:val="both"/>
        <w:ind w:right="20"/>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280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2800" w:type="dxa"/>
            <w:vAlign w:val="bottom"/>
          </w:tcPr>
          <w:p>
            <w:pPr>
              <w:spacing w:after="0"/>
              <w:rPr>
                <w:sz w:val="20"/>
                <w:szCs w:val="20"/>
                <w:color w:val="auto"/>
              </w:rPr>
            </w:pPr>
            <w:r>
              <w:rPr>
                <w:rFonts w:ascii="Arial" w:cs="Arial" w:eastAsia="Arial" w:hAnsi="Arial"/>
                <w:sz w:val="19"/>
                <w:szCs w:val="19"/>
                <w:color w:val="auto"/>
              </w:rPr>
              <w:t>Non-accelerated filer</w:t>
            </w:r>
          </w:p>
        </w:tc>
        <w:tc>
          <w:tcPr>
            <w:tcW w:w="2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80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66" w:lineRule="exact"/>
        <w:rPr>
          <w:sz w:val="24"/>
          <w:szCs w:val="24"/>
          <w:color w:val="auto"/>
        </w:rPr>
      </w:pPr>
    </w:p>
    <w:p>
      <w:pPr>
        <w:ind w:right="20"/>
        <w:spacing w:after="0" w:line="224"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r>
        <w:rPr>
          <w:rFonts w:ascii="Arial" w:cs="Arial" w:eastAsia="Arial" w:hAnsi="Arial"/>
          <w:sz w:val="19"/>
          <w:szCs w:val="19"/>
          <w:color w:val="auto"/>
        </w:rPr>
        <w:t xml:space="preserve"> 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00" w:type="dxa"/>
            <w:vAlign w:val="bottom"/>
          </w:tcPr>
          <w:p>
            <w:pPr>
              <w:ind w:left="5060"/>
              <w:spacing w:after="0" w:line="209" w:lineRule="exact"/>
              <w:rPr>
                <w:sz w:val="20"/>
                <w:szCs w:val="20"/>
                <w:color w:val="auto"/>
              </w:rPr>
            </w:pPr>
            <w:r>
              <w:rPr>
                <w:rFonts w:ascii="Arial" w:cs="Arial" w:eastAsia="Arial" w:hAnsi="Arial"/>
                <w:sz w:val="19"/>
                <w:szCs w:val="19"/>
                <w:color w:val="auto"/>
                <w:w w:val="92"/>
              </w:rPr>
              <w:t xml:space="preserve">Yes </w:t>
            </w:r>
            <w:r>
              <w:rPr>
                <w:rFonts w:ascii="MS PGothic" w:cs="MS PGothic" w:eastAsia="MS PGothic" w:hAnsi="MS PGothic"/>
                <w:sz w:val="18"/>
                <w:szCs w:val="18"/>
                <w:color w:val="auto"/>
                <w:w w:val="92"/>
              </w:rPr>
              <w:t>☐</w:t>
            </w:r>
          </w:p>
        </w:tc>
        <w:tc>
          <w:tcPr>
            <w:tcW w:w="5800" w:type="dxa"/>
            <w:vAlign w:val="bottom"/>
            <w:gridSpan w:val="2"/>
          </w:tcPr>
          <w:p>
            <w:pPr>
              <w:ind w:left="180"/>
              <w:spacing w:after="0" w:line="20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tc>
        <w:tc>
          <w:tcPr>
            <w:tcW w:w="20" w:type="dxa"/>
            <w:vAlign w:val="bottom"/>
          </w:tcPr>
          <w:p>
            <w:pPr>
              <w:spacing w:after="0"/>
              <w:rPr>
                <w:sz w:val="18"/>
                <w:szCs w:val="18"/>
                <w:color w:val="auto"/>
              </w:rPr>
            </w:pPr>
          </w:p>
        </w:tc>
      </w:tr>
      <w:tr>
        <w:trPr>
          <w:trHeight w:val="240"/>
        </w:trPr>
        <w:tc>
          <w:tcPr>
            <w:tcW w:w="11420" w:type="dxa"/>
            <w:vAlign w:val="bottom"/>
            <w:gridSpan w:val="4"/>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20" w:type="dxa"/>
            <w:vAlign w:val="bottom"/>
          </w:tcPr>
          <w:p>
            <w:pPr>
              <w:spacing w:after="0"/>
              <w:rPr>
                <w:sz w:val="20"/>
                <w:szCs w:val="20"/>
                <w:color w:val="auto"/>
              </w:rPr>
            </w:pPr>
          </w:p>
        </w:tc>
      </w:tr>
      <w:tr>
        <w:trPr>
          <w:trHeight w:val="322"/>
        </w:trPr>
        <w:tc>
          <w:tcPr>
            <w:tcW w:w="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2"/>
              </w:rPr>
              <w:t>Class</w:t>
            </w: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Outstanding as of July 23, 2018</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9"/>
                <w:szCs w:val="19"/>
                <w:color w:val="auto"/>
                <w:w w:val="90"/>
              </w:rPr>
              <w:t>Common Stock, $0.01 par value</w:t>
            </w:r>
          </w:p>
        </w:tc>
        <w:tc>
          <w:tcPr>
            <w:tcW w:w="200" w:type="dxa"/>
            <w:vAlign w:val="bottom"/>
          </w:tcPr>
          <w:p>
            <w:pPr>
              <w:spacing w:after="0"/>
              <w:rPr>
                <w:sz w:val="20"/>
                <w:szCs w:val="20"/>
                <w:color w:val="auto"/>
              </w:rPr>
            </w:pPr>
          </w:p>
        </w:tc>
        <w:tc>
          <w:tcPr>
            <w:tcW w:w="5600" w:type="dxa"/>
            <w:vAlign w:val="bottom"/>
          </w:tcPr>
          <w:p>
            <w:pPr>
              <w:jc w:val="right"/>
              <w:ind w:right="2285"/>
              <w:spacing w:after="0"/>
              <w:rPr>
                <w:sz w:val="20"/>
                <w:szCs w:val="20"/>
                <w:color w:val="auto"/>
              </w:rPr>
            </w:pPr>
            <w:r>
              <w:rPr>
                <w:rFonts w:ascii="Arial" w:cs="Arial" w:eastAsia="Arial" w:hAnsi="Arial"/>
                <w:sz w:val="19"/>
                <w:szCs w:val="19"/>
                <w:color w:val="auto"/>
              </w:rPr>
              <w:t>63,011,972</w:t>
            </w:r>
          </w:p>
        </w:tc>
        <w:tc>
          <w:tcPr>
            <w:tcW w:w="20" w:type="dxa"/>
            <w:vAlign w:val="bottom"/>
          </w:tcPr>
          <w:p>
            <w:pPr>
              <w:spacing w:after="0"/>
              <w:rPr>
                <w:sz w:val="20"/>
                <w:szCs w:val="20"/>
                <w:color w:val="auto"/>
              </w:rPr>
            </w:pPr>
          </w:p>
        </w:tc>
      </w:tr>
      <w:tr>
        <w:trPr>
          <w:trHeight w:val="523"/>
        </w:trPr>
        <w:tc>
          <w:tcPr>
            <w:tcW w:w="20" w:type="dxa"/>
            <w:vAlign w:val="bottom"/>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864870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17"/>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17"/>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10640" w:type="dxa"/>
            <w:vAlign w:val="bottom"/>
            <w:gridSpan w:val="16"/>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Consolidated Balance Sheets – June 30, 2018, December 31, 2017 and June 30, 2017</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20"/>
                <w:szCs w:val="20"/>
                <w:color w:val="0000EE"/>
                <w:w w:val="93"/>
              </w:rPr>
            </w:pPr>
            <w:hyperlink w:anchor="page5">
              <w:r>
                <w:rPr>
                  <w:rFonts w:ascii="Arial" w:cs="Arial" w:eastAsia="Arial" w:hAnsi="Arial"/>
                  <w:sz w:val="20"/>
                  <w:szCs w:val="20"/>
                  <w:color w:val="0000EE"/>
                  <w:w w:val="93"/>
                </w:rPr>
                <w:t>Consolidated Statements of Earnings and Comprehensive Earnings – Three- and Six-Months Ended June 30, 2018 and 2017</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12"/>
          </w:tcPr>
          <w:p>
            <w:pPr>
              <w:spacing w:after="0"/>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Statements of Cash Flows – Six-Months Ended June 30, 2018 and 2017</w:t>
              </w:r>
            </w:hyperlink>
          </w:p>
        </w:tc>
        <w:tc>
          <w:tcPr>
            <w:tcW w:w="3060" w:type="dxa"/>
            <w:vAlign w:val="bottom"/>
            <w:tcBorders>
              <w:top w:val="single" w:sz="8" w:color="0000EE"/>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tcBorders>
              <w:bottom w:val="single" w:sz="8" w:color="0000EE"/>
            </w:tcBorders>
            <w:gridSpan w:val="10"/>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 of Total Equity – Six-Months Ended June 30, 2018</w:t>
              </w:r>
            </w:hyperlink>
          </w:p>
        </w:tc>
        <w:tc>
          <w:tcPr>
            <w:tcW w:w="44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20"/>
                <w:szCs w:val="20"/>
                <w:color w:val="0000EE"/>
                <w:w w:val="90"/>
              </w:rPr>
            </w:pPr>
            <w:hyperlink w:anchor="page31">
              <w:r>
                <w:rPr>
                  <w:rFonts w:ascii="Arial" w:cs="Arial" w:eastAsia="Arial" w:hAnsi="Arial"/>
                  <w:sz w:val="20"/>
                  <w:szCs w:val="20"/>
                  <w:color w:val="0000EE"/>
                  <w:w w:val="90"/>
                </w:rPr>
                <w:t>Item 2. Management’s Discussion and Analysis of Financial Condition and Results of Operations</w:t>
              </w:r>
            </w:hyperlink>
          </w:p>
        </w:tc>
        <w:tc>
          <w:tcPr>
            <w:tcW w:w="29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0"/>
          </w:tcPr>
          <w:p>
            <w:pPr>
              <w:spacing w:after="0"/>
              <w:rPr>
                <w:rFonts w:ascii="Arial" w:cs="Arial" w:eastAsia="Arial" w:hAnsi="Arial"/>
                <w:sz w:val="20"/>
                <w:szCs w:val="20"/>
                <w:color w:val="0000EE"/>
                <w:w w:val="91"/>
              </w:rPr>
            </w:pPr>
            <w:hyperlink w:anchor="page54">
              <w:r>
                <w:rPr>
                  <w:rFonts w:ascii="Arial" w:cs="Arial" w:eastAsia="Arial" w:hAnsi="Arial"/>
                  <w:sz w:val="20"/>
                  <w:szCs w:val="20"/>
                  <w:color w:val="0000EE"/>
                  <w:w w:val="91"/>
                </w:rPr>
                <w:t>Item 3. Quantitative and Qualitative Disclosures About Market Risk</w:t>
              </w:r>
            </w:hyperlink>
          </w:p>
        </w:tc>
        <w:tc>
          <w:tcPr>
            <w:tcW w:w="52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16"/>
          </w:tcPr>
          <w:p>
            <w:pPr>
              <w:spacing w:after="0"/>
              <w:rPr>
                <w:rFonts w:ascii="Arial" w:cs="Arial" w:eastAsia="Arial" w:hAnsi="Arial"/>
                <w:sz w:val="20"/>
                <w:szCs w:val="20"/>
                <w:color w:val="0000EE"/>
              </w:rPr>
            </w:pPr>
            <w:hyperlink w:anchor="page55">
              <w:r>
                <w:rPr>
                  <w:rFonts w:ascii="Arial" w:cs="Arial" w:eastAsia="Arial" w:hAnsi="Arial"/>
                  <w:sz w:val="20"/>
                  <w:szCs w:val="20"/>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860" w:type="dxa"/>
            <w:vAlign w:val="bottom"/>
            <w:gridSpan w:val="17"/>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20"/>
                <w:szCs w:val="20"/>
                <w:color w:val="0000EE"/>
                <w:w w:val="94"/>
              </w:rPr>
            </w:pPr>
            <w:hyperlink w:anchor="page56">
              <w:r>
                <w:rPr>
                  <w:rFonts w:ascii="Arial" w:cs="Arial" w:eastAsia="Arial" w:hAnsi="Arial"/>
                  <w:sz w:val="20"/>
                  <w:szCs w:val="20"/>
                  <w:color w:val="0000EE"/>
                  <w:w w:val="94"/>
                </w:rPr>
                <w:t>Item 1.</w:t>
              </w:r>
            </w:hyperlink>
          </w:p>
        </w:tc>
        <w:tc>
          <w:tcPr>
            <w:tcW w:w="10020" w:type="dxa"/>
            <w:vAlign w:val="bottom"/>
            <w:gridSpan w:val="14"/>
          </w:tcPr>
          <w:p>
            <w:pPr>
              <w:spacing w:after="0"/>
              <w:rPr>
                <w:rFonts w:ascii="Arial" w:cs="Arial" w:eastAsia="Arial" w:hAnsi="Arial"/>
                <w:sz w:val="20"/>
                <w:szCs w:val="20"/>
                <w:color w:val="0000EE"/>
              </w:rPr>
            </w:pPr>
            <w:hyperlink w:anchor="page56">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rFonts w:ascii="Arial" w:cs="Arial" w:eastAsia="Arial" w:hAnsi="Arial"/>
                <w:sz w:val="20"/>
                <w:szCs w:val="20"/>
                <w:color w:val="0000EE"/>
                <w:w w:val="90"/>
              </w:rPr>
            </w:pPr>
            <w:hyperlink w:anchor="page56">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5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56">
              <w:r>
                <w:rPr>
                  <w:rFonts w:ascii="Arial" w:cs="Arial" w:eastAsia="Arial" w:hAnsi="Arial"/>
                  <w:sz w:val="20"/>
                  <w:szCs w:val="20"/>
                  <w:color w:val="0000EE"/>
                  <w:w w:val="94"/>
                </w:rPr>
                <w:t>Item 2.</w:t>
              </w:r>
            </w:hyperlink>
          </w:p>
        </w:tc>
        <w:tc>
          <w:tcPr>
            <w:tcW w:w="478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56">
              <w:r>
                <w:rPr>
                  <w:rFonts w:ascii="Arial" w:cs="Arial" w:eastAsia="Arial" w:hAnsi="Arial"/>
                  <w:sz w:val="20"/>
                  <w:szCs w:val="20"/>
                  <w:color w:val="0000EE"/>
                  <w:w w:val="88"/>
                </w:rPr>
                <w:t>Unregistered Sales of Equity Securities and Use of Proceeds</w:t>
              </w:r>
            </w:hyperlink>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20"/>
                <w:szCs w:val="20"/>
                <w:color w:val="0000EE"/>
                <w:w w:val="94"/>
              </w:rPr>
            </w:pPr>
            <w:hyperlink w:anchor="page56">
              <w:r>
                <w:rPr>
                  <w:rFonts w:ascii="Arial" w:cs="Arial" w:eastAsia="Arial" w:hAnsi="Arial"/>
                  <w:sz w:val="20"/>
                  <w:szCs w:val="20"/>
                  <w:color w:val="0000EE"/>
                  <w:w w:val="94"/>
                </w:rPr>
                <w:t>Item 4.</w:t>
              </w:r>
            </w:hyperlink>
          </w:p>
        </w:tc>
        <w:tc>
          <w:tcPr>
            <w:tcW w:w="10020" w:type="dxa"/>
            <w:vAlign w:val="bottom"/>
            <w:gridSpan w:val="14"/>
          </w:tcPr>
          <w:p>
            <w:pPr>
              <w:spacing w:after="0"/>
              <w:rPr>
                <w:rFonts w:ascii="Arial" w:cs="Arial" w:eastAsia="Arial" w:hAnsi="Arial"/>
                <w:sz w:val="20"/>
                <w:szCs w:val="20"/>
                <w:color w:val="0000EE"/>
              </w:rPr>
            </w:pPr>
            <w:hyperlink w:anchor="page56">
              <w:r>
                <w:rPr>
                  <w:rFonts w:ascii="Arial" w:cs="Arial" w:eastAsia="Arial" w:hAnsi="Arial"/>
                  <w:sz w:val="20"/>
                  <w:szCs w:val="20"/>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4"/>
              </w:rPr>
            </w:pPr>
            <w:hyperlink w:anchor="page57">
              <w:r>
                <w:rPr>
                  <w:rFonts w:ascii="Arial" w:cs="Arial" w:eastAsia="Arial" w:hAnsi="Arial"/>
                  <w:sz w:val="20"/>
                  <w:szCs w:val="20"/>
                  <w:color w:val="0000EE"/>
                  <w:w w:val="94"/>
                </w:rPr>
                <w:t>Item 6.</w:t>
              </w:r>
            </w:hyperlink>
          </w:p>
        </w:tc>
        <w:tc>
          <w:tcPr>
            <w:tcW w:w="660" w:type="dxa"/>
            <w:vAlign w:val="bottom"/>
            <w:tcBorders>
              <w:top w:val="single" w:sz="8" w:color="0000EE"/>
              <w:bottom w:val="single" w:sz="8" w:color="0000EE"/>
            </w:tcBorders>
          </w:tcPr>
          <w:p>
            <w:pPr>
              <w:spacing w:after="0"/>
              <w:rPr>
                <w:rFonts w:ascii="Arial" w:cs="Arial" w:eastAsia="Arial" w:hAnsi="Arial"/>
                <w:sz w:val="20"/>
                <w:szCs w:val="20"/>
                <w:color w:val="0000EE"/>
                <w:w w:val="91"/>
              </w:rPr>
            </w:pPr>
            <w:hyperlink w:anchor="page57">
              <w:r>
                <w:rPr>
                  <w:rFonts w:ascii="Arial" w:cs="Arial" w:eastAsia="Arial" w:hAnsi="Arial"/>
                  <w:sz w:val="20"/>
                  <w:szCs w:val="20"/>
                  <w:color w:val="0000EE"/>
                  <w:w w:val="91"/>
                </w:rPr>
                <w:t>Exhibits</w:t>
              </w:r>
            </w:hyperlink>
          </w:p>
        </w:tc>
        <w:tc>
          <w:tcPr>
            <w:tcW w:w="1280" w:type="dxa"/>
            <w:vAlign w:val="bottom"/>
            <w:tcBorders>
              <w:top w:val="single" w:sz="8" w:color="0000EE"/>
            </w:tcBorders>
            <w:gridSpan w:val="4"/>
          </w:tcPr>
          <w:p>
            <w:pPr>
              <w:spacing w:after="0"/>
              <w:rPr>
                <w:sz w:val="24"/>
                <w:szCs w:val="24"/>
                <w:color w:val="auto"/>
              </w:rPr>
            </w:pP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331"/>
        </w:trPr>
        <w:tc>
          <w:tcPr>
            <w:tcW w:w="10860" w:type="dxa"/>
            <w:vAlign w:val="bottom"/>
            <w:gridSpan w:val="17"/>
          </w:tcPr>
          <w:p>
            <w:pPr>
              <w:spacing w:after="0"/>
              <w:rPr>
                <w:rFonts w:ascii="Arial" w:cs="Arial" w:eastAsia="Arial" w:hAnsi="Arial"/>
                <w:sz w:val="20"/>
                <w:szCs w:val="20"/>
                <w:color w:val="0000EE"/>
              </w:rPr>
            </w:pPr>
            <w:hyperlink w:anchor="page58">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6"/>
                <w:szCs w:val="16"/>
                <w:color w:val="auto"/>
              </w:rPr>
              <w:t>June 30,</w:t>
            </w:r>
          </w:p>
        </w:tc>
        <w:tc>
          <w:tcPr>
            <w:tcW w:w="12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December 31,</w:t>
            </w:r>
          </w:p>
        </w:tc>
        <w:tc>
          <w:tcPr>
            <w:tcW w:w="360" w:type="dxa"/>
            <w:vAlign w:val="bottom"/>
          </w:tcPr>
          <w:p>
            <w:pPr>
              <w:spacing w:after="0"/>
              <w:rPr>
                <w:sz w:val="17"/>
                <w:szCs w:val="17"/>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2017</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i w:val="1"/>
                <w:iCs w:val="1"/>
                <w:color w:val="auto"/>
                <w:w w:val="93"/>
              </w:rPr>
              <w:t>(Dollars in Thousands)</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1,446,364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675,570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487,240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570,618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650,917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600,591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96,887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96,965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1,457,153</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2,631,160</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1,244,297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8,118,705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6,498,067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6,306,083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(3,005,279)</w:t>
            </w:r>
          </w:p>
        </w:tc>
        <w:tc>
          <w:tcPr>
            <w:tcW w:w="12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6"/>
                <w:szCs w:val="16"/>
                <w:color w:val="auto"/>
              </w:rPr>
              <w:t>(2,905,254)</w:t>
            </w:r>
          </w:p>
        </w:tc>
        <w:tc>
          <w:tcPr>
            <w:tcW w:w="3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(2,800,823)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5,113,426</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3,592,813</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3,505,260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2,401,505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2,160,290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2,160,060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Operating permits, net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435,761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439,116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78,925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67,233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109,982</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101,899</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8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9,596,752</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2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7,515,860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Bank overdraft</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188,761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183,638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38,870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44,255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Pension and postretirement benefits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13,652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64,958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rPr>
                <w:sz w:val="20"/>
                <w:szCs w:val="20"/>
                <w:color w:val="auto"/>
              </w:rPr>
            </w:pPr>
            <w:r>
              <w:rPr>
                <w:rFonts w:ascii="Arial" w:cs="Arial" w:eastAsia="Arial" w:hAnsi="Arial"/>
                <w:sz w:val="16"/>
                <w:szCs w:val="16"/>
                <w:color w:val="auto"/>
              </w:rPr>
              <w:t>Current maturities of long-term debt and short-term</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facilities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320,046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299,909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140,037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71,056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67,979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709,133</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694,216</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534,325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2,898,876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2,727,294</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Pension, postretirement and postemployment benefits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249,967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244,043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253,908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 net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644,469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410,723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238,837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233,758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221,738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4,741,282</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4,310,034</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3,315,329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3,389,028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3,368,007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3,355,992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(125,883)</w:t>
            </w:r>
          </w:p>
        </w:tc>
        <w:tc>
          <w:tcPr>
            <w:tcW w:w="1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(129,104)</w:t>
            </w: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(125,906)</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1,579,674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1,440,069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967,058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4,843,448</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4,679,600</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4,197,771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2,877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4,855,470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4,682,477</w:t>
            </w:r>
          </w:p>
        </w:tc>
        <w:tc>
          <w:tcPr>
            <w:tcW w:w="3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4,200,531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9,596,752</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2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7,515,860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color w:val="auto"/>
              </w:rPr>
              <w:t>Three-Months Ended</w:t>
            </w:r>
          </w:p>
        </w:tc>
        <w:tc>
          <w:tcPr>
            <w:tcW w:w="260" w:type="dxa"/>
            <w:vAlign w:val="bottom"/>
          </w:tcPr>
          <w:p>
            <w:pPr>
              <w:spacing w:after="0"/>
              <w:rPr>
                <w:sz w:val="19"/>
                <w:szCs w:val="19"/>
                <w:color w:val="auto"/>
              </w:rPr>
            </w:pPr>
          </w:p>
        </w:tc>
        <w:tc>
          <w:tcPr>
            <w:tcW w:w="2620" w:type="dxa"/>
            <w:vAlign w:val="bottom"/>
            <w:gridSpan w:val="6"/>
          </w:tcPr>
          <w:p>
            <w:pPr>
              <w:jc w:val="right"/>
              <w:ind w:right="82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7"/>
          </w:tcPr>
          <w:p>
            <w:pPr>
              <w:jc w:val="right"/>
              <w:ind w:right="140"/>
              <w:spacing w:after="0"/>
              <w:rPr>
                <w:sz w:val="20"/>
                <w:szCs w:val="20"/>
                <w:color w:val="auto"/>
              </w:rPr>
            </w:pPr>
            <w:r>
              <w:rPr>
                <w:rFonts w:ascii="Arial" w:cs="Arial" w:eastAsia="Arial" w:hAnsi="Arial"/>
                <w:sz w:val="18"/>
                <w:szCs w:val="18"/>
                <w:i w:val="1"/>
                <w:iCs w:val="1"/>
                <w:color w:val="auto"/>
                <w:w w:val="92"/>
              </w:rPr>
              <w:t>(In Thousands, Except Per Share Data)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1,128,777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996,843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1,882,082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122,325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1,202,403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1,063,524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2,004,407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812,430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722,195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1,454,049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789,430</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274,094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68,373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(9,113)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(30,752)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263,953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212,852</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24,045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(5,420)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(15,626)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before income tax expense</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194,227</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185,503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142,241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195,543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(loss) attributable to noncontrolling</w:t>
            </w: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492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185,377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142,279</w:t>
            </w:r>
          </w:p>
        </w:tc>
        <w:tc>
          <w:tcPr>
            <w:tcW w:w="2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Consolidated Comprehensive Earnings: (See Note 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186,979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144,798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198,621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(Loss) attributable to noncontrolling interests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62,858</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62,989</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63,141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3"/>
          </w:tcPr>
          <w:p>
            <w:pPr>
              <w:jc w:val="center"/>
              <w:ind w:left="650"/>
              <w:spacing w:after="0"/>
              <w:rPr>
                <w:sz w:val="20"/>
                <w:szCs w:val="20"/>
                <w:color w:val="auto"/>
              </w:rPr>
            </w:pPr>
            <w:r>
              <w:rPr>
                <w:rFonts w:ascii="Arial" w:cs="Arial" w:eastAsia="Arial" w:hAnsi="Arial"/>
                <w:sz w:val="18"/>
                <w:szCs w:val="18"/>
                <w:color w:val="auto"/>
                <w:w w:val="92"/>
              </w:rPr>
              <w:t>Six-Months Ended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4"/>
          </w:tcPr>
          <w:p>
            <w:pPr>
              <w:jc w:val="center"/>
              <w:ind w:right="310"/>
              <w:spacing w:after="0"/>
              <w:rPr>
                <w:sz w:val="20"/>
                <w:szCs w:val="20"/>
                <w:color w:val="auto"/>
              </w:rPr>
            </w:pPr>
            <w:r>
              <w:rPr>
                <w:rFonts w:ascii="Arial" w:cs="Arial" w:eastAsia="Arial" w:hAnsi="Arial"/>
                <w:sz w:val="18"/>
                <w:szCs w:val="18"/>
                <w:i w:val="1"/>
                <w:iCs w:val="1"/>
                <w:color w:val="auto"/>
                <w:w w:val="92"/>
              </w:rPr>
              <w:t>(Dollars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195,543</w:t>
            </w:r>
          </w:p>
        </w:tc>
        <w:tc>
          <w:tcPr>
            <w:tcW w:w="2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163,545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17,098</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(33,527)</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(4,757)</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(157,603)</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(7,133)</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44,266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238,033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(188,270)</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Acquisitions,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(1,645,698)</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58,213</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(28,306)</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Investments in life insurance contracts, net</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(1,775,331)</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665,000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(475,025)</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Payments of deferred acquisition consideration</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capital lease obligations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(1,725)</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(3,194)</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bank overdraft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Contributions by owners of noncontrolling interest</w:t>
            </w:r>
          </w:p>
        </w:tc>
        <w:tc>
          <w:tcPr>
            <w:tcW w:w="3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(55,795)</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(10,065)</w:t>
            </w:r>
          </w:p>
        </w:tc>
        <w:tc>
          <w:tcPr>
            <w:tcW w:w="6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124,713</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(1,412,585)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1,446,364</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33,779</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Additional</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Paid-</w:t>
            </w:r>
          </w:p>
        </w:tc>
        <w:tc>
          <w:tcPr>
            <w:tcW w:w="1720" w:type="dxa"/>
            <w:vAlign w:val="bottom"/>
            <w:gridSpan w:val="3"/>
          </w:tcPr>
          <w:p>
            <w:pPr>
              <w:ind w:left="40"/>
              <w:spacing w:after="0"/>
              <w:rPr>
                <w:sz w:val="20"/>
                <w:szCs w:val="20"/>
                <w:color w:val="auto"/>
              </w:rPr>
            </w:pPr>
            <w:r>
              <w:rPr>
                <w:rFonts w:ascii="Arial" w:cs="Arial" w:eastAsia="Arial" w:hAnsi="Arial"/>
                <w:sz w:val="18"/>
                <w:szCs w:val="18"/>
                <w:color w:val="auto"/>
              </w:rPr>
              <w:t>Accumulated Other</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Retained</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rPr>
              <w:t>Shareholders'</w:t>
            </w:r>
          </w:p>
        </w:tc>
        <w:tc>
          <w:tcPr>
            <w:tcW w:w="150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in Capital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Interests</w:t>
            </w:r>
          </w:p>
        </w:tc>
        <w:tc>
          <w:tcPr>
            <w:tcW w:w="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Balance at December 31,</w:t>
            </w: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63,176</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$ 3,334,461</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(130,687)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935,574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4,139,978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$ 4,142,590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184,613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184,613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(53,135)</w:t>
            </w:r>
          </w:p>
        </w:tc>
        <w:tc>
          <w:tcPr>
            <w:tcW w:w="16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(53,135)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12,742</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12,744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employees'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tax obligations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(8,938)</w:t>
            </w: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(8,938)</w:t>
            </w:r>
          </w:p>
        </w:tc>
        <w:tc>
          <w:tcPr>
            <w:tcW w:w="16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(99,994)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(99,999)</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17,727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17,727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Contributions by</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owners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noncontrolling</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160" w:type="dxa"/>
            <w:vAlign w:val="bottom"/>
            <w:gridSpan w:val="3"/>
          </w:tcPr>
          <w:p>
            <w:pPr>
              <w:spacing w:after="0"/>
              <w:rPr>
                <w:sz w:val="20"/>
                <w:szCs w:val="20"/>
                <w:color w:val="auto"/>
              </w:rPr>
            </w:pPr>
            <w:r>
              <w:rPr>
                <w:rFonts w:ascii="Arial" w:cs="Arial" w:eastAsia="Arial" w:hAnsi="Arial"/>
                <w:sz w:val="18"/>
                <w:szCs w:val="18"/>
                <w:color w:val="auto"/>
              </w:rPr>
              <w:t>Balance at June 30,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$ 3,355,992</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(125,906)</w:t>
            </w:r>
          </w:p>
        </w:tc>
        <w:tc>
          <w:tcPr>
            <w:tcW w:w="20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967,058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4,197,771</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$ 4,200,531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62,873</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$ 3,368,007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(129,104)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1,440,069</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4,679,600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2,877</w:t>
            </w:r>
          </w:p>
        </w:tc>
        <w:tc>
          <w:tcPr>
            <w:tcW w:w="4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$ 4,682,477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195,400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195,543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(55,795)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(55,795)</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(55,795)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13,988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employees' income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obligations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(10,065)</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(10,065)</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17,098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17,098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Noncontrolling interest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acquired in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business combination</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4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$ 3,389,028</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(125,883)</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1,579,674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4,843,448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$ 4,855,470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420" w:hanging="372"/>
        <w:spacing w:after="0" w:line="355" w:lineRule="auto"/>
        <w:tabs>
          <w:tab w:leader="none" w:pos="37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9"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three reportable segments: the Mid-America Group, the Southeast Group and the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3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20"/>
                <w:szCs w:val="20"/>
                <w:color w:val="auto"/>
                <w:w w:val="88"/>
              </w:rPr>
              <w:t>Southeast Group</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4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80" w:type="dxa"/>
            <w:vAlign w:val="bottom"/>
          </w:tcPr>
          <w:p>
            <w:pPr>
              <w:spacing w:after="0"/>
              <w:rPr>
                <w:sz w:val="17"/>
                <w:szCs w:val="17"/>
                <w:color w:val="auto"/>
              </w:rPr>
            </w:pPr>
          </w:p>
        </w:tc>
        <w:tc>
          <w:tcPr>
            <w:tcW w:w="31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2"/>
              </w:rPr>
              <w:t>Kentucky, Maryland, Minnesota,</w:t>
            </w:r>
          </w:p>
        </w:tc>
        <w:tc>
          <w:tcPr>
            <w:tcW w:w="2640" w:type="dxa"/>
            <w:vAlign w:val="bottom"/>
            <w:gridSpan w:val="2"/>
          </w:tcPr>
          <w:p>
            <w:pPr>
              <w:ind w:left="780"/>
              <w:spacing w:after="0"/>
              <w:rPr>
                <w:sz w:val="20"/>
                <w:szCs w:val="20"/>
                <w:color w:val="auto"/>
              </w:rPr>
            </w:pPr>
            <w:r>
              <w:rPr>
                <w:rFonts w:ascii="Arial" w:cs="Arial" w:eastAsia="Arial" w:hAnsi="Arial"/>
                <w:sz w:val="20"/>
                <w:szCs w:val="20"/>
                <w:color w:val="auto"/>
              </w:rPr>
              <w:t>Tennessee,</w:t>
            </w:r>
          </w:p>
        </w:tc>
        <w:tc>
          <w:tcPr>
            <w:tcW w:w="310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Missouri, eastern Nebraska, North</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8"/>
              </w:rPr>
              <w:t>Nova Scotia and the Bahamas</w:t>
            </w: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Oklahoma, Texas, Utah and Wyoming</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Carolina, Ohio, Pennsylvania,</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South Carolina, Virginia,</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Washington and West Virginia</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438"/>
        </w:trPr>
        <w:tc>
          <w:tcPr>
            <w:tcW w:w="258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55" w:lineRule="auto"/>
        <w:tabs>
          <w:tab w:leader="none" w:pos="37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Other than the required adoption of two new accounting pronouncements described below, the Company has continued to follow the accounting policies set forth in the audited consolidated financial statements and related notes thereto included in the Company’s Annual Report on Form 10-K for the year ended December 31, 2017.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six-months ended June 30, 2018 are not indicative of the results expected for other interim periods or the full year. The consolidated balance sheet at December 31, 2017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2017.</w:t>
      </w:r>
    </w:p>
    <w:p>
      <w:pPr>
        <w:spacing w:after="0" w:line="170" w:lineRule="exact"/>
        <w:rPr>
          <w:rFonts w:ascii="Arial" w:cs="Arial" w:eastAsia="Arial" w:hAnsi="Arial"/>
          <w:sz w:val="20"/>
          <w:szCs w:val="20"/>
          <w:b w:val="1"/>
          <w:bCs w:val="1"/>
          <w:color w:val="auto"/>
        </w:rPr>
      </w:pPr>
    </w:p>
    <w:p>
      <w:pPr>
        <w:ind w:left="380" w:right="7820"/>
        <w:spacing w:after="0" w:line="444"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i w:val="1"/>
          <w:iCs w:val="1"/>
          <w:color w:val="auto"/>
        </w:rPr>
        <w:t>Revenue from Contracts with Customers</w:t>
      </w:r>
    </w:p>
    <w:p>
      <w:pPr>
        <w:jc w:val="both"/>
        <w:ind w:left="38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 xml:space="preserve">Effective January 1, 2018, the Company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changes the evaluation and accounting for revenue recognition under contracts with customers and enhances financial statement disclosures. The Company implemented ASU 2014-09 using the modified retrospective approach. The adoption had an immaterial impact on the Company’s financial position and results of operations but required new disclosures (see Note 2).</w:t>
      </w:r>
    </w:p>
    <w:p>
      <w:pPr>
        <w:spacing w:after="0" w:line="16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Statement of Cash Flows: Classification of Certain Cash Receipts and Cash Payments</w:t>
      </w:r>
    </w:p>
    <w:p>
      <w:pPr>
        <w:spacing w:after="0" w:line="107" w:lineRule="exact"/>
        <w:rPr>
          <w:rFonts w:ascii="Arial" w:cs="Arial" w:eastAsia="Arial" w:hAnsi="Arial"/>
          <w:sz w:val="20"/>
          <w:szCs w:val="20"/>
          <w:b w:val="1"/>
          <w:bCs w:val="1"/>
          <w:color w:val="auto"/>
        </w:rPr>
      </w:pPr>
    </w:p>
    <w:p>
      <w:pPr>
        <w:jc w:val="both"/>
        <w:ind w:left="380"/>
        <w:spacing w:after="0" w:line="299" w:lineRule="auto"/>
        <w:rPr>
          <w:rFonts w:ascii="Arial" w:cs="Arial" w:eastAsia="Arial" w:hAnsi="Arial"/>
          <w:sz w:val="20"/>
          <w:szCs w:val="20"/>
          <w:b w:val="1"/>
          <w:bCs w:val="1"/>
          <w:color w:val="auto"/>
        </w:rPr>
      </w:pPr>
      <w:r>
        <w:rPr>
          <w:rFonts w:ascii="Arial" w:cs="Arial" w:eastAsia="Arial" w:hAnsi="Arial"/>
          <w:sz w:val="18"/>
          <w:szCs w:val="18"/>
          <w:color w:val="auto"/>
        </w:rPr>
        <w:t xml:space="preserve">Effective January 1, 2018, the Company adopted ASU 2016-15, </w:t>
      </w:r>
      <w:r>
        <w:rPr>
          <w:rFonts w:ascii="Arial" w:cs="Arial" w:eastAsia="Arial" w:hAnsi="Arial"/>
          <w:sz w:val="18"/>
          <w:szCs w:val="18"/>
          <w:i w:val="1"/>
          <w:iCs w:val="1"/>
          <w:color w:val="auto"/>
        </w:rPr>
        <w:t>Statement of Cash Flows: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(ASU 2016-15), which provides clarification or additional guidance on certain transactions and its classification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on a retrospective basis. The adoption had an immaterial impact on the Company’s statement of cash flows.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54" w:lineRule="auto"/>
        <w:tabs>
          <w:tab w:leader="none" w:pos="37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 Accounting Policies (continued) Pending Accounting Pronouncement </w:t>
      </w:r>
      <w:r>
        <w:rPr>
          <w:rFonts w:ascii="Arial" w:cs="Arial" w:eastAsia="Arial" w:hAnsi="Arial"/>
          <w:sz w:val="20"/>
          <w:szCs w:val="20"/>
          <w:i w:val="1"/>
          <w:iCs w:val="1"/>
          <w:color w:val="auto"/>
        </w:rPr>
        <w:t>Lease Standard</w:t>
      </w:r>
    </w:p>
    <w:p>
      <w:pPr>
        <w:spacing w:after="0" w:line="1" w:lineRule="exact"/>
        <w:rPr>
          <w:rFonts w:ascii="Arial" w:cs="Arial" w:eastAsia="Arial" w:hAnsi="Arial"/>
          <w:sz w:val="20"/>
          <w:szCs w:val="20"/>
          <w:b w:val="1"/>
          <w:bCs w:val="1"/>
          <w:color w:val="auto"/>
        </w:rPr>
      </w:pPr>
    </w:p>
    <w:p>
      <w:pPr>
        <w:jc w:val="both"/>
        <w:ind w:left="3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 xml:space="preserve">In February 2016, the Financial Accounting Standards Board (FASB) issued a new accounting standard, </w:t>
      </w:r>
      <w:r>
        <w:rPr>
          <w:rFonts w:ascii="Arial" w:cs="Arial" w:eastAsia="Arial" w:hAnsi="Arial"/>
          <w:sz w:val="18"/>
          <w:szCs w:val="18"/>
          <w:i w:val="1"/>
          <w:iCs w:val="1"/>
          <w:color w:val="auto"/>
        </w:rPr>
        <w:t>Accounting Codification Standard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842 – Leases, </w:t>
      </w:r>
      <w:r>
        <w:rPr>
          <w:rFonts w:ascii="Arial" w:cs="Arial" w:eastAsia="Arial" w:hAnsi="Arial"/>
          <w:sz w:val="18"/>
          <w:szCs w:val="18"/>
          <w:color w:val="auto"/>
        </w:rPr>
        <w:t>intending to improve financial reporting of leases and to provide more transparency into off-balance sheet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The guidance requires virtually all leases, excluding mineral interest leases, to be recorded on the balance sheet and provides guidance on the recognition of lease expense and income. The new standard is effective January 1, 2019. The FASB recently proposed to eliminate the need for retrospective presentation of comparative financial statements and to allow the use of certain practical expedients in the adoption of the new standard. The Company has developed an implementation plan and is currently gathering data to further assess the impact of the ASU on its financial statements. The adoption is anticipated to have a material impact on assets and liabilities due to the recognition of lease rights and obligations on its balance sheet effective January 1, 2019.</w:t>
      </w:r>
    </w:p>
    <w:p>
      <w:pPr>
        <w:spacing w:after="0" w:line="176"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341"/>
              <w:spacing w:after="0"/>
              <w:rPr>
                <w:sz w:val="20"/>
                <w:szCs w:val="20"/>
                <w:color w:val="auto"/>
              </w:rPr>
            </w:pPr>
            <w:r>
              <w:rPr>
                <w:rFonts w:ascii="Arial" w:cs="Arial" w:eastAsia="Arial" w:hAnsi="Arial"/>
                <w:sz w:val="20"/>
                <w:szCs w:val="20"/>
                <w:color w:val="auto"/>
                <w:w w:val="98"/>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ind w:left="320"/>
              <w:spacing w:after="0"/>
              <w:rPr>
                <w:sz w:val="20"/>
                <w:szCs w:val="20"/>
                <w:color w:val="auto"/>
              </w:rPr>
            </w:pPr>
            <w:r>
              <w:rPr>
                <w:rFonts w:ascii="Arial" w:cs="Arial" w:eastAsia="Arial" w:hAnsi="Arial"/>
                <w:sz w:val="20"/>
                <w:szCs w:val="20"/>
                <w:color w:val="auto"/>
              </w:rPr>
              <w:t>Six-Months Ended</w:t>
            </w:r>
          </w:p>
        </w:tc>
      </w:t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185,377</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195,400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1,602</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2,519</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3,221</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4,781</w:t>
            </w:r>
          </w:p>
        </w:tc>
        <w:tc>
          <w:tcPr>
            <w:tcW w:w="100" w:type="dxa"/>
            <w:vAlign w:val="bottom"/>
            <w:tcBorders>
              <w:bottom w:val="single" w:sz="8" w:color="CFF0FC"/>
            </w:tcBorders>
          </w:tcPr>
          <w:p>
            <w:pPr>
              <w:spacing w:after="0"/>
              <w:rPr>
                <w:sz w:val="21"/>
                <w:szCs w:val="21"/>
                <w:color w:val="auto"/>
              </w:rPr>
            </w:pPr>
          </w:p>
        </w:tc>
      </w:tr>
      <w:tr>
        <w:trPr>
          <w:trHeight w:val="220"/>
        </w:trPr>
        <w:tc>
          <w:tcPr>
            <w:tcW w:w="59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 Marietta</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186,979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144,798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198,621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189,394</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ind w:left="380" w:right="640"/>
        <w:spacing w:after="0" w:line="260"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720" w:type="dxa"/>
            <w:vAlign w:val="bottom"/>
            <w:gridSpan w:val="6"/>
          </w:tcPr>
          <w:p>
            <w:pPr>
              <w:jc w:val="right"/>
              <w:ind w:right="600"/>
              <w:spacing w:after="0"/>
              <w:rPr>
                <w:sz w:val="20"/>
                <w:szCs w:val="20"/>
                <w:color w:val="auto"/>
              </w:rPr>
            </w:pPr>
            <w:r>
              <w:rPr>
                <w:rFonts w:ascii="Arial" w:cs="Arial" w:eastAsia="Arial" w:hAnsi="Arial"/>
                <w:sz w:val="20"/>
                <w:szCs w:val="20"/>
                <w:color w:val="auto"/>
              </w:rPr>
              <w:t>Three-Months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20"/>
                <w:szCs w:val="20"/>
                <w:color w:val="auto"/>
              </w:rPr>
              <w:t>Six-Months Ended</w:t>
            </w:r>
          </w:p>
        </w:tc>
      </w:tr>
      <w:tr>
        <w:trPr>
          <w:trHeight w:val="246"/>
        </w:trPr>
        <w:tc>
          <w:tcPr>
            <w:tcW w:w="59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w w:val="98"/>
              </w:rPr>
              <w:t>June 30,</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6"/>
          </w:tcPr>
          <w:p>
            <w:pPr>
              <w:ind w:left="8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Net earnings (loss) attributable to noncontrolling interests</w:t>
            </w:r>
          </w:p>
        </w:tc>
        <w:tc>
          <w:tcPr>
            <w:tcW w:w="820" w:type="dxa"/>
            <w:vAlign w:val="bottom"/>
            <w:shd w:val="clear" w:color="auto" w:fill="CFF0FC"/>
          </w:tcPr>
          <w:p>
            <w:pPr>
              <w:jc w:val="right"/>
              <w:ind w:right="621"/>
              <w:spacing w:after="0"/>
              <w:rPr>
                <w:sz w:val="20"/>
                <w:szCs w:val="20"/>
                <w:color w:val="auto"/>
              </w:rPr>
            </w:pPr>
            <w:r>
              <w:rPr>
                <w:rFonts w:ascii="Arial" w:cs="Arial" w:eastAsia="Arial" w:hAnsi="Arial"/>
                <w:sz w:val="20"/>
                <w:szCs w:val="2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126</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(38)</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(65)</w:t>
            </w:r>
          </w:p>
        </w:tc>
      </w:tr>
      <w:tr>
        <w:trPr>
          <w:trHeight w:val="243"/>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100" w:type="dxa"/>
            <w:vAlign w:val="bottom"/>
            <w:tcBorders>
              <w:bottom w:val="single" w:sz="8" w:color="CFF0FC"/>
            </w:tcBorders>
          </w:tcPr>
          <w:p>
            <w:pPr>
              <w:spacing w:after="0"/>
              <w:rPr>
                <w:sz w:val="21"/>
                <w:szCs w:val="21"/>
                <w:color w:val="auto"/>
              </w:rPr>
            </w:pPr>
          </w:p>
        </w:tc>
      </w:tr>
      <w:tr>
        <w:trPr>
          <w:trHeight w:val="220"/>
        </w:trPr>
        <w:tc>
          <w:tcPr>
            <w:tcW w:w="59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(loss) attributable to</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noncontrolling interests</w:t>
            </w:r>
          </w:p>
        </w:tc>
        <w:tc>
          <w:tcPr>
            <w:tcW w:w="820" w:type="dxa"/>
            <w:vAlign w:val="bottom"/>
            <w:shd w:val="clear" w:color="auto" w:fill="CFF0FC"/>
          </w:tcPr>
          <w:p>
            <w:pPr>
              <w:jc w:val="right"/>
              <w:ind w:right="621"/>
              <w:spacing w:after="0"/>
              <w:rPr>
                <w:sz w:val="20"/>
                <w:szCs w:val="20"/>
                <w:color w:val="auto"/>
              </w:rPr>
            </w:pPr>
            <w:r>
              <w:rPr>
                <w:rFonts w:ascii="Arial" w:cs="Arial" w:eastAsia="Arial" w:hAnsi="Arial"/>
                <w:sz w:val="20"/>
                <w:szCs w:val="2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126</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(37)</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(63)</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380"/>
        <w:spacing w:after="0" w:line="412"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Consolidated Comprehensive Earnings/Loss and Accumulated Other Comprehensive Loss (continued) </w:t>
      </w:r>
      <w:r>
        <w:rPr>
          <w:rFonts w:ascii="Arial" w:cs="Arial" w:eastAsia="Arial" w:hAnsi="Arial"/>
          <w:sz w:val="19"/>
          <w:szCs w:val="19"/>
          <w:color w:val="auto"/>
        </w:rPr>
        <w:t>Changes in accumulated other comprehensive earnings (loss), net of tax,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20"/>
                <w:szCs w:val="20"/>
                <w:i w:val="1"/>
                <w:iCs w:val="1"/>
                <w:color w:val="auto"/>
                <w:w w:val="91"/>
              </w:rPr>
              <w:t>(Dollars in Thousands)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4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Accumulated</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Other</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Postretirement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20"/>
                <w:szCs w:val="20"/>
                <w:color w:val="auto"/>
                <w:w w:val="89"/>
              </w:rPr>
              <w:t>Benefit Plans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20"/>
                <w:szCs w:val="20"/>
                <w:color w:val="auto"/>
                <w:w w:val="98"/>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5"/>
              </w:rPr>
              <w:t>Loss</w:t>
            </w:r>
          </w:p>
        </w:tc>
      </w:tr>
      <w:tr>
        <w:trPr>
          <w:trHeight w:val="237"/>
        </w:trPr>
        <w:tc>
          <w:tcPr>
            <w:tcW w:w="46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160" w:type="dxa"/>
            <w:vAlign w:val="bottom"/>
            <w:tcBorders>
              <w:top w:val="single" w:sz="8" w:color="auto"/>
              <w:bottom w:val="single" w:sz="8" w:color="auto"/>
            </w:tcBorders>
            <w:gridSpan w:val="6"/>
          </w:tcPr>
          <w:p>
            <w:pPr>
              <w:jc w:val="center"/>
              <w:ind w:right="240"/>
              <w:spacing w:after="0"/>
              <w:rPr>
                <w:sz w:val="20"/>
                <w:szCs w:val="20"/>
                <w:color w:val="auto"/>
              </w:rPr>
            </w:pPr>
            <w:r>
              <w:rPr>
                <w:rFonts w:ascii="Arial" w:cs="Arial" w:eastAsia="Arial" w:hAnsi="Arial"/>
                <w:sz w:val="20"/>
                <w:szCs w:val="20"/>
                <w:color w:val="auto"/>
                <w:w w:val="88"/>
              </w:rPr>
              <w:t>Three-Months Ended June 30, 2018</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(126,806)</w:t>
            </w: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(609)</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(70)</w:t>
            </w:r>
          </w:p>
        </w:tc>
        <w:tc>
          <w:tcPr>
            <w:tcW w:w="24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(127,485)</w:t>
            </w:r>
          </w:p>
        </w:tc>
        <w:tc>
          <w:tcPr>
            <w:tcW w:w="100" w:type="dxa"/>
            <w:vAlign w:val="bottom"/>
            <w:shd w:val="clear" w:color="auto" w:fill="CFF0FC"/>
          </w:tcPr>
          <w:p>
            <w:pPr>
              <w:spacing w:after="0"/>
              <w:rPr>
                <w:sz w:val="20"/>
                <w:szCs w:val="20"/>
                <w:color w:val="auto"/>
              </w:rPr>
            </w:pPr>
          </w:p>
        </w:tc>
      </w:tr>
      <w:tr>
        <w:trPr>
          <w:trHeight w:val="226"/>
        </w:trPr>
        <w:tc>
          <w:tcPr>
            <w:tcW w:w="4600" w:type="dxa"/>
            <w:vAlign w:val="bottom"/>
          </w:tcPr>
          <w:p>
            <w:pPr>
              <w:spacing w:after="0" w:line="227" w:lineRule="exact"/>
              <w:rPr>
                <w:sz w:val="20"/>
                <w:szCs w:val="20"/>
                <w:color w:val="auto"/>
              </w:rPr>
            </w:pPr>
            <w:r>
              <w:rPr>
                <w:rFonts w:ascii="Arial" w:cs="Arial" w:eastAsia="Arial" w:hAnsi="Arial"/>
                <w:sz w:val="20"/>
                <w:szCs w:val="20"/>
                <w:color w:val="auto"/>
              </w:rPr>
              <w:t>Other comprehensive loss before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20"/>
                <w:szCs w:val="20"/>
                <w:color w:val="auto"/>
              </w:rPr>
              <w:t>(476)</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(476)</w:t>
            </w: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2,078</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2,008</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(476)</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1,602</w:t>
            </w: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(124,798)</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(125,883)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20"/>
                <w:szCs w:val="20"/>
                <w:color w:val="auto"/>
                <w:w w:val="88"/>
              </w:rPr>
              <w:t>Three-Months Ended June 30, 2017</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2FA"/>
          </w:tcPr>
          <w:p>
            <w:pPr>
              <w:jc w:val="right"/>
              <w:ind w:right="80"/>
              <w:spacing w:after="0"/>
              <w:rPr>
                <w:sz w:val="20"/>
                <w:szCs w:val="20"/>
                <w:color w:val="auto"/>
              </w:rPr>
            </w:pPr>
            <w:r>
              <w:rPr>
                <w:rFonts w:ascii="Arial" w:cs="Arial" w:eastAsia="Arial" w:hAnsi="Arial"/>
                <w:sz w:val="20"/>
                <w:szCs w:val="20"/>
                <w:color w:val="auto"/>
              </w:rPr>
              <w:t>(126,463)</w:t>
            </w:r>
          </w:p>
        </w:tc>
        <w:tc>
          <w:tcPr>
            <w:tcW w:w="280" w:type="dxa"/>
            <w:vAlign w:val="bottom"/>
            <w:gridSpan w:val="2"/>
            <w:shd w:val="clear" w:color="auto" w:fill="CFF2FA"/>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(1,025)</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(937)</w:t>
            </w:r>
          </w:p>
        </w:tc>
        <w:tc>
          <w:tcPr>
            <w:tcW w:w="24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(128,425)</w:t>
            </w:r>
          </w:p>
        </w:tc>
        <w:tc>
          <w:tcPr>
            <w:tcW w:w="100" w:type="dxa"/>
            <w:vAlign w:val="bottom"/>
            <w:shd w:val="clear" w:color="auto" w:fill="CFF2FA"/>
          </w:tcPr>
          <w:p>
            <w:pPr>
              <w:spacing w:after="0"/>
              <w:rPr>
                <w:sz w:val="20"/>
                <w:szCs w:val="20"/>
                <w:color w:val="auto"/>
              </w:rPr>
            </w:pPr>
          </w:p>
        </w:tc>
      </w:tr>
      <w:tr>
        <w:trPr>
          <w:trHeight w:val="220"/>
        </w:trPr>
        <w:tc>
          <w:tcPr>
            <w:tcW w:w="4600" w:type="dxa"/>
            <w:vAlign w:val="bottom"/>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389</w:t>
            </w:r>
          </w:p>
        </w:tc>
        <w:tc>
          <w:tcPr>
            <w:tcW w:w="100" w:type="dxa"/>
            <w:vAlign w:val="bottom"/>
          </w:tcPr>
          <w:p>
            <w:pPr>
              <w:spacing w:after="0"/>
              <w:rPr>
                <w:sz w:val="21"/>
                <w:szCs w:val="21"/>
                <w:color w:val="auto"/>
              </w:rPr>
            </w:pP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1,910</w:t>
            </w:r>
          </w:p>
        </w:tc>
        <w:tc>
          <w:tcPr>
            <w:tcW w:w="1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2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220</w:t>
            </w:r>
          </w:p>
        </w:tc>
        <w:tc>
          <w:tcPr>
            <w:tcW w:w="240" w:type="dxa"/>
            <w:vAlign w:val="bottom"/>
            <w:shd w:val="clear" w:color="auto" w:fill="CFF2FA"/>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2,130</w:t>
            </w:r>
          </w:p>
        </w:tc>
        <w:tc>
          <w:tcPr>
            <w:tcW w:w="100" w:type="dxa"/>
            <w:vAlign w:val="bottom"/>
            <w:shd w:val="clear" w:color="auto" w:fill="CFF2FA"/>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1,910</w:t>
            </w:r>
          </w:p>
        </w:tc>
        <w:tc>
          <w:tcPr>
            <w:tcW w:w="16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220</w:t>
            </w:r>
          </w:p>
        </w:tc>
        <w:tc>
          <w:tcPr>
            <w:tcW w:w="240" w:type="dxa"/>
            <w:vAlign w:val="bottom"/>
            <w:tcBorders>
              <w:bottom w:val="single" w:sz="8" w:color="CFF2FA"/>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2,519</w:t>
            </w: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(124,553)</w:t>
            </w:r>
          </w:p>
        </w:tc>
        <w:tc>
          <w:tcPr>
            <w:tcW w:w="16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200" w:type="dxa"/>
            <w:vAlign w:val="bottom"/>
            <w:tcBorders>
              <w:bottom w:val="single" w:sz="8" w:color="auto"/>
            </w:tcBorders>
            <w:shd w:val="clear" w:color="auto" w:fill="CFF2FA"/>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(636)</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(717)</w:t>
            </w:r>
          </w:p>
        </w:tc>
        <w:tc>
          <w:tcPr>
            <w:tcW w:w="24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(125,906)</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20"/>
                <w:szCs w:val="20"/>
                <w:i w:val="1"/>
                <w:iCs w:val="1"/>
                <w:color w:val="auto"/>
              </w:rPr>
              <w:t>(Dollars in Thousands)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4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Accumulated</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Other</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Postretirement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20"/>
                <w:szCs w:val="20"/>
                <w:color w:val="auto"/>
                <w:w w:val="89"/>
              </w:rPr>
              <w:t>Benefit Plans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20"/>
                <w:szCs w:val="20"/>
                <w:color w:val="auto"/>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5"/>
              </w:rPr>
              <w:t>Loss</w:t>
            </w:r>
          </w:p>
        </w:tc>
      </w:tr>
      <w:tr>
        <w:trPr>
          <w:trHeight w:val="237"/>
        </w:trPr>
        <w:tc>
          <w:tcPr>
            <w:tcW w:w="46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40" w:type="dxa"/>
            <w:vAlign w:val="bottom"/>
            <w:tcBorders>
              <w:top w:val="single" w:sz="8" w:color="auto"/>
              <w:bottom w:val="single" w:sz="8" w:color="auto"/>
            </w:tcBorders>
            <w:gridSpan w:val="5"/>
          </w:tcPr>
          <w:p>
            <w:pPr>
              <w:jc w:val="right"/>
              <w:ind w:right="380"/>
              <w:spacing w:after="0"/>
              <w:rPr>
                <w:sz w:val="20"/>
                <w:szCs w:val="20"/>
                <w:color w:val="auto"/>
              </w:rPr>
            </w:pPr>
            <w:r>
              <w:rPr>
                <w:rFonts w:ascii="Arial" w:cs="Arial" w:eastAsia="Arial" w:hAnsi="Arial"/>
                <w:sz w:val="20"/>
                <w:szCs w:val="20"/>
                <w:color w:val="auto"/>
                <w:w w:val="89"/>
              </w:rPr>
              <w:t>Six-Months Ended June 30, 2018</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2FA"/>
          </w:tcPr>
          <w:p>
            <w:pPr>
              <w:jc w:val="right"/>
              <w:ind w:right="80"/>
              <w:spacing w:after="0"/>
              <w:rPr>
                <w:sz w:val="20"/>
                <w:szCs w:val="20"/>
                <w:color w:val="auto"/>
              </w:rPr>
            </w:pPr>
            <w:r>
              <w:rPr>
                <w:rFonts w:ascii="Arial" w:cs="Arial" w:eastAsia="Arial" w:hAnsi="Arial"/>
                <w:sz w:val="20"/>
                <w:szCs w:val="20"/>
                <w:color w:val="auto"/>
              </w:rPr>
              <w:t>(128,802)</w:t>
            </w: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(22)</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(280)</w:t>
            </w:r>
          </w:p>
        </w:tc>
        <w:tc>
          <w:tcPr>
            <w:tcW w:w="24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(129,104)</w:t>
            </w:r>
          </w:p>
        </w:tc>
        <w:tc>
          <w:tcPr>
            <w:tcW w:w="100" w:type="dxa"/>
            <w:vAlign w:val="bottom"/>
            <w:shd w:val="clear" w:color="auto" w:fill="CFF2FA"/>
          </w:tcPr>
          <w:p>
            <w:pPr>
              <w:spacing w:after="0"/>
              <w:rPr>
                <w:sz w:val="20"/>
                <w:szCs w:val="20"/>
                <w:color w:val="auto"/>
              </w:rPr>
            </w:pPr>
          </w:p>
        </w:tc>
      </w:tr>
      <w:tr>
        <w:trPr>
          <w:trHeight w:val="220"/>
        </w:trPr>
        <w:tc>
          <w:tcPr>
            <w:tcW w:w="4600" w:type="dxa"/>
            <w:vAlign w:val="bottom"/>
          </w:tcPr>
          <w:p>
            <w:pPr>
              <w:spacing w:after="0" w:line="220" w:lineRule="exact"/>
              <w:rPr>
                <w:sz w:val="20"/>
                <w:szCs w:val="20"/>
                <w:color w:val="auto"/>
              </w:rPr>
            </w:pPr>
            <w:r>
              <w:rPr>
                <w:rFonts w:ascii="Arial" w:cs="Arial" w:eastAsia="Arial" w:hAnsi="Arial"/>
                <w:sz w:val="20"/>
                <w:szCs w:val="20"/>
                <w:color w:val="auto"/>
              </w:rPr>
              <w:t>Other comprehensive loss before</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color w:val="auto"/>
              </w:rPr>
              <w:t>(1,063)</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(1,063)</w:t>
            </w: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4,004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240" w:type="dxa"/>
            <w:vAlign w:val="bottom"/>
            <w:shd w:val="clear" w:color="auto" w:fill="CFF0FC"/>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4,284</w:t>
            </w:r>
          </w:p>
        </w:tc>
        <w:tc>
          <w:tcPr>
            <w:tcW w:w="100" w:type="dxa"/>
            <w:vAlign w:val="bottom"/>
            <w:shd w:val="clear" w:color="auto" w:fill="CFF2FA"/>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4,004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(1,063)</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280</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3,221</w:t>
            </w: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(124,798)</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(125,883)</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20"/>
                <w:szCs w:val="20"/>
                <w:color w:val="auto"/>
                <w:w w:val="89"/>
              </w:rPr>
              <w:t>Six-Months Ended June 30, 2017</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(128,373)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(1,162)</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(1,152)</w:t>
            </w:r>
          </w:p>
        </w:tc>
        <w:tc>
          <w:tcPr>
            <w:tcW w:w="24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(130,687)</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526</w:t>
            </w:r>
          </w:p>
        </w:tc>
        <w:tc>
          <w:tcPr>
            <w:tcW w:w="100" w:type="dxa"/>
            <w:vAlign w:val="bottom"/>
          </w:tcPr>
          <w:p>
            <w:pPr>
              <w:spacing w:after="0"/>
              <w:rPr>
                <w:sz w:val="21"/>
                <w:szCs w:val="21"/>
                <w:color w:val="auto"/>
              </w:rPr>
            </w:pP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4,255</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526</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435</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4,781</w:t>
            </w: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(124,553)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(125,906)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180"/>
        <w:spacing w:after="0" w:line="393"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Consolidated Comprehensive Earnings/Loss and Accumulated Other Comprehensive Loss (continued) </w:t>
      </w:r>
      <w:r>
        <w:rPr>
          <w:rFonts w:ascii="Arial" w:cs="Arial" w:eastAsia="Arial" w:hAnsi="Arial"/>
          <w:sz w:val="16"/>
          <w:szCs w:val="16"/>
          <w:color w:val="auto"/>
        </w:rPr>
        <w:t>Changes in net noncurrent deferred tax assets recorded in accumulated other comprehensive loss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20"/>
                <w:szCs w:val="20"/>
                <w:i w:val="1"/>
                <w:iCs w:val="1"/>
                <w:color w:val="auto"/>
                <w:w w:val="92"/>
              </w:rPr>
              <w:t>(Dollars in Thousands)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line="220" w:lineRule="exact"/>
              <w:rPr>
                <w:sz w:val="20"/>
                <w:szCs w:val="20"/>
                <w:color w:val="auto"/>
              </w:rPr>
            </w:pPr>
            <w:r>
              <w:rPr>
                <w:rFonts w:ascii="Arial" w:cs="Arial" w:eastAsia="Arial" w:hAnsi="Arial"/>
                <w:sz w:val="20"/>
                <w:szCs w:val="20"/>
                <w:color w:val="auto"/>
                <w:w w:val="89"/>
              </w:rPr>
              <w:t>Unamortized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Value of</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20"/>
                <w:szCs w:val="20"/>
                <w:color w:val="auto"/>
                <w:w w:val="88"/>
              </w:rPr>
              <w:t>Terminated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20"/>
                <w:szCs w:val="20"/>
                <w:color w:val="auto"/>
                <w:w w:val="90"/>
              </w:rPr>
              <w:t>Forward Starting</w:t>
            </w:r>
          </w:p>
        </w:tc>
        <w:tc>
          <w:tcPr>
            <w:tcW w:w="1540" w:type="dxa"/>
            <w:vAlign w:val="bottom"/>
            <w:gridSpan w:val="3"/>
          </w:tcPr>
          <w:p>
            <w:pPr>
              <w:jc w:val="center"/>
              <w:ind w:right="120"/>
              <w:spacing w:after="0"/>
              <w:rPr>
                <w:sz w:val="20"/>
                <w:szCs w:val="20"/>
                <w:color w:val="auto"/>
              </w:rPr>
            </w:pPr>
            <w:r>
              <w:rPr>
                <w:rFonts w:ascii="Arial" w:cs="Arial" w:eastAsia="Arial" w:hAnsi="Arial"/>
                <w:sz w:val="20"/>
                <w:szCs w:val="20"/>
                <w:color w:val="auto"/>
                <w:w w:val="89"/>
              </w:rPr>
              <w:t>Net Noncurrent</w:t>
            </w: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Postretirement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Interest Rate</w:t>
            </w:r>
          </w:p>
        </w:tc>
        <w:tc>
          <w:tcPr>
            <w:tcW w:w="1540" w:type="dxa"/>
            <w:vAlign w:val="bottom"/>
            <w:gridSpan w:val="3"/>
          </w:tcPr>
          <w:p>
            <w:pPr>
              <w:jc w:val="center"/>
              <w:ind w:right="120"/>
              <w:spacing w:after="0"/>
              <w:rPr>
                <w:sz w:val="20"/>
                <w:szCs w:val="20"/>
                <w:color w:val="auto"/>
              </w:rPr>
            </w:pPr>
            <w:r>
              <w:rPr>
                <w:rFonts w:ascii="Arial" w:cs="Arial" w:eastAsia="Arial" w:hAnsi="Arial"/>
                <w:sz w:val="20"/>
                <w:szCs w:val="20"/>
                <w:color w:val="auto"/>
                <w:w w:val="90"/>
              </w:rPr>
              <w:t>Deferred Tax</w:t>
            </w:r>
          </w:p>
        </w:tc>
      </w:tr>
      <w:tr>
        <w:trPr>
          <w:trHeight w:val="246"/>
        </w:trPr>
        <w:tc>
          <w:tcPr>
            <w:tcW w:w="6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9"/>
              </w:rPr>
              <w:t>Benefit Plans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41"/>
              <w:spacing w:after="0"/>
              <w:rPr>
                <w:sz w:val="20"/>
                <w:szCs w:val="20"/>
                <w:color w:val="auto"/>
              </w:rPr>
            </w:pPr>
            <w:r>
              <w:rPr>
                <w:rFonts w:ascii="Arial" w:cs="Arial" w:eastAsia="Arial" w:hAnsi="Arial"/>
                <w:sz w:val="20"/>
                <w:szCs w:val="20"/>
                <w:color w:val="auto"/>
                <w:w w:val="83"/>
              </w:rPr>
              <w:t>Assets</w:t>
            </w:r>
          </w:p>
        </w:tc>
        <w:tc>
          <w:tcPr>
            <w:tcW w:w="100" w:type="dxa"/>
            <w:vAlign w:val="bottom"/>
          </w:tcPr>
          <w:p>
            <w:pPr>
              <w:spacing w:after="0"/>
              <w:rPr>
                <w:sz w:val="21"/>
                <w:szCs w:val="21"/>
                <w:color w:val="auto"/>
              </w:rPr>
            </w:pPr>
          </w:p>
        </w:tc>
      </w:tr>
      <w:tr>
        <w:trPr>
          <w:trHeight w:val="480"/>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901"/>
              <w:spacing w:after="0"/>
              <w:rPr>
                <w:sz w:val="20"/>
                <w:szCs w:val="20"/>
                <w:color w:val="auto"/>
              </w:rPr>
            </w:pPr>
            <w:r>
              <w:rPr>
                <w:rFonts w:ascii="Arial" w:cs="Arial" w:eastAsia="Arial" w:hAnsi="Arial"/>
                <w:sz w:val="20"/>
                <w:szCs w:val="20"/>
                <w:color w:val="auto"/>
                <w:w w:val="88"/>
              </w:rPr>
              <w:t>Three-Months Ended June 30, 2018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79,280</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79,321</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(661)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(41)</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(702)</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901"/>
              <w:spacing w:after="0"/>
              <w:rPr>
                <w:sz w:val="20"/>
                <w:szCs w:val="20"/>
                <w:color w:val="auto"/>
              </w:rPr>
            </w:pPr>
            <w:r>
              <w:rPr>
                <w:rFonts w:ascii="Arial" w:cs="Arial" w:eastAsia="Arial" w:hAnsi="Arial"/>
                <w:sz w:val="20"/>
                <w:szCs w:val="20"/>
                <w:color w:val="auto"/>
                <w:w w:val="88"/>
              </w:rPr>
              <w:t>Three-Months Ended June 30, 2017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80,859</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81,467</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(1,184)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(144)</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(1,328)</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79,675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80,139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881"/>
              <w:spacing w:after="0"/>
              <w:rPr>
                <w:sz w:val="20"/>
                <w:szCs w:val="20"/>
                <w:color w:val="auto"/>
              </w:rPr>
            </w:pPr>
            <w:r>
              <w:rPr>
                <w:rFonts w:ascii="Arial" w:cs="Arial" w:eastAsia="Arial" w:hAnsi="Arial"/>
                <w:sz w:val="20"/>
                <w:szCs w:val="20"/>
                <w:color w:val="auto"/>
                <w:w w:val="89"/>
              </w:rPr>
              <w:t>Six-Months Ended June 30, 2018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79,938</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80,116</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(1,319)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(178)</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(1,497)</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881"/>
              <w:spacing w:after="0"/>
              <w:rPr>
                <w:sz w:val="20"/>
                <w:szCs w:val="20"/>
                <w:color w:val="auto"/>
              </w:rPr>
            </w:pPr>
            <w:r>
              <w:rPr>
                <w:rFonts w:ascii="Arial" w:cs="Arial" w:eastAsia="Arial" w:hAnsi="Arial"/>
                <w:sz w:val="20"/>
                <w:szCs w:val="20"/>
                <w:color w:val="auto"/>
                <w:w w:val="89"/>
              </w:rPr>
              <w:t>Six-Months Ended June 30, 2017</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82,044</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82,793</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(2,369)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(285)</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(2,654)</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79,675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80,139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380"/>
        <w:spacing w:after="0" w:line="379"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Consolidated Comprehensive Earnings/Loss and Accumulated Other Comprehensive Loss (continued) </w:t>
      </w:r>
      <w:r>
        <w:rPr>
          <w:rFonts w:ascii="Arial" w:cs="Arial" w:eastAsia="Arial" w:hAnsi="Arial"/>
          <w:sz w:val="20"/>
          <w:szCs w:val="20"/>
          <w:color w:val="auto"/>
        </w:rPr>
        <w:t>Reclassifications out of accumulated other comprehensive loss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20"/>
                <w:szCs w:val="20"/>
                <w:color w:val="auto"/>
                <w:w w:val="92"/>
              </w:rPr>
              <w:t>Three-Months Ended</w:t>
            </w:r>
          </w:p>
        </w:tc>
        <w:tc>
          <w:tcPr>
            <w:tcW w:w="200" w:type="dxa"/>
            <w:vAlign w:val="bottom"/>
          </w:tcPr>
          <w:p>
            <w:pPr>
              <w:spacing w:after="0"/>
              <w:rPr>
                <w:sz w:val="20"/>
                <w:szCs w:val="20"/>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9"/>
                <w:szCs w:val="19"/>
                <w:color w:val="auto"/>
              </w:rPr>
              <w:t>Six-Months Ended</w:t>
            </w:r>
          </w:p>
        </w:tc>
        <w:tc>
          <w:tcPr>
            <w:tcW w:w="3140" w:type="dxa"/>
            <w:vAlign w:val="bottom"/>
          </w:tcPr>
          <w:p>
            <w:pPr>
              <w:jc w:val="center"/>
              <w:ind w:left="45"/>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jc w:val="center"/>
              <w:ind w:left="25"/>
              <w:spacing w:after="0"/>
              <w:rPr>
                <w:sz w:val="20"/>
                <w:szCs w:val="20"/>
                <w:color w:val="auto"/>
              </w:rPr>
            </w:pPr>
            <w:r>
              <w:rPr>
                <w:rFonts w:ascii="Arial" w:cs="Arial" w:eastAsia="Arial" w:hAnsi="Arial"/>
                <w:sz w:val="19"/>
                <w:szCs w:val="19"/>
                <w:color w:val="auto"/>
                <w:w w:val="88"/>
              </w:rPr>
              <w:t>statements of earnings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05"/>
              <w:spacing w:after="0"/>
              <w:rPr>
                <w:sz w:val="20"/>
                <w:szCs w:val="20"/>
                <w:color w:val="auto"/>
              </w:rPr>
            </w:pPr>
            <w:r>
              <w:rPr>
                <w:rFonts w:ascii="Arial" w:cs="Arial" w:eastAsia="Arial" w:hAnsi="Arial"/>
                <w:sz w:val="19"/>
                <w:szCs w:val="19"/>
                <w:color w:val="auto"/>
              </w:rPr>
              <w:t>2018</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9"/>
                <w:szCs w:val="19"/>
                <w:color w:val="auto"/>
              </w:rPr>
              <w:t>2017</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9"/>
                <w:szCs w:val="19"/>
                <w:color w:val="auto"/>
              </w:rPr>
              <w:t>2018</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9"/>
                <w:szCs w:val="19"/>
                <w:color w:val="auto"/>
                <w:w w:val="99"/>
              </w:rPr>
              <w:t>2017</w:t>
            </w:r>
          </w:p>
        </w:tc>
        <w:tc>
          <w:tcPr>
            <w:tcW w:w="100" w:type="dxa"/>
            <w:vAlign w:val="bottom"/>
          </w:tcPr>
          <w:p>
            <w:pPr>
              <w:spacing w:after="0"/>
              <w:rPr>
                <w:sz w:val="19"/>
                <w:szCs w:val="19"/>
                <w:color w:val="auto"/>
              </w:rPr>
            </w:pPr>
          </w:p>
        </w:tc>
        <w:tc>
          <w:tcPr>
            <w:tcW w:w="3140" w:type="dxa"/>
            <w:vAlign w:val="bottom"/>
            <w:tcBorders>
              <w:bottom w:val="single" w:sz="8" w:color="auto"/>
            </w:tcBorders>
          </w:tcPr>
          <w:p>
            <w:pPr>
              <w:jc w:val="center"/>
              <w:ind w:left="45"/>
              <w:spacing w:after="0"/>
              <w:rPr>
                <w:sz w:val="20"/>
                <w:szCs w:val="20"/>
                <w:color w:val="auto"/>
              </w:rPr>
            </w:pPr>
            <w:r>
              <w:rPr>
                <w:rFonts w:ascii="Arial" w:cs="Arial" w:eastAsia="Arial" w:hAnsi="Arial"/>
                <w:sz w:val="19"/>
                <w:szCs w:val="19"/>
                <w:color w:val="auto"/>
                <w:w w:val="88"/>
              </w:rPr>
              <w:t>comprehensive earnings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9"/>
                <w:szCs w:val="19"/>
                <w:i w:val="1"/>
                <w:iCs w:val="1"/>
                <w:color w:val="auto"/>
                <w:w w:val="91"/>
              </w:rPr>
              <w:t>(Dollars in Thousands)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9"/>
                <w:szCs w:val="19"/>
                <w:color w:val="auto"/>
                <w:w w:val="95"/>
              </w:rPr>
              <w:t>Pension and postretirement benefit plans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9"/>
                <w:szCs w:val="19"/>
                <w:color w:val="auto"/>
              </w:rPr>
              <w:t>Amortization of:</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9"/>
                <w:szCs w:val="19"/>
                <w:color w:val="auto"/>
              </w:rPr>
              <w:t>Prior service credit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(400)</w:t>
            </w:r>
          </w:p>
        </w:tc>
        <w:tc>
          <w:tcPr>
            <w:tcW w:w="20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(358)</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(985)</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(716)</w:t>
            </w: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Actuarial loss</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3,069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3,452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6,308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6,905</w:t>
            </w:r>
          </w:p>
        </w:tc>
        <w:tc>
          <w:tcPr>
            <w:tcW w:w="100" w:type="dxa"/>
            <w:vAlign w:val="bottom"/>
            <w:tcBorders>
              <w:bottom w:val="single" w:sz="8" w:color="CFF0FC"/>
            </w:tcBorders>
          </w:tcPr>
          <w:p>
            <w:pPr>
              <w:spacing w:after="0"/>
              <w:rPr>
                <w:sz w:val="19"/>
                <w:szCs w:val="19"/>
                <w:color w:val="auto"/>
              </w:rPr>
            </w:pPr>
          </w:p>
        </w:tc>
        <w:tc>
          <w:tcPr>
            <w:tcW w:w="3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2,669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5,323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6,189</w:t>
            </w: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9"/>
                <w:szCs w:val="19"/>
                <w:color w:val="auto"/>
              </w:rPr>
              <w:t>(661)</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9"/>
                <w:szCs w:val="19"/>
                <w:color w:val="auto"/>
              </w:rPr>
              <w:t>(1,184)</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9"/>
                <w:szCs w:val="19"/>
                <w:color w:val="auto"/>
              </w:rPr>
              <w:t>(1,319)</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9"/>
                <w:szCs w:val="19"/>
                <w:color w:val="auto"/>
              </w:rPr>
              <w:t>(2,369)</w:t>
            </w:r>
          </w:p>
        </w:tc>
        <w:tc>
          <w:tcPr>
            <w:tcW w:w="3140" w:type="dxa"/>
            <w:vAlign w:val="bottom"/>
          </w:tcPr>
          <w:p>
            <w:pPr>
              <w:ind w:left="140"/>
              <w:spacing w:after="0"/>
              <w:rPr>
                <w:sz w:val="20"/>
                <w:szCs w:val="20"/>
                <w:color w:val="auto"/>
              </w:rPr>
            </w:pPr>
            <w:r>
              <w:rPr>
                <w:rFonts w:ascii="Arial" w:cs="Arial" w:eastAsia="Arial" w:hAnsi="Arial"/>
                <w:sz w:val="19"/>
                <w:szCs w:val="19"/>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4,004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3,820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2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Unamortized value of terminated</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9"/>
                <w:szCs w:val="19"/>
                <w:color w:val="auto"/>
              </w:rPr>
              <w:t>forward starting interest rate swap</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111</w:t>
            </w:r>
          </w:p>
        </w:tc>
        <w:tc>
          <w:tcPr>
            <w:tcW w:w="24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364</w:t>
            </w:r>
          </w:p>
        </w:tc>
        <w:tc>
          <w:tcPr>
            <w:tcW w:w="240" w:type="dxa"/>
            <w:vAlign w:val="bottom"/>
          </w:tcPr>
          <w:p>
            <w:pPr>
              <w:spacing w:after="0"/>
              <w:rPr>
                <w:sz w:val="19"/>
                <w:szCs w:val="19"/>
                <w:color w:val="auto"/>
              </w:rPr>
            </w:pPr>
          </w:p>
        </w:tc>
        <w:tc>
          <w:tcPr>
            <w:tcW w:w="200" w:type="dxa"/>
            <w:vAlign w:val="bottom"/>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458</w:t>
            </w:r>
          </w:p>
        </w:tc>
        <w:tc>
          <w:tcPr>
            <w:tcW w:w="240" w:type="dxa"/>
            <w:vAlign w:val="bottom"/>
          </w:tcPr>
          <w:p>
            <w:pPr>
              <w:spacing w:after="0"/>
              <w:rPr>
                <w:sz w:val="19"/>
                <w:szCs w:val="19"/>
                <w:color w:val="auto"/>
              </w:rPr>
            </w:pP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720</w:t>
            </w:r>
          </w:p>
        </w:tc>
        <w:tc>
          <w:tcPr>
            <w:tcW w:w="100" w:type="dxa"/>
            <w:vAlign w:val="bottom"/>
          </w:tcPr>
          <w:p>
            <w:pPr>
              <w:spacing w:after="0"/>
              <w:rPr>
                <w:sz w:val="19"/>
                <w:szCs w:val="19"/>
                <w:color w:val="auto"/>
              </w:rPr>
            </w:pPr>
          </w:p>
        </w:tc>
        <w:tc>
          <w:tcPr>
            <w:tcW w:w="3140" w:type="dxa"/>
            <w:vAlign w:val="bottom"/>
          </w:tcPr>
          <w:p>
            <w:pPr>
              <w:ind w:left="14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(41)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(144)</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(178)</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(285)</w:t>
            </w:r>
          </w:p>
        </w:tc>
        <w:tc>
          <w:tcPr>
            <w:tcW w:w="31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Income tax expense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220</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280</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45"/>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435</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-6350</wp:posOffset>
            </wp:positionV>
            <wp:extent cx="2907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-139700</wp:posOffset>
            </wp:positionV>
            <wp:extent cx="2907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9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six-months ended June 30, 2018 and 2017, the diluted per-share computations reflect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94" w:lineRule="auto"/>
        <w:tabs>
          <w:tab w:leader="none" w:pos="37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Earnings per Common Share</w:t>
      </w:r>
    </w:p>
    <w:p>
      <w:pPr>
        <w:spacing w:after="0" w:line="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ind w:left="280"/>
              <w:spacing w:after="0"/>
              <w:rPr>
                <w:sz w:val="20"/>
                <w:szCs w:val="20"/>
                <w:color w:val="auto"/>
              </w:rPr>
            </w:pPr>
            <w:r>
              <w:rPr>
                <w:rFonts w:ascii="Arial" w:cs="Arial" w:eastAsia="Arial" w:hAnsi="Arial"/>
                <w:sz w:val="20"/>
                <w:szCs w:val="20"/>
                <w:color w:val="auto"/>
              </w:rPr>
              <w:t>Three-Months Ended</w:t>
            </w:r>
          </w:p>
        </w:tc>
        <w:tc>
          <w:tcPr>
            <w:tcW w:w="260" w:type="dxa"/>
            <w:vAlign w:val="bottom"/>
          </w:tcPr>
          <w:p>
            <w:pPr>
              <w:spacing w:after="0"/>
              <w:rPr>
                <w:sz w:val="21"/>
                <w:szCs w:val="21"/>
                <w:color w:val="auto"/>
              </w:rPr>
            </w:pPr>
          </w:p>
        </w:tc>
        <w:tc>
          <w:tcPr>
            <w:tcW w:w="2640" w:type="dxa"/>
            <w:vAlign w:val="bottom"/>
            <w:gridSpan w:val="5"/>
          </w:tcPr>
          <w:p>
            <w:pPr>
              <w:ind w:left="380"/>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5"/>
          </w:tcPr>
          <w:p>
            <w:pPr>
              <w:ind w:left="480"/>
              <w:spacing w:after="0"/>
              <w:rPr>
                <w:sz w:val="20"/>
                <w:szCs w:val="20"/>
                <w:color w:val="auto"/>
              </w:rPr>
            </w:pPr>
            <w:r>
              <w:rPr>
                <w:rFonts w:ascii="Arial" w:cs="Arial" w:eastAsia="Arial" w:hAnsi="Arial"/>
                <w:sz w:val="20"/>
                <w:szCs w:val="20"/>
                <w:i w:val="1"/>
                <w:iCs w:val="1"/>
                <w:color w:val="auto"/>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185,377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195,400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4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attributable to unvested awards</w:t>
            </w:r>
          </w:p>
        </w:tc>
        <w:tc>
          <w:tcPr>
            <w:tcW w:w="3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40" w:type="dxa"/>
            <w:vAlign w:val="bottom"/>
            <w:shd w:val="clear" w:color="auto" w:fill="CFF0FC"/>
          </w:tcPr>
          <w:p>
            <w:pPr>
              <w:ind w:left="140"/>
              <w:spacing w:after="0"/>
              <w:rPr>
                <w:sz w:val="20"/>
                <w:szCs w:val="20"/>
                <w:color w:val="auto"/>
              </w:rPr>
            </w:pPr>
            <w:r>
              <w:rPr>
                <w:rFonts w:ascii="Arial" w:cs="Arial" w:eastAsia="Arial" w:hAnsi="Arial"/>
                <w:sz w:val="20"/>
                <w:szCs w:val="20"/>
                <w:color w:val="auto"/>
                <w:w w:val="97"/>
              </w:rPr>
              <w:t>shareholders attributable to Martin Marietta Materials, Inc.</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185,060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141,866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195,022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184,060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63,021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62,858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62,989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3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3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63,285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63,141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63,253</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Under the revenue-cost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revenue-cost approach is appropriate as the use of asphalt in a paving contract is relatively consistent with the performance of the paving service. Paving contracts, notably with governmental entities, may contain performance bonuses based on quality specifications. Given the uncertainty of meeting the criteria until the performance obligation is completed, performance bonuses are recognized as revenues when and if determined to be achieved. Performance bonuses are not material to the Company’s consolidated results of operations for the three- and six-months ended June 30, 2018 and 2017. Freight revenues reflect delivery arranged by the Company using a third party on behalf of the customer and are recognized consistent with the timing of the product revenues.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113"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June 30, 2018 and 2017 were $128,953,000 and $147,698,000, respectively, where the remaining periods to complete these obligations ranged from one month to 13 months and one month to 22 months, respectively.</w:t>
      </w:r>
    </w:p>
    <w:p>
      <w:pPr>
        <w:spacing w:after="0" w:line="7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Sales Taxes. </w:t>
      </w:r>
      <w:r>
        <w:rPr>
          <w:rFonts w:ascii="Arial" w:cs="Arial" w:eastAsia="Arial" w:hAnsi="Arial"/>
          <w:sz w:val="20"/>
          <w:szCs w:val="20"/>
          <w:color w:val="auto"/>
        </w:rPr>
        <w:t>The Company is deemed to be an agent when collecting sales taxes from customers. Sales taxes collected are initially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recorded as liabilities until remitted to taxing authorities and are not reflected in the consolidated statements of earnings as revenues and expenses.</w:t>
      </w:r>
    </w:p>
    <w:p>
      <w:pPr>
        <w:spacing w:after="0" w:line="7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00" w:type="dxa"/>
            <w:vAlign w:val="bottom"/>
            <w:gridSpan w:val="4"/>
          </w:tcPr>
          <w:p>
            <w:pPr>
              <w:ind w:left="100"/>
              <w:spacing w:after="0"/>
              <w:rPr>
                <w:sz w:val="20"/>
                <w:szCs w:val="20"/>
                <w:color w:val="auto"/>
              </w:rPr>
            </w:pPr>
            <w:r>
              <w:rPr>
                <w:rFonts w:ascii="Arial" w:cs="Arial" w:eastAsia="Arial" w:hAnsi="Arial"/>
                <w:sz w:val="20"/>
                <w:szCs w:val="20"/>
                <w:color w:val="auto"/>
                <w:w w:val="94"/>
              </w:rPr>
              <w:t>Three-Months Ended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color w:val="auto"/>
                <w:w w:val="86"/>
              </w:rPr>
              <w:t>June 30, 2018</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ind w:right="12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325,578</w:t>
            </w:r>
          </w:p>
        </w:tc>
        <w:tc>
          <w:tcPr>
            <w:tcW w:w="1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25,014</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350,592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109,082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112,963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625,960</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39,926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665,886</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68,821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1,129,441</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68,157</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4,805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72,962</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1,128,777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1,202,403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gridSpan w:val="4"/>
          </w:tcPr>
          <w:p>
            <w:pPr>
              <w:ind w:left="100"/>
              <w:spacing w:after="0"/>
              <w:rPr>
                <w:sz w:val="20"/>
                <w:szCs w:val="20"/>
                <w:color w:val="auto"/>
              </w:rPr>
            </w:pPr>
            <w:r>
              <w:rPr>
                <w:rFonts w:ascii="Arial" w:cs="Arial" w:eastAsia="Arial" w:hAnsi="Arial"/>
                <w:sz w:val="20"/>
                <w:szCs w:val="20"/>
                <w:color w:val="auto"/>
                <w:w w:val="94"/>
              </w:rPr>
              <w:t>Three-Months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color w:val="auto"/>
                <w:w w:val="86"/>
              </w:rPr>
              <w:t>June 30, 2017</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ind w:right="12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269,914</w:t>
            </w:r>
          </w:p>
        </w:tc>
        <w:tc>
          <w:tcPr>
            <w:tcW w:w="1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20,984</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290,898</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88,538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92,348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572,663</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37,586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610,249</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931,115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62,380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993,495</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65,728</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4,301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70,029</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996,843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66,681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1,063,524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$69,569,000 and $69,051,000 for the three-months ended June 30, 2018 and 2017,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Six-Months Ended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color w:val="auto"/>
                <w:w w:val="86"/>
              </w:rPr>
              <w:t>June 30, 2018</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40"/>
              <w:spacing w:after="0" w:line="220" w:lineRule="exact"/>
              <w:rPr>
                <w:sz w:val="20"/>
                <w:szCs w:val="20"/>
                <w:color w:val="auto"/>
              </w:rPr>
            </w:pPr>
            <w:r>
              <w:rPr>
                <w:rFonts w:ascii="Arial" w:cs="Arial" w:eastAsia="Arial" w:hAnsi="Arial"/>
                <w:sz w:val="20"/>
                <w:szCs w:val="20"/>
                <w:color w:val="auto"/>
                <w:w w:val="88"/>
              </w:rPr>
              <w:t>Products and</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Services</w:t>
            </w:r>
          </w:p>
        </w:tc>
        <w:tc>
          <w:tcPr>
            <w:tcW w:w="18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493,468</w:t>
            </w:r>
          </w:p>
        </w:tc>
        <w:tc>
          <w:tcPr>
            <w:tcW w:w="1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35,905</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529,373</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186,646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6,556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193,202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1,068,943</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70,665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1,139,608</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1,749,057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113,126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1,862,183</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133,025</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9,199</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142,224</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1,882,082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122,325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2,004,407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Six-Months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20"/>
                <w:szCs w:val="20"/>
                <w:color w:val="auto"/>
                <w:w w:val="86"/>
              </w:rPr>
              <w:t>June 30, 2017</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40"/>
              <w:spacing w:after="0" w:line="220" w:lineRule="exact"/>
              <w:rPr>
                <w:sz w:val="20"/>
                <w:szCs w:val="20"/>
                <w:color w:val="auto"/>
              </w:rPr>
            </w:pPr>
            <w:r>
              <w:rPr>
                <w:rFonts w:ascii="Arial" w:cs="Arial" w:eastAsia="Arial" w:hAnsi="Arial"/>
                <w:sz w:val="20"/>
                <w:szCs w:val="20"/>
                <w:color w:val="auto"/>
                <w:w w:val="88"/>
              </w:rPr>
              <w:t>Products and</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Services</w:t>
            </w:r>
          </w:p>
        </w:tc>
        <w:tc>
          <w:tcPr>
            <w:tcW w:w="18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447,321</w:t>
            </w:r>
          </w:p>
        </w:tc>
        <w:tc>
          <w:tcPr>
            <w:tcW w:w="1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32,597</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479,918</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175,264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7,366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182,630</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1,036,545</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69,685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1,106,230</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1,659,130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109,648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1,768,778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130,029</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8,576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138,605</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1,789,159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118,224</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1,907,383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$80,712,000 and $85,051,000 for the six-months ended June 30, 2018 and 2017, respectively.</w:t>
      </w:r>
    </w:p>
    <w:p>
      <w:pPr>
        <w:spacing w:after="0" w:line="6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224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June 30, 2018</w:t>
            </w:r>
          </w:p>
        </w:tc>
        <w:tc>
          <w:tcPr>
            <w:tcW w:w="1740" w:type="dxa"/>
            <w:vAlign w:val="bottom"/>
            <w:gridSpan w:val="2"/>
          </w:tcPr>
          <w:p>
            <w:pPr>
              <w:jc w:val="right"/>
              <w:ind w:right="1"/>
              <w:spacing w:after="0"/>
              <w:rPr>
                <w:sz w:val="20"/>
                <w:szCs w:val="20"/>
                <w:color w:val="auto"/>
              </w:rPr>
            </w:pPr>
            <w:r>
              <w:rPr>
                <w:rFonts w:ascii="Arial" w:cs="Arial" w:eastAsia="Arial" w:hAnsi="Arial"/>
                <w:sz w:val="20"/>
                <w:szCs w:val="20"/>
                <w:color w:val="auto"/>
                <w:w w:val="92"/>
              </w:rPr>
              <w:t>December 31, 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rPr>
              <w:t>June 30, 2017</w:t>
            </w:r>
          </w:p>
        </w:tc>
      </w:tr>
      <w:tr>
        <w:trPr>
          <w:trHeight w:val="237"/>
        </w:trPr>
        <w:tc>
          <w:tcPr>
            <w:tcW w:w="20" w:type="dxa"/>
            <w:vAlign w:val="bottom"/>
          </w:tcPr>
          <w:p>
            <w:pPr>
              <w:spacing w:after="0"/>
              <w:rPr>
                <w:sz w:val="20"/>
                <w:szCs w:val="20"/>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Costs in excess of billings</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6,581</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5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10,990</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20"/>
                <w:szCs w:val="20"/>
                <w:color w:val="auto"/>
              </w:rPr>
              <w:t>Billings in excess of costs</w:t>
            </w:r>
          </w:p>
        </w:tc>
        <w:tc>
          <w:tcPr>
            <w:tcW w:w="2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7,843</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5,194</w:t>
            </w:r>
          </w:p>
        </w:tc>
        <w:tc>
          <w:tcPr>
            <w:tcW w:w="12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Revenues recognized from the beginning balance of contract liabilities for the three-months ended June 30, 2018 and 2017 were $4,066,000 and $3,683,000, respectively, and for the six-months ended June 30, 2018 and 2017 were $6,162,000 and $7,465,000, respectively.</w:t>
      </w:r>
    </w:p>
    <w:p>
      <w:pPr>
        <w:spacing w:after="0" w:line="78" w:lineRule="exact"/>
        <w:rPr>
          <w:rFonts w:ascii="Arial" w:cs="Arial" w:eastAsia="Arial" w:hAnsi="Arial"/>
          <w:sz w:val="20"/>
          <w:szCs w:val="20"/>
          <w:b w:val="1"/>
          <w:bCs w:val="1"/>
          <w:color w:val="auto"/>
        </w:rPr>
      </w:pPr>
    </w:p>
    <w:p>
      <w:pPr>
        <w:jc w:val="both"/>
        <w:ind w:left="38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of the performance obligation by the customer. Included on the Company’s consolidated balance sheets, retainage was $6,578,000, $9,029,000 and $4,150,000 at June 30, 2018, December 31, 2017 and June 30, 2017, respectively.</w:t>
      </w:r>
    </w:p>
    <w:p>
      <w:pPr>
        <w:spacing w:after="0" w:line="43" w:lineRule="exact"/>
        <w:rPr>
          <w:rFonts w:ascii="Arial" w:cs="Arial" w:eastAsia="Arial" w:hAnsi="Arial"/>
          <w:sz w:val="20"/>
          <w:szCs w:val="20"/>
          <w:b w:val="1"/>
          <w:bCs w:val="1"/>
          <w:color w:val="auto"/>
        </w:rPr>
      </w:pPr>
    </w:p>
    <w:p>
      <w:pPr>
        <w:jc w:val="both"/>
        <w:ind w:left="380"/>
        <w:spacing w:after="0" w:line="278" w:lineRule="auto"/>
        <w:rPr>
          <w:rFonts w:ascii="Arial" w:cs="Arial" w:eastAsia="Arial" w:hAnsi="Arial"/>
          <w:sz w:val="20"/>
          <w:szCs w:val="20"/>
          <w:b w:val="1"/>
          <w:bCs w:val="1"/>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The Company’s construction contracts generally contain warranty provisions generally for a period of nine months to one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and six-months ended June 30, 2018 and 2017.</w:t>
      </w:r>
    </w:p>
    <w:p>
      <w:pPr>
        <w:spacing w:after="0" w:line="57"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 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185" w:lineRule="exact"/>
        <w:rPr>
          <w:rFonts w:ascii="Arial" w:cs="Arial" w:eastAsia="Arial" w:hAnsi="Arial"/>
          <w:sz w:val="20"/>
          <w:szCs w:val="20"/>
          <w:b w:val="1"/>
          <w:bCs w:val="1"/>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13" w:lineRule="exact"/>
        <w:rPr>
          <w:rFonts w:ascii="Arial" w:cs="Arial" w:eastAsia="Arial" w:hAnsi="Arial"/>
          <w:sz w:val="20"/>
          <w:szCs w:val="20"/>
          <w:b w:val="1"/>
          <w:bCs w:val="1"/>
          <w:color w:val="auto"/>
        </w:rPr>
      </w:pP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On April 27, 2018, the Company successfully completed its previously announced acquisition of Bluegrass Materials Company (Bluegrass), the largest privately-held, pure-play aggregates company in the United States, for approximately $1,623,000,000 in cash, subject to a working capital adjustment. Bluegrass’ operations include 23 active sites with more than 125 years of reserves, collectively, in Georgia, South Carolina, Tennessee, Maryland, Kentucky and Pennsylvania. These operations complement the Company’s existing southeastern footprint in its Mid-America and Southeast Groups and provide a new growth platform within Maryland and Kentucky. The Company reached an agreement with the U.S. Department of Justice (DOJ), approved by the federal district court for the District of Columbia, which resolved all competition issues with respect to the acquisition. Under the terms of the agreement with the DOJ, Martin Marietta divested its heritage Forsyth aggregates quarry north of Atlanta, Georgia, and the legacy Bluegrass Beaver Creek aggregates quarry in western Maryland. In connection with the sale of its Forsyth quarry, the Company recognized a pretax gain of $14,785,000, which is included in acquisition-related expenses, net, in the consolidated statements of earnings and comprehensive earnings. There was no gain or loss on the Beaver Creek divestiture.</w:t>
      </w:r>
    </w:p>
    <w:p>
      <w:pPr>
        <w:spacing w:after="0" w:line="79"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Bluegrass acquisition was a stock transaction wherein the Company acquired 100% of the voting interest of the owners. The Company acquired accounts receivable; inventories; property, plant and equipment, which primarily consists of mineral reserves; intangible assets; prepaid and other assets; and assumed accounts payable; accrued liabilities and deferred tax liabilities, net. The Company did not assume any of Bluegrass’ outstanding debt.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 (continued)</w:t>
      </w:r>
    </w:p>
    <w:p>
      <w:pPr>
        <w:spacing w:after="0" w:line="113" w:lineRule="exact"/>
        <w:rPr>
          <w:rFonts w:ascii="Arial" w:cs="Arial" w:eastAsia="Arial" w:hAnsi="Arial"/>
          <w:sz w:val="20"/>
          <w:szCs w:val="20"/>
          <w:b w:val="1"/>
          <w:bCs w:val="1"/>
          <w:color w:val="auto"/>
        </w:rPr>
      </w:pPr>
    </w:p>
    <w:p>
      <w:pPr>
        <w:jc w:val="both"/>
        <w:ind w:left="380"/>
        <w:spacing w:after="0" w:line="274" w:lineRule="auto"/>
        <w:rPr>
          <w:rFonts w:ascii="Arial" w:cs="Arial" w:eastAsia="Arial" w:hAnsi="Arial"/>
          <w:sz w:val="20"/>
          <w:szCs w:val="20"/>
          <w:b w:val="1"/>
          <w:bCs w:val="1"/>
          <w:color w:val="auto"/>
        </w:rPr>
      </w:pPr>
      <w:r>
        <w:rPr>
          <w:rFonts w:ascii="Arial" w:cs="Arial" w:eastAsia="Arial" w:hAnsi="Arial"/>
          <w:sz w:val="18"/>
          <w:szCs w:val="18"/>
          <w:color w:val="auto"/>
        </w:rPr>
        <w:t>The Company has determined preliminary fair values of the assets acquired and liabilities assumed. Although initial accounting for the business combination has been recorded, these amounts are subject to change during the measurement period which extends no longer than one year from consummation date based on additional reviews, such as asset verification and completion of deferred tax estimates based on the determination of the historic tax basis in assets acquired. Specific accounts subject to ongoing purchase accounting adjustments include, but are not limited to, inventory; property, plant and equipment; other assets; goodwill; accounts payable and accrued expenses; and deferred income tax liabilities. Therefore, the measurement period remains open as of June 30, 2018. The following is a summary of the estimated fair values of the assets acquired and the liabilities assumed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200" w:type="dxa"/>
            <w:vAlign w:val="bottom"/>
            <w:gridSpan w:val="2"/>
          </w:tcPr>
          <w:p>
            <w:pPr>
              <w:spacing w:after="0"/>
              <w:rPr>
                <w:sz w:val="20"/>
                <w:szCs w:val="20"/>
                <w:color w:val="auto"/>
              </w:rPr>
            </w:pPr>
            <w:r>
              <w:rPr>
                <w:rFonts w:ascii="Arial" w:cs="Arial" w:eastAsia="Arial" w:hAnsi="Arial"/>
                <w:sz w:val="20"/>
                <w:szCs w:val="20"/>
                <w:color w:val="auto"/>
              </w:rPr>
              <w:t>Assets: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w:t>
            </w:r>
          </w:p>
        </w:tc>
        <w:tc>
          <w:tcPr>
            <w:tcW w:w="700" w:type="dxa"/>
            <w:vAlign w:val="bottom"/>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Receivables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30,711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Inventory</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46,785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Other current assets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Property, plant and equipment</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1,525,655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Intangible assets, other than goodwill</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Goodwill</w:t>
            </w:r>
          </w:p>
        </w:tc>
        <w:tc>
          <w:tcPr>
            <w:tcW w:w="7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242,142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20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1,866,620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920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Accounts payable and accrued expenses</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Deferred income tax liabilities, net</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217,229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Noncontrolling interest</w:t>
            </w:r>
          </w:p>
        </w:tc>
        <w:tc>
          <w:tcPr>
            <w:tcW w:w="7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20"/>
                <w:szCs w:val="20"/>
                <w:color w:val="auto"/>
              </w:rPr>
              <w:t>Total liabilities</w:t>
            </w:r>
          </w:p>
        </w:tc>
        <w:tc>
          <w:tcPr>
            <w:tcW w:w="7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244,263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80" w:type="dxa"/>
            <w:vAlign w:val="bottom"/>
          </w:tcPr>
          <w:p>
            <w:pPr>
              <w:spacing w:after="0"/>
              <w:rPr>
                <w:sz w:val="20"/>
                <w:szCs w:val="20"/>
                <w:color w:val="auto"/>
              </w:rPr>
            </w:pPr>
            <w:r>
              <w:rPr>
                <w:rFonts w:ascii="Arial" w:cs="Arial" w:eastAsia="Arial" w:hAnsi="Arial"/>
                <w:sz w:val="20"/>
                <w:szCs w:val="20"/>
                <w:color w:val="auto"/>
              </w:rPr>
              <w:t>Total consideration</w:t>
            </w:r>
          </w:p>
        </w:tc>
        <w:tc>
          <w:tcPr>
            <w:tcW w:w="7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1,622,357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Goodwill represents the excess purchase price over the fair values of assets operating synergies from the transaction, including expected overhead savings. generated by the transaction will be deductible for income tax purposes.</w:t>
      </w:r>
    </w:p>
    <w:p>
      <w:pPr>
        <w:spacing w:after="0" w:line="20" w:lineRule="exact"/>
        <w:rPr>
          <w:sz w:val="20"/>
          <w:szCs w:val="20"/>
          <w:color w:val="auto"/>
        </w:rPr>
      </w:pPr>
      <w:r>
        <w:rPr>
          <w:sz w:val="20"/>
          <w:szCs w:val="20"/>
          <w:color w:val="auto"/>
        </w:rPr>
        <w:br w:type="column"/>
      </w:r>
    </w:p>
    <w:p>
      <w:pPr>
        <w:jc w:val="right"/>
        <w:spacing w:after="0" w:line="316" w:lineRule="auto"/>
        <w:rPr>
          <w:sz w:val="20"/>
          <w:szCs w:val="20"/>
          <w:color w:val="auto"/>
        </w:rPr>
      </w:pPr>
      <w:r>
        <w:rPr>
          <w:rFonts w:ascii="Arial" w:cs="Arial" w:eastAsia="Arial" w:hAnsi="Arial"/>
          <w:sz w:val="18"/>
          <w:szCs w:val="18"/>
          <w:color w:val="auto"/>
        </w:rPr>
        <w:t>acquired and liabilities assumed and reflects projected It has not yet been determined if any of the goodwill</w:t>
      </w:r>
    </w:p>
    <w:p>
      <w:pPr>
        <w:spacing w:after="0" w:line="251" w:lineRule="exact"/>
        <w:rPr>
          <w:sz w:val="20"/>
          <w:szCs w:val="20"/>
          <w:color w:val="auto"/>
        </w:rPr>
      </w:pPr>
    </w:p>
    <w:p>
      <w:pPr>
        <w:sectPr>
          <w:pgSz w:w="11900" w:h="16838" w:orient="portrait"/>
          <w:cols w:equalWidth="0" w:num="2">
            <w:col w:w="6840" w:space="40"/>
            <w:col w:w="4540"/>
          </w:cols>
          <w:pgMar w:left="240" w:top="122" w:right="239" w:bottom="1440" w:gutter="0" w:footer="0" w:header="0"/>
          <w:type w:val="continuous"/>
        </w:sectPr>
      </w:pPr>
    </w:p>
    <w:p>
      <w:pPr>
        <w:ind w:left="380"/>
        <w:spacing w:after="0" w:line="260" w:lineRule="auto"/>
        <w:rPr>
          <w:sz w:val="20"/>
          <w:szCs w:val="20"/>
          <w:color w:val="auto"/>
        </w:rPr>
      </w:pPr>
      <w:r>
        <w:rPr>
          <w:rFonts w:ascii="Arial" w:cs="Arial" w:eastAsia="Arial" w:hAnsi="Arial"/>
          <w:sz w:val="20"/>
          <w:szCs w:val="20"/>
          <w:color w:val="auto"/>
        </w:rPr>
        <w:t>Total revenues and earnings from operations attributable to acquired operations included in the consolidated earnings statements for the three- and six-months ended June 30, 2018 were $46,351,000 and $6,745,000,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Acquisition-related expenses were $26,911,000 and $27,621,000 for the three- and six-months ended June 30, 2018,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540" w:hanging="372"/>
        <w:spacing w:after="0" w:line="394" w:lineRule="auto"/>
        <w:tabs>
          <w:tab w:leader="none" w:pos="3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(continued) </w:t>
      </w:r>
      <w:r>
        <w:rPr>
          <w:rFonts w:ascii="Arial" w:cs="Arial" w:eastAsia="Arial" w:hAnsi="Arial"/>
          <w:sz w:val="18"/>
          <w:szCs w:val="18"/>
          <w:u w:val="single" w:color="auto"/>
          <w:color w:val="auto"/>
        </w:rPr>
        <w:t>Unaudited Pro Forma Financial Information</w:t>
      </w:r>
    </w:p>
    <w:p>
      <w:pPr>
        <w:spacing w:after="0" w:line="1" w:lineRule="exact"/>
        <w:rPr>
          <w:rFonts w:ascii="Arial" w:cs="Arial" w:eastAsia="Arial" w:hAnsi="Arial"/>
          <w:sz w:val="18"/>
          <w:szCs w:val="18"/>
          <w:b w:val="1"/>
          <w:bCs w:val="1"/>
          <w:color w:val="auto"/>
        </w:rPr>
      </w:pPr>
    </w:p>
    <w:p>
      <w:pPr>
        <w:jc w:val="both"/>
        <w:ind w:left="38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The unaudited pro forma financial information in the table below summarizes the combined results of operations for the Company and Bluegrass as though the companies were combined as of January 1, 2017. Financial information for periods prior to the April 27, 2018 acquisition date included in the pro forma earnings does not reflect any cost savings or associated costs to achieve such savings from operating efficiencies or synergies that result from the combination. Consistent with the assumed acquisition date of January 1, 2017, the pro forma financial results for the six-months ended June 30, 2017 include acquisition-related expenses of $26,100,000, the $14,785,000 gain on the required divestiture of assets and the one-time $19,893,000 increase in cost of sales for the sale of acquired inventory.</w:t>
      </w:r>
    </w:p>
    <w:p>
      <w:pPr>
        <w:spacing w:after="0" w:line="57" w:lineRule="exact"/>
        <w:rPr>
          <w:sz w:val="20"/>
          <w:szCs w:val="20"/>
          <w:color w:val="auto"/>
        </w:rPr>
      </w:pPr>
    </w:p>
    <w:p>
      <w:pPr>
        <w:jc w:val="both"/>
        <w:ind w:left="380"/>
        <w:spacing w:after="0" w:line="259" w:lineRule="auto"/>
        <w:rPr>
          <w:sz w:val="20"/>
          <w:szCs w:val="20"/>
          <w:color w:val="auto"/>
        </w:rPr>
      </w:pPr>
      <w:r>
        <w:rPr>
          <w:rFonts w:ascii="Arial" w:cs="Arial" w:eastAsia="Arial" w:hAnsi="Arial"/>
          <w:sz w:val="19"/>
          <w:szCs w:val="19"/>
          <w:color w:val="auto"/>
        </w:rPr>
        <w:t>The pro forma financial statements do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fiscal year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Arial" w:cs="Arial" w:eastAsia="Arial" w:hAnsi="Arial"/>
                <w:sz w:val="20"/>
                <w:szCs w:val="20"/>
                <w:color w:val="auto"/>
              </w:rPr>
              <w:t>Three-Months Ended</w:t>
            </w:r>
          </w:p>
        </w:tc>
        <w:tc>
          <w:tcPr>
            <w:tcW w:w="30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Arial" w:cs="Arial" w:eastAsia="Arial" w:hAnsi="Arial"/>
                <w:sz w:val="20"/>
                <w:szCs w:val="20"/>
                <w:color w:val="auto"/>
              </w:rPr>
              <w:t>Six-Months Ended</w:t>
            </w:r>
          </w:p>
        </w:tc>
      </w:tr>
      <w:tr>
        <w:trPr>
          <w:trHeight w:val="246"/>
        </w:trPr>
        <w:tc>
          <w:tcPr>
            <w:tcW w:w="4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June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3"/>
        </w:trPr>
        <w:tc>
          <w:tcPr>
            <w:tcW w:w="4800" w:type="dxa"/>
            <w:vAlign w:val="bottom"/>
          </w:tcPr>
          <w:p>
            <w:pPr>
              <w:spacing w:after="0"/>
              <w:rPr>
                <w:sz w:val="20"/>
                <w:szCs w:val="20"/>
                <w:color w:val="auto"/>
              </w:rPr>
            </w:pPr>
            <w:r>
              <w:rPr>
                <w:rFonts w:ascii="Arial" w:cs="Arial" w:eastAsia="Arial" w:hAnsi="Arial"/>
                <w:sz w:val="20"/>
                <w:szCs w:val="20"/>
                <w:i w:val="1"/>
                <w:iCs w:val="1"/>
                <w:color w:val="auto"/>
              </w:rPr>
              <w:t>(Dollars in Thousands,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800" w:type="dxa"/>
            <w:vAlign w:val="bottom"/>
          </w:tcPr>
          <w:p>
            <w:pPr>
              <w:spacing w:after="0"/>
              <w:rPr>
                <w:sz w:val="20"/>
                <w:szCs w:val="20"/>
                <w:color w:val="auto"/>
              </w:rPr>
            </w:pPr>
            <w:r>
              <w:rPr>
                <w:rFonts w:ascii="Arial" w:cs="Arial" w:eastAsia="Arial" w:hAnsi="Arial"/>
                <w:sz w:val="20"/>
                <w:szCs w:val="20"/>
                <w:color w:val="auto"/>
              </w:rPr>
              <w:t>Total revenues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1,218,904</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1,121,258</w:t>
            </w:r>
          </w:p>
        </w:tc>
        <w:tc>
          <w:tcPr>
            <w:tcW w:w="28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2,059,816</w:t>
            </w:r>
          </w:p>
        </w:tc>
        <w:tc>
          <w:tcPr>
            <w:tcW w:w="30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2,005,775</w:t>
            </w:r>
          </w:p>
        </w:tc>
        <w:tc>
          <w:tcPr>
            <w:tcW w:w="120" w:type="dxa"/>
            <w:vAlign w:val="bottom"/>
          </w:tcPr>
          <w:p>
            <w:pPr>
              <w:spacing w:after="0"/>
              <w:rPr>
                <w:sz w:val="21"/>
                <w:szCs w:val="21"/>
                <w:color w:val="auto"/>
              </w:rPr>
            </w:pPr>
          </w:p>
        </w:tc>
      </w:tr>
      <w:tr>
        <w:trPr>
          <w:trHeight w:val="243"/>
        </w:trPr>
        <w:tc>
          <w:tcPr>
            <w:tcW w:w="4800" w:type="dxa"/>
            <w:vAlign w:val="bottom"/>
            <w:shd w:val="clear" w:color="auto" w:fill="CDF0FC"/>
          </w:tcPr>
          <w:p>
            <w:pPr>
              <w:spacing w:after="0"/>
              <w:rPr>
                <w:sz w:val="20"/>
                <w:szCs w:val="20"/>
                <w:color w:val="auto"/>
              </w:rPr>
            </w:pPr>
            <w:r>
              <w:rPr>
                <w:rFonts w:ascii="Arial" w:cs="Arial" w:eastAsia="Arial" w:hAnsi="Arial"/>
                <w:sz w:val="20"/>
                <w:szCs w:val="20"/>
                <w:color w:val="auto"/>
              </w:rPr>
              <w:t>Net earnings attributable to Martin Marietta</w:t>
            </w:r>
          </w:p>
        </w:tc>
        <w:tc>
          <w:tcPr>
            <w:tcW w:w="300" w:type="dxa"/>
            <w:vAlign w:val="bottom"/>
            <w:shd w:val="clear" w:color="auto" w:fill="CDF0FC"/>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DF0FC"/>
          </w:tcPr>
          <w:p>
            <w:pPr>
              <w:jc w:val="right"/>
              <w:spacing w:after="0"/>
              <w:rPr>
                <w:sz w:val="20"/>
                <w:szCs w:val="20"/>
                <w:color w:val="auto"/>
              </w:rPr>
            </w:pPr>
            <w:r>
              <w:rPr>
                <w:rFonts w:ascii="Arial" w:cs="Arial" w:eastAsia="Arial" w:hAnsi="Arial"/>
                <w:sz w:val="20"/>
                <w:szCs w:val="20"/>
                <w:color w:val="auto"/>
              </w:rPr>
              <w:t>207,886</w:t>
            </w:r>
          </w:p>
        </w:tc>
        <w:tc>
          <w:tcPr>
            <w:tcW w:w="280" w:type="dxa"/>
            <w:vAlign w:val="bottom"/>
            <w:shd w:val="clear" w:color="auto" w:fill="CDF0FC"/>
          </w:tcPr>
          <w:p>
            <w:pPr>
              <w:spacing w:after="0"/>
              <w:rPr>
                <w:sz w:val="21"/>
                <w:szCs w:val="21"/>
                <w:color w:val="auto"/>
              </w:rPr>
            </w:pPr>
          </w:p>
        </w:tc>
        <w:tc>
          <w:tcPr>
            <w:tcW w:w="360" w:type="dxa"/>
            <w:vAlign w:val="bottom"/>
            <w:shd w:val="clear" w:color="auto" w:fill="CDF0FC"/>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DF0FC"/>
          </w:tcPr>
          <w:p>
            <w:pPr>
              <w:jc w:val="right"/>
              <w:spacing w:after="0"/>
              <w:rPr>
                <w:sz w:val="20"/>
                <w:szCs w:val="20"/>
                <w:color w:val="auto"/>
              </w:rPr>
            </w:pPr>
            <w:r>
              <w:rPr>
                <w:rFonts w:ascii="Arial" w:cs="Arial" w:eastAsia="Arial" w:hAnsi="Arial"/>
                <w:sz w:val="20"/>
                <w:szCs w:val="20"/>
                <w:color w:val="auto"/>
              </w:rPr>
              <w:t>140,338</w:t>
            </w:r>
          </w:p>
        </w:tc>
        <w:tc>
          <w:tcPr>
            <w:tcW w:w="280" w:type="dxa"/>
            <w:vAlign w:val="bottom"/>
            <w:shd w:val="clear" w:color="auto" w:fill="CDF0FC"/>
          </w:tcPr>
          <w:p>
            <w:pPr>
              <w:spacing w:after="0"/>
              <w:rPr>
                <w:sz w:val="21"/>
                <w:szCs w:val="21"/>
                <w:color w:val="auto"/>
              </w:rPr>
            </w:pPr>
          </w:p>
        </w:tc>
        <w:tc>
          <w:tcPr>
            <w:tcW w:w="300" w:type="dxa"/>
            <w:vAlign w:val="bottom"/>
            <w:shd w:val="clear" w:color="auto" w:fill="CDF0FC"/>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DF0FC"/>
          </w:tcPr>
          <w:p>
            <w:pPr>
              <w:jc w:val="right"/>
              <w:spacing w:after="0"/>
              <w:rPr>
                <w:sz w:val="20"/>
                <w:szCs w:val="20"/>
                <w:color w:val="auto"/>
              </w:rPr>
            </w:pPr>
            <w:r>
              <w:rPr>
                <w:rFonts w:ascii="Arial" w:cs="Arial" w:eastAsia="Arial" w:hAnsi="Arial"/>
                <w:sz w:val="20"/>
                <w:szCs w:val="20"/>
                <w:color w:val="auto"/>
              </w:rPr>
              <w:t>216,756</w:t>
            </w:r>
          </w:p>
        </w:tc>
        <w:tc>
          <w:tcPr>
            <w:tcW w:w="300" w:type="dxa"/>
            <w:vAlign w:val="bottom"/>
            <w:shd w:val="clear" w:color="auto" w:fill="CDF0FC"/>
          </w:tcPr>
          <w:p>
            <w:pPr>
              <w:spacing w:after="0"/>
              <w:rPr>
                <w:sz w:val="21"/>
                <w:szCs w:val="21"/>
                <w:color w:val="auto"/>
              </w:rPr>
            </w:pPr>
          </w:p>
        </w:tc>
        <w:tc>
          <w:tcPr>
            <w:tcW w:w="360" w:type="dxa"/>
            <w:vAlign w:val="bottom"/>
            <w:shd w:val="clear" w:color="auto" w:fill="CDF0FC"/>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DF0FC"/>
          </w:tcPr>
          <w:p>
            <w:pPr>
              <w:jc w:val="right"/>
              <w:spacing w:after="0"/>
              <w:rPr>
                <w:sz w:val="20"/>
                <w:szCs w:val="20"/>
                <w:color w:val="auto"/>
              </w:rPr>
            </w:pPr>
            <w:r>
              <w:rPr>
                <w:rFonts w:ascii="Arial" w:cs="Arial" w:eastAsia="Arial" w:hAnsi="Arial"/>
                <w:sz w:val="20"/>
                <w:szCs w:val="20"/>
                <w:color w:val="auto"/>
              </w:rPr>
              <w:t>150,011</w:t>
            </w:r>
          </w:p>
        </w:tc>
        <w:tc>
          <w:tcPr>
            <w:tcW w:w="120" w:type="dxa"/>
            <w:vAlign w:val="bottom"/>
            <w:shd w:val="clear" w:color="auto" w:fill="CDF0FC"/>
          </w:tcPr>
          <w:p>
            <w:pPr>
              <w:spacing w:after="0"/>
              <w:rPr>
                <w:sz w:val="21"/>
                <w:szCs w:val="2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20"/>
                <w:szCs w:val="20"/>
                <w:color w:val="auto"/>
              </w:rPr>
              <w:t>Diluted EPS</w:t>
            </w: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3.28</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2.22</w:t>
            </w:r>
          </w:p>
        </w:tc>
        <w:tc>
          <w:tcPr>
            <w:tcW w:w="28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3.43</w:t>
            </w:r>
          </w:p>
        </w:tc>
        <w:tc>
          <w:tcPr>
            <w:tcW w:w="30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2.37</w:t>
            </w:r>
          </w:p>
        </w:tc>
        <w:tc>
          <w:tcPr>
            <w:tcW w:w="120" w:type="dxa"/>
            <w:vAlign w:val="bottom"/>
          </w:tcPr>
          <w:p>
            <w:pPr>
              <w:spacing w:after="0"/>
              <w:rPr>
                <w:sz w:val="21"/>
                <w:szCs w:val="21"/>
                <w:color w:val="auto"/>
              </w:rPr>
            </w:pPr>
          </w:p>
        </w:tc>
      </w:tr>
    </w:tbl>
    <w:p>
      <w:pPr>
        <w:spacing w:after="0" w:line="294"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20"/>
                <w:szCs w:val="20"/>
                <w:color w:val="auto"/>
                <w:w w:val="96"/>
              </w:rPr>
              <w:t>Mid-America</w:t>
            </w:r>
          </w:p>
        </w:tc>
        <w:tc>
          <w:tcPr>
            <w:tcW w:w="180" w:type="dxa"/>
            <w:vAlign w:val="bottom"/>
          </w:tcPr>
          <w:p>
            <w:pPr>
              <w:spacing w:after="0"/>
              <w:rPr>
                <w:sz w:val="21"/>
                <w:szCs w:val="21"/>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0"/>
                <w:szCs w:val="20"/>
                <w:color w:val="auto"/>
                <w:w w:val="90"/>
              </w:rPr>
              <w:t>Southeast</w:t>
            </w:r>
          </w:p>
        </w:tc>
        <w:tc>
          <w:tcPr>
            <w:tcW w:w="240" w:type="dxa"/>
            <w:vAlign w:val="bottom"/>
          </w:tcPr>
          <w:p>
            <w:pPr>
              <w:spacing w:after="0"/>
              <w:rPr>
                <w:sz w:val="21"/>
                <w:szCs w:val="21"/>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West</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Group</w:t>
            </w:r>
          </w:p>
        </w:tc>
        <w:tc>
          <w:tcPr>
            <w:tcW w:w="18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20"/>
                <w:szCs w:val="20"/>
                <w:color w:val="auto"/>
              </w:rPr>
              <w:t>Group</w:t>
            </w:r>
          </w:p>
        </w:tc>
        <w:tc>
          <w:tcPr>
            <w:tcW w:w="240" w:type="dxa"/>
            <w:vAlign w:val="bottom"/>
          </w:tcPr>
          <w:p>
            <w:pPr>
              <w:spacing w:after="0"/>
              <w:rPr>
                <w:sz w:val="21"/>
                <w:szCs w:val="2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Group</w:t>
            </w:r>
          </w:p>
        </w:tc>
        <w:tc>
          <w:tcPr>
            <w:tcW w:w="28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4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20"/>
                <w:szCs w:val="20"/>
                <w:i w:val="1"/>
                <w:iCs w:val="1"/>
                <w:color w:val="auto"/>
              </w:rPr>
              <w:t>(Dollars in Thousands)</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20"/>
                <w:szCs w:val="20"/>
                <w:color w:val="auto"/>
              </w:rPr>
              <w:t>Balance at January 1, 2018</w:t>
            </w:r>
          </w:p>
        </w:tc>
        <w:tc>
          <w:tcPr>
            <w:tcW w:w="19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281,403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50,346</w:t>
            </w:r>
          </w:p>
        </w:tc>
        <w:tc>
          <w:tcPr>
            <w:tcW w:w="24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1,828,541</w:t>
            </w:r>
          </w:p>
        </w:tc>
        <w:tc>
          <w:tcPr>
            <w:tcW w:w="24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2,160,290</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148,326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93,816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242,142</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20"/>
                <w:szCs w:val="20"/>
                <w:color w:val="auto"/>
              </w:rPr>
              <w:t>Divestitures</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(927)</w:t>
            </w:r>
          </w:p>
        </w:tc>
        <w:tc>
          <w:tcPr>
            <w:tcW w:w="2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(927)</w:t>
            </w:r>
          </w:p>
        </w:tc>
      </w:tr>
      <w:tr>
        <w:trPr>
          <w:trHeight w:val="237"/>
        </w:trPr>
        <w:tc>
          <w:tcPr>
            <w:tcW w:w="20" w:type="dxa"/>
            <w:vAlign w:val="bottom"/>
          </w:tcPr>
          <w:p>
            <w:pPr>
              <w:spacing w:after="0"/>
              <w:rPr>
                <w:sz w:val="20"/>
                <w:szCs w:val="20"/>
                <w:color w:val="auto"/>
              </w:rPr>
            </w:pPr>
          </w:p>
        </w:tc>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June 30, 2018</w:t>
            </w:r>
          </w:p>
        </w:tc>
        <w:tc>
          <w:tcPr>
            <w:tcW w:w="16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429,729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143,235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1,828,541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2,401,505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Intangible assets subject to amortization consist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61"/>
              <w:spacing w:after="0"/>
              <w:rPr>
                <w:sz w:val="20"/>
                <w:szCs w:val="20"/>
                <w:color w:val="auto"/>
              </w:rPr>
            </w:pPr>
            <w:r>
              <w:rPr>
                <w:rFonts w:ascii="Arial" w:cs="Arial" w:eastAsia="Arial" w:hAnsi="Arial"/>
                <w:sz w:val="20"/>
                <w:szCs w:val="20"/>
                <w:color w:val="auto"/>
                <w:w w:val="86"/>
              </w:rPr>
              <w:t>Gross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91"/>
              </w:rPr>
              <w:t>Accumulated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Net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2"/>
              </w:rPr>
              <w:t>Amount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95"/>
              </w:rPr>
              <w:t>Amortization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20"/>
                <w:szCs w:val="20"/>
                <w:color w:val="auto"/>
                <w:w w:val="86"/>
              </w:rPr>
              <w:t>June 30, 2018</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Noncompetition agreements</w:t>
            </w:r>
          </w:p>
        </w:tc>
        <w:tc>
          <w:tcPr>
            <w:tcW w:w="1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6,274</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(6,162)</w:t>
            </w:r>
          </w:p>
        </w:tc>
        <w:tc>
          <w:tcPr>
            <w:tcW w:w="420" w:type="dxa"/>
            <w:vAlign w:val="bottom"/>
            <w:tcBorders>
              <w:top w:val="single" w:sz="8" w:color="auto"/>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Customer relationships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65,348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(19,480)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45,868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458,952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(29,790)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429,162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Use rights and other</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16,496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(10,763)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5,733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20"/>
                <w:szCs w:val="20"/>
                <w:color w:val="auto"/>
              </w:rPr>
              <w:t>Trade names</w:t>
            </w: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(9,076)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559,870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(75,271)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484,599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8200" w:type="dxa"/>
            <w:vAlign w:val="bottom"/>
            <w:gridSpan w:val="6"/>
          </w:tcPr>
          <w:p>
            <w:pPr>
              <w:ind w:left="360"/>
              <w:spacing w:after="0"/>
              <w:rPr>
                <w:sz w:val="20"/>
                <w:szCs w:val="20"/>
                <w:color w:val="auto"/>
              </w:rPr>
            </w:pPr>
            <w:r>
              <w:rPr>
                <w:rFonts w:ascii="Arial" w:cs="Arial" w:eastAsia="Arial" w:hAnsi="Arial"/>
                <w:sz w:val="20"/>
                <w:szCs w:val="20"/>
                <w:color w:val="auto"/>
                <w:w w:val="89"/>
              </w:rPr>
              <w:t>Intangible assets deemed to have an indefinite life and not being amortized consist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5"/>
              </w:rPr>
              <w:t>Building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3"/>
              </w:rPr>
              <w:t>Materials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89"/>
              </w:rPr>
              <w:t>Magnesia</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61"/>
              <w:spacing w:after="0"/>
              <w:rPr>
                <w:sz w:val="20"/>
                <w:szCs w:val="20"/>
                <w:color w:val="auto"/>
              </w:rPr>
            </w:pPr>
            <w:r>
              <w:rPr>
                <w:rFonts w:ascii="Arial" w:cs="Arial" w:eastAsia="Arial" w:hAnsi="Arial"/>
                <w:sz w:val="20"/>
                <w:szCs w:val="20"/>
                <w:color w:val="auto"/>
                <w:w w:val="86"/>
              </w:rPr>
              <w:t>Business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88"/>
              </w:rPr>
              <w:t>Specialties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Total</w:t>
            </w: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20"/>
                <w:szCs w:val="20"/>
                <w:color w:val="auto"/>
                <w:w w:val="86"/>
              </w:rPr>
              <w:t>June 30, 2018</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1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6,600</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gridSpan w:val="3"/>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Use rights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20,642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20,642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Trade names</w:t>
            </w:r>
          </w:p>
        </w:tc>
        <w:tc>
          <w:tcPr>
            <w:tcW w:w="9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2,565</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27,522</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2,565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5320" w:type="dxa"/>
            <w:vAlign w:val="bottom"/>
          </w:tcPr>
          <w:p>
            <w:pPr>
              <w:ind w:left="360"/>
              <w:spacing w:after="0"/>
              <w:rPr>
                <w:sz w:val="20"/>
                <w:szCs w:val="20"/>
                <w:color w:val="auto"/>
              </w:rPr>
            </w:pPr>
            <w:r>
              <w:rPr>
                <w:rFonts w:ascii="Arial" w:cs="Arial" w:eastAsia="Arial" w:hAnsi="Arial"/>
                <w:sz w:val="20"/>
                <w:szCs w:val="20"/>
                <w:color w:val="auto"/>
              </w:rPr>
              <w:t>Intangibles acquired during the year are as follows: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88"/>
              </w:rPr>
              <w:t>Weighted-average</w:t>
            </w:r>
          </w:p>
        </w:tc>
        <w:tc>
          <w:tcPr>
            <w:tcW w:w="0" w:type="dxa"/>
            <w:vAlign w:val="bottom"/>
          </w:tcPr>
          <w:p>
            <w:pPr>
              <w:spacing w:after="0"/>
              <w:rPr>
                <w:sz w:val="1"/>
                <w:szCs w:val="1"/>
                <w:color w:val="auto"/>
              </w:rPr>
            </w:pPr>
          </w:p>
        </w:tc>
      </w:tr>
      <w:tr>
        <w:trPr>
          <w:trHeight w:val="252"/>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20" w:type="dxa"/>
            <w:vAlign w:val="bottom"/>
            <w:gridSpan w:val="6"/>
          </w:tcPr>
          <w:p>
            <w:pPr>
              <w:jc w:val="right"/>
              <w:ind w:right="920"/>
              <w:spacing w:after="0"/>
              <w:rPr>
                <w:sz w:val="20"/>
                <w:szCs w:val="20"/>
                <w:color w:val="auto"/>
              </w:rPr>
            </w:pPr>
            <w:r>
              <w:rPr>
                <w:rFonts w:ascii="Arial" w:cs="Arial" w:eastAsia="Arial" w:hAnsi="Arial"/>
                <w:sz w:val="20"/>
                <w:szCs w:val="20"/>
                <w:b w:val="1"/>
                <w:bCs w:val="1"/>
                <w:color w:val="auto"/>
              </w:rPr>
              <w:t>Amount</w:t>
            </w:r>
          </w:p>
        </w:tc>
        <w:tc>
          <w:tcPr>
            <w:tcW w:w="180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90"/>
              </w:rPr>
              <w:t>amortization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Subject to amortization:</w:t>
            </w: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40"/>
              <w:spacing w:after="0"/>
              <w:rPr>
                <w:sz w:val="20"/>
                <w:szCs w:val="20"/>
                <w:color w:val="auto"/>
              </w:rPr>
            </w:pPr>
            <w:r>
              <w:rPr>
                <w:rFonts w:ascii="Arial" w:cs="Arial" w:eastAsia="Arial" w:hAnsi="Arial"/>
                <w:sz w:val="20"/>
                <w:szCs w:val="20"/>
                <w:color w:val="auto"/>
              </w:rPr>
              <w:t>Customer relationships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12 years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Not subject to amortization:</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20"/>
                <w:szCs w:val="20"/>
                <w:color w:val="auto"/>
              </w:rPr>
              <w:t>Water rights</w:t>
            </w:r>
          </w:p>
        </w:tc>
        <w:tc>
          <w:tcPr>
            <w:tcW w:w="9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center"/>
              <w:ind w:right="4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 (continued)</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Total amortization expense for intangible assets for the six-months ended June 30, 2018 and 2017 was $7,108,000 and $7,167,000, respectively.</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estimated amortization expense for intangible assets for the second half of 2018 and for each of the next four years and thereafter is as follows: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July - December 2018</w:t>
            </w:r>
          </w:p>
        </w:tc>
        <w:tc>
          <w:tcPr>
            <w:tcW w:w="18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6,961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13,724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2020</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13,689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12,998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2022</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Thereafter</w:t>
            </w:r>
          </w:p>
        </w:tc>
        <w:tc>
          <w:tcPr>
            <w:tcW w:w="18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425,737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484,599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0"/>
        </w:trPr>
        <w:tc>
          <w:tcPr>
            <w:tcW w:w="4880" w:type="dxa"/>
            <w:vAlign w:val="bottom"/>
            <w:gridSpan w:val="2"/>
          </w:tcPr>
          <w:p>
            <w:pPr>
              <w:spacing w:after="0"/>
              <w:rPr>
                <w:sz w:val="20"/>
                <w:szCs w:val="20"/>
                <w:color w:val="auto"/>
              </w:rPr>
            </w:pPr>
            <w:r>
              <w:rPr>
                <w:rFonts w:ascii="Arial" w:cs="Arial" w:eastAsia="Arial" w:hAnsi="Arial"/>
                <w:sz w:val="20"/>
                <w:szCs w:val="20"/>
                <w:b w:val="1"/>
                <w:bCs w:val="1"/>
                <w:color w:val="auto"/>
              </w:rPr>
              <w:t>5.  Inventories, Net</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20"/>
                <w:szCs w:val="20"/>
                <w:color w:val="auto"/>
                <w:w w:val="98"/>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20"/>
                <w:szCs w:val="20"/>
                <w:color w:val="auto"/>
                <w:w w:val="87"/>
              </w:rPr>
              <w:t>December 31,</w:t>
            </w:r>
          </w:p>
        </w:tc>
        <w:tc>
          <w:tcPr>
            <w:tcW w:w="220" w:type="dxa"/>
            <w:vAlign w:val="bottom"/>
          </w:tcPr>
          <w:p>
            <w:pPr>
              <w:spacing w:after="0"/>
              <w:rPr>
                <w:sz w:val="24"/>
                <w:szCs w:val="2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20"/>
                <w:szCs w:val="20"/>
                <w:color w:val="auto"/>
                <w:w w:val="98"/>
              </w:rPr>
              <w:t>June 30,</w:t>
            </w:r>
          </w:p>
        </w:tc>
      </w:tr>
      <w:tr>
        <w:trPr>
          <w:trHeight w:val="246"/>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gridSpan w:val="5"/>
          </w:tcPr>
          <w:p>
            <w:pPr>
              <w:jc w:val="right"/>
              <w:spacing w:after="0"/>
              <w:rPr>
                <w:sz w:val="20"/>
                <w:szCs w:val="20"/>
                <w:color w:val="auto"/>
              </w:rPr>
            </w:pPr>
            <w:r>
              <w:rPr>
                <w:rFonts w:ascii="Arial" w:cs="Arial" w:eastAsia="Arial" w:hAnsi="Arial"/>
                <w:sz w:val="20"/>
                <w:szCs w:val="20"/>
                <w:i w:val="1"/>
                <w:iCs w:val="1"/>
                <w:color w:val="auto"/>
                <w:w w:val="91"/>
              </w:rPr>
              <w:t>(Dollars 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10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612,161</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552,999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508,144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62,480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62,761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59,410</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18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134,259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128,792</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120,594</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808,900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744,552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688,148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(157,983)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(143,961)</w:t>
            </w: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(138,283)</w:t>
            </w:r>
          </w:p>
        </w:tc>
      </w:tr>
      <w:tr>
        <w:trPr>
          <w:trHeight w:val="237"/>
        </w:trPr>
        <w:tc>
          <w:tcPr>
            <w:tcW w:w="48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8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650,917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600,591</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549,865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9"/>
                <w:szCs w:val="19"/>
                <w:color w:val="auto"/>
              </w:rPr>
              <w:t>June 30,</w:t>
            </w:r>
          </w:p>
        </w:tc>
        <w:tc>
          <w:tcPr>
            <w:tcW w:w="1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9"/>
                <w:szCs w:val="19"/>
                <w:color w:val="auto"/>
                <w:w w:val="88"/>
              </w:rPr>
              <w:t>December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9"/>
                <w:szCs w:val="19"/>
                <w:color w:val="auto"/>
              </w:rPr>
              <w:t>June 30,</w:t>
            </w:r>
          </w:p>
        </w:tc>
      </w:tr>
      <w:tr>
        <w:trPr>
          <w:trHeight w:val="238"/>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9"/>
                <w:szCs w:val="19"/>
                <w:color w:val="auto"/>
              </w:rPr>
              <w:t>2018</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9"/>
                <w:szCs w:val="19"/>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2017</w:t>
            </w:r>
          </w:p>
        </w:tc>
        <w:tc>
          <w:tcPr>
            <w:tcW w:w="10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5"/>
          </w:tcPr>
          <w:p>
            <w:pPr>
              <w:jc w:val="right"/>
              <w:ind w:right="80"/>
              <w:spacing w:after="0"/>
              <w:rPr>
                <w:sz w:val="20"/>
                <w:szCs w:val="20"/>
                <w:color w:val="auto"/>
              </w:rPr>
            </w:pPr>
            <w:r>
              <w:rPr>
                <w:rFonts w:ascii="Arial" w:cs="Arial" w:eastAsia="Arial" w:hAnsi="Arial"/>
                <w:sz w:val="19"/>
                <w:szCs w:val="19"/>
                <w:i w:val="1"/>
                <w:iCs w:val="1"/>
                <w:color w:val="auto"/>
              </w:rPr>
              <w:t>(Dollars 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6.60% Senior Notes, due 2018</w:t>
            </w:r>
          </w:p>
        </w:tc>
        <w:tc>
          <w:tcPr>
            <w:tcW w:w="260" w:type="dxa"/>
            <w:vAlign w:val="bottom"/>
            <w:shd w:val="clear" w:color="auto" w:fill="CFF0FC"/>
          </w:tcPr>
          <w:p>
            <w:pPr>
              <w:jc w:val="right"/>
              <w:ind w:right="65"/>
              <w:spacing w:after="0"/>
              <w:rPr>
                <w:sz w:val="20"/>
                <w:szCs w:val="20"/>
                <w:color w:val="auto"/>
              </w:rPr>
            </w:pPr>
            <w:r>
              <w:rPr>
                <w:rFonts w:ascii="Arial" w:cs="Arial" w:eastAsia="Arial" w:hAnsi="Arial"/>
                <w:sz w:val="19"/>
                <w:szCs w:val="19"/>
                <w:color w:val="auto"/>
                <w:w w:val="75"/>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9"/>
                <w:szCs w:val="19"/>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299,871</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299,676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7% Debentures, due 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124,225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124,180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124,134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6.25% Senior Notes, due 2037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228,063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228,003</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4.25% Senior Notes, due 2024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396,104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395,814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395,532</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591,457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591,688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494,522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494,352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296,783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296,628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296,456</w:t>
            </w:r>
          </w:p>
        </w:tc>
        <w:tc>
          <w:tcPr>
            <w:tcW w:w="100" w:type="dxa"/>
            <w:vAlign w:val="bottom"/>
            <w:shd w:val="clear" w:color="auto" w:fill="CFF0FC"/>
          </w:tcPr>
          <w:p>
            <w:pPr>
              <w:spacing w:after="0"/>
              <w:rPr>
                <w:sz w:val="19"/>
                <w:szCs w:val="19"/>
                <w:color w:val="auto"/>
              </w:rPr>
            </w:pPr>
          </w:p>
        </w:tc>
      </w:tr>
      <w:tr>
        <w:trPr>
          <w:trHeight w:val="207"/>
        </w:trPr>
        <w:tc>
          <w:tcPr>
            <w:tcW w:w="6600" w:type="dxa"/>
            <w:vAlign w:val="bottom"/>
          </w:tcPr>
          <w:p>
            <w:pPr>
              <w:spacing w:after="0" w:line="207" w:lineRule="exact"/>
              <w:rPr>
                <w:sz w:val="20"/>
                <w:szCs w:val="20"/>
                <w:color w:val="auto"/>
              </w:rPr>
            </w:pPr>
            <w:r>
              <w:rPr>
                <w:rFonts w:ascii="Arial" w:cs="Arial" w:eastAsia="Arial" w:hAnsi="Arial"/>
                <w:sz w:val="19"/>
                <w:szCs w:val="19"/>
                <w:color w:val="auto"/>
              </w:rPr>
              <w:t>Floating Rate Senior Notes, due 2019, interest rate of 2.82%</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Pr>
          <w:p>
            <w:pPr>
              <w:ind w:left="140"/>
              <w:spacing w:after="0" w:line="216" w:lineRule="exact"/>
              <w:rPr>
                <w:sz w:val="20"/>
                <w:szCs w:val="20"/>
                <w:color w:val="auto"/>
              </w:rPr>
            </w:pPr>
            <w:r>
              <w:rPr>
                <w:rFonts w:ascii="Arial" w:cs="Arial" w:eastAsia="Arial" w:hAnsi="Arial"/>
                <w:sz w:val="19"/>
                <w:szCs w:val="19"/>
                <w:color w:val="auto"/>
              </w:rPr>
              <w:t>and 2.13% at June 30, 2018 and December 31, 2017,</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00" w:type="dxa"/>
            <w:vAlign w:val="bottom"/>
          </w:tcPr>
          <w:p>
            <w:pPr>
              <w:ind w:left="140"/>
              <w:spacing w:after="0"/>
              <w:rPr>
                <w:sz w:val="20"/>
                <w:szCs w:val="20"/>
                <w:color w:val="auto"/>
              </w:rPr>
            </w:pPr>
            <w:r>
              <w:rPr>
                <w:rFonts w:ascii="Arial" w:cs="Arial" w:eastAsia="Arial" w:hAnsi="Arial"/>
                <w:sz w:val="19"/>
                <w:szCs w:val="19"/>
                <w:color w:val="auto"/>
              </w:rPr>
              <w:t>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298,889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298,102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07"/>
        </w:trPr>
        <w:tc>
          <w:tcPr>
            <w:tcW w:w="6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Floating Rate Notes, due 2020, interest rate of 2.98%, 2.10% and</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140"/>
              <w:spacing w:after="0" w:line="216" w:lineRule="exact"/>
              <w:rPr>
                <w:sz w:val="20"/>
                <w:szCs w:val="20"/>
                <w:color w:val="auto"/>
              </w:rPr>
            </w:pPr>
            <w:r>
              <w:rPr>
                <w:rFonts w:ascii="Arial" w:cs="Arial" w:eastAsia="Arial" w:hAnsi="Arial"/>
                <w:sz w:val="19"/>
                <w:szCs w:val="19"/>
                <w:color w:val="auto"/>
              </w:rPr>
              <w:t>1.82% at June 30, 2018, December 31, 2017 and June 30, 2017,</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66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respectively</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298,590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298,227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297,847</w:t>
            </w:r>
          </w:p>
        </w:tc>
        <w:tc>
          <w:tcPr>
            <w:tcW w:w="100" w:type="dxa"/>
            <w:vAlign w:val="bottom"/>
            <w:shd w:val="clear" w:color="auto" w:fill="CFF0FC"/>
          </w:tcPr>
          <w:p>
            <w:pPr>
              <w:spacing w:after="0"/>
              <w:rPr>
                <w:sz w:val="20"/>
                <w:szCs w:val="20"/>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Revolving Facility, due 2022, interest rate of 3.19% at June 30, 2018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170,000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07"/>
        </w:trPr>
        <w:tc>
          <w:tcPr>
            <w:tcW w:w="6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Trade Receivable Facility, interest rate of 2.71% and 1.78% at</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66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June 30, 2018 and 2017, respectively</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320,000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140,000</w:t>
            </w:r>
          </w:p>
        </w:tc>
        <w:tc>
          <w:tcPr>
            <w:tcW w:w="100" w:type="dxa"/>
            <w:vAlign w:val="bottom"/>
            <w:shd w:val="clear" w:color="auto" w:fill="CFF0FC"/>
          </w:tcPr>
          <w:p>
            <w:pPr>
              <w:spacing w:after="0"/>
              <w:rPr>
                <w:sz w:val="20"/>
                <w:szCs w:val="20"/>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333</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3,218,922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3,027,203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1,781,981</w:t>
            </w:r>
          </w:p>
        </w:tc>
        <w:tc>
          <w:tcPr>
            <w:tcW w:w="100" w:type="dxa"/>
            <w:vAlign w:val="bottom"/>
            <w:shd w:val="clear" w:color="auto" w:fill="CFF0FC"/>
          </w:tcPr>
          <w:p>
            <w:pPr>
              <w:spacing w:after="0"/>
              <w:rPr>
                <w:sz w:val="19"/>
                <w:szCs w:val="19"/>
                <w:color w:val="auto"/>
              </w:rPr>
            </w:pPr>
          </w:p>
        </w:tc>
      </w:tr>
      <w:tr>
        <w:trPr>
          <w:trHeight w:val="207"/>
        </w:trPr>
        <w:tc>
          <w:tcPr>
            <w:tcW w:w="6600" w:type="dxa"/>
            <w:vAlign w:val="bottom"/>
          </w:tcPr>
          <w:p>
            <w:pPr>
              <w:spacing w:after="0" w:line="207" w:lineRule="exact"/>
              <w:rPr>
                <w:sz w:val="20"/>
                <w:szCs w:val="20"/>
                <w:color w:val="auto"/>
              </w:rPr>
            </w:pPr>
            <w:r>
              <w:rPr>
                <w:rFonts w:ascii="Arial" w:cs="Arial" w:eastAsia="Arial" w:hAnsi="Arial"/>
                <w:sz w:val="19"/>
                <w:szCs w:val="19"/>
                <w:color w:val="auto"/>
              </w:rPr>
              <w:t>Less: Current maturities of long-term debt and short-term</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0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2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9"/>
                <w:szCs w:val="19"/>
                <w:color w:val="auto"/>
              </w:rPr>
              <w:t>(320,046)</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9"/>
                <w:szCs w:val="19"/>
                <w:color w:val="auto"/>
              </w:rPr>
              <w:t>(299,909)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9"/>
                <w:szCs w:val="19"/>
                <w:color w:val="auto"/>
              </w:rPr>
              <w:t>(140,037)</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26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9"/>
                <w:szCs w:val="19"/>
                <w:color w:val="auto"/>
                <w:w w:val="75"/>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2,898,876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2,727,294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1,641,944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On April 17, 2018, the Company, through a wholly-owned special-purpose subsidiary, increased its trade receivable securitization facility (the Trade Receivable Facility) to $400,000,000.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$490,362,000, $338,784,000 and $422,624,000 at June 30, 2018, December 31, 2017 and June 30, 2017, respectively.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The Trade Receivable Facility, which is scheduled to mature September 26, 2018, contains a cross-default provision to the Company’s other debt agreements.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On April 16, 2018, the maturity date, the Company repaid the $300,000,000 of the 6.6% Senior Notes with cash on hand.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13" w:lineRule="exact"/>
        <w:rPr>
          <w:rFonts w:ascii="Arial" w:cs="Arial" w:eastAsia="Arial" w:hAnsi="Arial"/>
          <w:sz w:val="20"/>
          <w:szCs w:val="20"/>
          <w:b w:val="1"/>
          <w:bCs w:val="1"/>
          <w:color w:val="auto"/>
        </w:rPr>
      </w:pP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The Company has a $700,000,000 five-year senior unsecured revolving facility (the Revolving Facility) with JPMorgan Chase Bank, N.A., as Administrative Agent, Branch Banking and Trust Company (BB&amp;T), Deutsche Bank Securities, Inc., SunTrust Bank and Wells Fargo Bank, N.A., as Co-Syndication Agents, and the lenders party thereto.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$50,000,000, such reduction not to exceed $200,000,000, for purposes of the covenant calculation. The Company was in compliance with this Ratio at June 30, 2018.</w:t>
      </w:r>
    </w:p>
    <w:p>
      <w:pPr>
        <w:spacing w:after="0" w:line="66"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The Company had $2,301,000 of outstanding letters of credit issued under the Revolving Facility at June 30, 2018 and December 31, 2017 and $2,507,000 at June 30, 2017.</w:t>
      </w:r>
    </w:p>
    <w:p>
      <w:pPr>
        <w:spacing w:after="0" w:line="78"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Accumulated other comprehensive loss includes the unamortized value of terminated forward starting interest rate swap agreements. For the three- and six-months ended June 30, 2018, the Company recognized $111,000 and $458,000, respectively, as additional interest expense. For the three- and six-months ended June 30, 2017, the Company recognized $364,000 and $720,000, respectively, as additional interest expense. The amortization of the terminated value of the forward starting interest rate swap agreements was complete with the maturity of the related debt in April 2018.</w:t>
      </w:r>
    </w:p>
    <w:p>
      <w:pPr>
        <w:spacing w:after="0" w:line="188" w:lineRule="exact"/>
        <w:rPr>
          <w:rFonts w:ascii="Arial" w:cs="Arial" w:eastAsia="Arial" w:hAnsi="Arial"/>
          <w:sz w:val="20"/>
          <w:szCs w:val="20"/>
          <w:b w:val="1"/>
          <w:bCs w:val="1"/>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bank overdrafts,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8" w:lineRule="exact"/>
        <w:rPr>
          <w:rFonts w:ascii="Arial" w:cs="Arial" w:eastAsia="Arial" w:hAnsi="Arial"/>
          <w:sz w:val="20"/>
          <w:szCs w:val="20"/>
          <w:b w:val="1"/>
          <w:bCs w:val="1"/>
          <w:color w:val="auto"/>
        </w:rPr>
      </w:pPr>
    </w:p>
    <w:p>
      <w:pPr>
        <w:ind w:left="38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Bank overdrafts, when applicable, represent amounts to be funded to financial institutions for checks that have cleared the bank. The estimated fair value of bank overdrafts approximates its carrying value due to the short-term nature of the overdraft.</w:t>
      </w:r>
    </w:p>
    <w:p>
      <w:pPr>
        <w:spacing w:after="0" w:line="44"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288"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11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Company’s long-term debt were $3,218,922,000 and $3,154,635,000, respectively, at June 30, 2018; $3,027,203,000 and $3,144,902,000, respectively, at December 31, 2017; and $1,781,981,000 and $1,885,231,000, respectively, at June 30, 2017.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2" w:lineRule="exact"/>
        <w:rPr>
          <w:rFonts w:ascii="Arial" w:cs="Arial" w:eastAsia="Arial" w:hAnsi="Arial"/>
          <w:sz w:val="20"/>
          <w:szCs w:val="20"/>
          <w:b w:val="1"/>
          <w:bCs w:val="1"/>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Company’s effective income tax rate for the six-months ended June 30, 2018 was 22.0%. The effective income tax rate reflects the effect of federal and state income taxes on earnings and the impact of differences in book and tax accounting arising from the net permanent tax benefits associated with the statutory depletion deduction for mineral reserves. For the six-months ended June 30, 2018, the effective income tax rate also reflects three discrete events: a favorable impact of $2,760,000, or 100 basis points, related to the vesting and exercise of stock-based compensation awards, an unfavorable impact of $1,664,000, or 60 basis points, related to an estimate of the transition tax on undistributed foreign earnings, a provision of the Tax Cuts and Jobs Act of 2017 (2017 Tax Act) and an unfavorable impact of $2,369,000, or 90 basis points, for nondeductible portion of transaction costs. The enactment of the 2017 Tax Act reduced the federal statutory corporate income tax rate from 35% to 21% beginning in 2018. Therefore, the effective income tax rate of 26.5% for the six-months ended June 30, 2017 is not comparable.</w:t>
      </w:r>
    </w:p>
    <w:p>
      <w:pPr>
        <w:spacing w:after="0" w:line="76" w:lineRule="exact"/>
        <w:rPr>
          <w:rFonts w:ascii="Arial" w:cs="Arial" w:eastAsia="Arial" w:hAnsi="Arial"/>
          <w:sz w:val="20"/>
          <w:szCs w:val="20"/>
          <w:b w:val="1"/>
          <w:bCs w:val="1"/>
          <w:color w:val="auto"/>
        </w:rPr>
      </w:pP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Securities and Exchange Commission issued Staff Accounting Bulletin No. 118 (SAB 118) to address situations when a registrant does not have the necessary information available, prepared or analyzed (including computations) in reasonable detail to complete the accounting for certain income tax effects of the 2017 Tax Act. As such, due to the timing of the enactment date and the Company’s reporting periods, the Company recognized provisional amounts for the remeasurement of deferred tax assets and liabilities as of December 31, 2017 and transition tax on undistributed foreign earnings as of June 30, 2018, and continues to analyze and assess other provisions of the 2017 Tax Act. In accordance with SAB 118, the Company may record additional provisional amounts during the measurement period not to extend beyond one year of the enactment date and expects the accounting to be complete when the Company’s 2017 U.S. corporate income tax return is filed in 2018. Any future measurement period adjustments will be recognized as income tax expense or benefit in 2018.</w:t>
      </w:r>
    </w:p>
    <w:p>
      <w:pPr>
        <w:spacing w:after="0" w:line="87"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20"/>
                <w:szCs w:val="20"/>
                <w:color w:val="auto"/>
                <w:w w:val="88"/>
              </w:rPr>
              <w:t>Three-Months Ended June 30,</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rPr>
              <w:t>Pension</w:t>
            </w:r>
          </w:p>
        </w:tc>
        <w:tc>
          <w:tcPr>
            <w:tcW w:w="1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gridSpan w:val="6"/>
          </w:tcPr>
          <w:p>
            <w:pPr>
              <w:jc w:val="center"/>
              <w:ind w:right="66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7,684</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6,548</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8,252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8,673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198</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(12,403)</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(10,071)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(426)</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(471)</w:t>
            </w:r>
          </w:p>
        </w:tc>
      </w:tr>
      <w:tr>
        <w:trPr>
          <w:trHeight w:val="243"/>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3,117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3,551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(48)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(99)</w:t>
            </w:r>
          </w:p>
        </w:tc>
      </w:tr>
      <w:tr>
        <w:trPr>
          <w:trHeight w:val="237"/>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6,676</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8,814</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(324)</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20"/>
                <w:szCs w:val="20"/>
                <w:color w:val="auto"/>
                <w:w w:val="89"/>
              </w:rPr>
              <w:t>Six-Months Ended June 30,</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rPr>
              <w:t>Pension</w:t>
            </w:r>
          </w:p>
        </w:tc>
        <w:tc>
          <w:tcPr>
            <w:tcW w:w="1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3"/>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gridSpan w:val="6"/>
          </w:tcPr>
          <w:p>
            <w:pPr>
              <w:jc w:val="center"/>
              <w:ind w:right="66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980" w:type="dxa"/>
            <w:vAlign w:val="bottom"/>
          </w:tcPr>
          <w:p>
            <w:pPr>
              <w:spacing w:after="0"/>
              <w:rPr>
                <w:sz w:val="20"/>
                <w:szCs w:val="20"/>
                <w:color w:val="auto"/>
              </w:rPr>
            </w:pPr>
            <w:r>
              <w:rPr>
                <w:rFonts w:ascii="Arial" w:cs="Arial" w:eastAsia="Arial" w:hAnsi="Arial"/>
                <w:sz w:val="20"/>
                <w:szCs w:val="20"/>
                <w:color w:val="auto"/>
              </w:rPr>
              <w:t>Service cost</w:t>
            </w: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15,832</w:t>
            </w:r>
          </w:p>
        </w:tc>
        <w:tc>
          <w:tcPr>
            <w:tcW w:w="180" w:type="dxa"/>
            <w:vAlign w:val="bottom"/>
          </w:tcPr>
          <w:p>
            <w:pPr>
              <w:spacing w:after="0"/>
              <w:rPr>
                <w:sz w:val="21"/>
                <w:szCs w:val="21"/>
                <w:color w:val="auto"/>
              </w:rPr>
            </w:pP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13,402</w:t>
            </w:r>
          </w:p>
        </w:tc>
        <w:tc>
          <w:tcPr>
            <w:tcW w:w="180" w:type="dxa"/>
            <w:vAlign w:val="bottom"/>
          </w:tcPr>
          <w:p>
            <w:pPr>
              <w:spacing w:after="0"/>
              <w:rPr>
                <w:sz w:val="21"/>
                <w:szCs w:val="21"/>
                <w:color w:val="auto"/>
              </w:rPr>
            </w:pP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38</w:t>
            </w:r>
          </w:p>
        </w:tc>
        <w:tc>
          <w:tcPr>
            <w:tcW w:w="300" w:type="dxa"/>
            <w:vAlign w:val="bottom"/>
          </w:tcPr>
          <w:p>
            <w:pPr>
              <w:spacing w:after="0"/>
              <w:rPr>
                <w:sz w:val="21"/>
                <w:szCs w:val="21"/>
                <w:color w:val="auto"/>
              </w:rPr>
            </w:pPr>
          </w:p>
        </w:tc>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16,613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18,030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365</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(23,032)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(20,613)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(1,037)</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(871)</w:t>
            </w:r>
          </w:p>
        </w:tc>
      </w:tr>
      <w:tr>
        <w:trPr>
          <w:trHeight w:val="243"/>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6,413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7,087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(105)</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(182)</w:t>
            </w:r>
          </w:p>
        </w:tc>
      </w:tr>
      <w:tr>
        <w:trPr>
          <w:trHeight w:val="237"/>
        </w:trPr>
        <w:tc>
          <w:tcPr>
            <w:tcW w:w="398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15,878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18,061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(845)</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(648)</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while all other components are included in other nonoperating income, net, in the consolidated statements of earnings and comprehensive earnings.</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In July 2018, the Company made a $75,000,000 contribution to its qualified pension plan. For the full year 2018, the Company currently estimates that it will contribute $162,400,000 to its pension plans, of which $150,000,000 will be to the qualified pension plan and $12,400,000 will be to make required payments under the unfunded pension plans.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8000" w:hanging="372"/>
        <w:spacing w:after="0" w:line="394" w:lineRule="auto"/>
        <w:tabs>
          <w:tab w:leader="none" w:pos="37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Company is a co-borrower with an unconsolidated affiliate for a $15,500,000 revolving line of credit agreement with BB&amp;T with a maturity date of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ind w:left="380"/>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In addition, the Company has a $6,000,000 interest-only loan, due December 31, 2019, outstanding from this unconsolidated affiliate as of June 30, 2018, December 31, 2017 and June 30, 2017. The interest rate is one-month LIBOR plus 1.75%.</w:t>
      </w:r>
    </w:p>
    <w:p>
      <w:pPr>
        <w:spacing w:after="0" w:line="279" w:lineRule="exact"/>
        <w:rPr>
          <w:rFonts w:ascii="Arial" w:cs="Arial" w:eastAsia="Arial" w:hAnsi="Arial"/>
          <w:sz w:val="18"/>
          <w:szCs w:val="18"/>
          <w:b w:val="1"/>
          <w:bCs w:val="1"/>
          <w:color w:val="auto"/>
        </w:rPr>
      </w:pPr>
    </w:p>
    <w:p>
      <w:pPr>
        <w:ind w:left="380" w:hanging="372"/>
        <w:spacing w:after="0"/>
        <w:tabs>
          <w:tab w:leader="none" w:pos="38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9" w:lineRule="exact"/>
        <w:rPr>
          <w:rFonts w:ascii="Arial" w:cs="Arial" w:eastAsia="Arial" w:hAnsi="Arial"/>
          <w:sz w:val="20"/>
          <w:szCs w:val="20"/>
          <w:b w:val="1"/>
          <w:bCs w:val="1"/>
          <w:color w:val="auto"/>
        </w:rPr>
      </w:pP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is held at Corporate.</w:t>
      </w:r>
    </w:p>
    <w:p>
      <w:pPr>
        <w:spacing w:after="0" w:line="73" w:lineRule="exact"/>
        <w:rPr>
          <w:rFonts w:ascii="Arial" w:cs="Arial" w:eastAsia="Arial" w:hAnsi="Arial"/>
          <w:sz w:val="20"/>
          <w:szCs w:val="20"/>
          <w:b w:val="1"/>
          <w:bCs w:val="1"/>
          <w:color w:val="auto"/>
        </w:rPr>
      </w:pPr>
    </w:p>
    <w:p>
      <w:pPr>
        <w:jc w:val="both"/>
        <w:ind w:left="38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The following table displays selected financial data for the Company’s reportable business segments. The acquired Bluegrass operations are located in the Mid-America Group and Southeast Group. Total revenues, as well as the consolidated statements of earnings and comprehensive earnings, exclude intersegment revenues which represent sales from one segment to another segment, which are eliminated. Prior-year information has been reclassified to conform to current year revenue presentation.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Business Segments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00" w:type="dxa"/>
            <w:vAlign w:val="bottom"/>
            <w:gridSpan w:val="4"/>
          </w:tcPr>
          <w:p>
            <w:pPr>
              <w:jc w:val="right"/>
              <w:spacing w:after="0"/>
              <w:rPr>
                <w:sz w:val="20"/>
                <w:szCs w:val="20"/>
                <w:color w:val="auto"/>
              </w:rPr>
            </w:pPr>
            <w:r>
              <w:rPr>
                <w:rFonts w:ascii="Arial" w:cs="Arial" w:eastAsia="Arial" w:hAnsi="Arial"/>
                <w:sz w:val="19"/>
                <w:szCs w:val="19"/>
                <w:color w:val="auto"/>
              </w:rPr>
              <w:t>Three-Months Ended</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5"/>
          </w:tcPr>
          <w:p>
            <w:pPr>
              <w:jc w:val="right"/>
              <w:spacing w:after="0"/>
              <w:rPr>
                <w:sz w:val="20"/>
                <w:szCs w:val="20"/>
                <w:color w:val="auto"/>
              </w:rPr>
            </w:pPr>
            <w:r>
              <w:rPr>
                <w:rFonts w:ascii="Arial" w:cs="Arial" w:eastAsia="Arial" w:hAnsi="Arial"/>
                <w:sz w:val="20"/>
                <w:szCs w:val="20"/>
                <w:color w:val="auto"/>
              </w:rPr>
              <w:t>Six-Months Ended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20"/>
                <w:szCs w:val="20"/>
                <w:color w:val="auto"/>
              </w:rPr>
              <w:t>June 30,</w:t>
            </w:r>
          </w:p>
        </w:tc>
        <w:tc>
          <w:tcPr>
            <w:tcW w:w="10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20"/>
                <w:szCs w:val="20"/>
                <w:color w:val="auto"/>
              </w:rPr>
              <w:t>June 30,</w:t>
            </w: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rPr>
              <w:t>2018</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w w:val="85"/>
              </w:rPr>
              <w:t>2017</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2018</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98"/>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9"/>
          </w:tcPr>
          <w:p>
            <w:pPr>
              <w:ind w:left="280"/>
              <w:spacing w:after="0"/>
              <w:rPr>
                <w:sz w:val="20"/>
                <w:szCs w:val="20"/>
                <w:color w:val="auto"/>
              </w:rPr>
            </w:pPr>
            <w:r>
              <w:rPr>
                <w:rFonts w:ascii="Arial" w:cs="Arial" w:eastAsia="Arial" w:hAnsi="Arial"/>
                <w:sz w:val="20"/>
                <w:szCs w:val="20"/>
                <w:i w:val="1"/>
                <w:iCs w:val="1"/>
                <w:color w:val="auto"/>
              </w:rPr>
              <w:t>(Dollars in Thousands)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5"/>
            <w:shd w:val="clear" w:color="auto" w:fill="CFF0FC"/>
          </w:tcPr>
          <w:p>
            <w:pPr>
              <w:spacing w:after="0" w:line="203" w:lineRule="exact"/>
              <w:rPr>
                <w:sz w:val="20"/>
                <w:szCs w:val="20"/>
                <w:color w:val="auto"/>
              </w:rPr>
            </w:pPr>
            <w:r>
              <w:rPr>
                <w:rFonts w:ascii="Arial" w:cs="Arial" w:eastAsia="Arial" w:hAnsi="Arial"/>
                <w:sz w:val="19"/>
                <w:szCs w:val="19"/>
                <w:color w:val="auto"/>
              </w:rPr>
              <w:t>Total revenues: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Mid-America Group</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350,592</w:t>
            </w:r>
          </w:p>
        </w:tc>
        <w:tc>
          <w:tcPr>
            <w:tcW w:w="300" w:type="dxa"/>
            <w:vAlign w:val="bottom"/>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290,898</w:t>
            </w:r>
          </w:p>
        </w:tc>
        <w:tc>
          <w:tcPr>
            <w:tcW w:w="3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529,373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479,918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112,963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92,348</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193,202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182,630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West Group</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665,886</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610,249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1,139,608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1,106,230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1,129,441</w:t>
            </w:r>
          </w:p>
        </w:tc>
        <w:tc>
          <w:tcPr>
            <w:tcW w:w="30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993,495</w:t>
            </w:r>
          </w:p>
        </w:tc>
        <w:tc>
          <w:tcPr>
            <w:tcW w:w="3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1,862,183</w:t>
            </w: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1,768,778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72,962</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70,029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142,224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138,605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w:t>
            </w:r>
          </w:p>
        </w:tc>
        <w:tc>
          <w:tcPr>
            <w:tcW w:w="38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1,202,403</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1,063,524</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2,004,407</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1,907,383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gridSpan w:val="3"/>
            <w:shd w:val="clear" w:color="auto" w:fill="CFF0FC"/>
          </w:tcPr>
          <w:p>
            <w:pPr>
              <w:spacing w:after="0" w:line="203" w:lineRule="exact"/>
              <w:rPr>
                <w:sz w:val="20"/>
                <w:szCs w:val="20"/>
                <w:color w:val="auto"/>
              </w:rPr>
            </w:pPr>
            <w:r>
              <w:rPr>
                <w:rFonts w:ascii="Arial" w:cs="Arial" w:eastAsia="Arial" w:hAnsi="Arial"/>
                <w:sz w:val="19"/>
                <w:szCs w:val="19"/>
                <w:color w:val="auto"/>
                <w:w w:val="86"/>
              </w:rPr>
              <w:t>Products and services revenues:</w:t>
            </w:r>
          </w:p>
        </w:tc>
        <w:tc>
          <w:tcPr>
            <w:tcW w:w="1080" w:type="dxa"/>
            <w:vAlign w:val="bottom"/>
            <w:tcBorders>
              <w:bottom w:val="single" w:sz="8" w:color="CFF0FC"/>
            </w:tcBorders>
            <w:gridSpan w:val="2"/>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Mid-America Group</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325,578</w:t>
            </w:r>
          </w:p>
        </w:tc>
        <w:tc>
          <w:tcPr>
            <w:tcW w:w="300" w:type="dxa"/>
            <w:vAlign w:val="bottom"/>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269,914</w:t>
            </w:r>
          </w:p>
        </w:tc>
        <w:tc>
          <w:tcPr>
            <w:tcW w:w="3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493,468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447,321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109,082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88,538</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186,646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175,264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West Group</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625,960</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572,663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1,068,943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1,036,545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1,060,620</w:t>
            </w:r>
          </w:p>
        </w:tc>
        <w:tc>
          <w:tcPr>
            <w:tcW w:w="30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931,115</w:t>
            </w:r>
          </w:p>
        </w:tc>
        <w:tc>
          <w:tcPr>
            <w:tcW w:w="3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1,749,057</w:t>
            </w: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1,659,130</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68,157</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65,728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133,025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130,029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w:t>
            </w:r>
          </w:p>
        </w:tc>
        <w:tc>
          <w:tcPr>
            <w:tcW w:w="38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1,128,777</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996,843</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1,882,082</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1,789,159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5"/>
            <w:shd w:val="clear" w:color="auto" w:fill="CFF0FC"/>
          </w:tcPr>
          <w:p>
            <w:pPr>
              <w:spacing w:after="0" w:line="203" w:lineRule="exact"/>
              <w:rPr>
                <w:sz w:val="20"/>
                <w:szCs w:val="20"/>
                <w:color w:val="auto"/>
              </w:rPr>
            </w:pPr>
            <w:r>
              <w:rPr>
                <w:rFonts w:ascii="Arial" w:cs="Arial" w:eastAsia="Arial" w:hAnsi="Arial"/>
                <w:sz w:val="19"/>
                <w:szCs w:val="19"/>
                <w:color w:val="auto"/>
              </w:rPr>
              <w:t>Earnings (Loss) from operations: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Mid-America Group</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108,709</w:t>
            </w:r>
          </w:p>
        </w:tc>
        <w:tc>
          <w:tcPr>
            <w:tcW w:w="300" w:type="dxa"/>
            <w:vAlign w:val="bottom"/>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85,363</w:t>
            </w:r>
          </w:p>
        </w:tc>
        <w:tc>
          <w:tcPr>
            <w:tcW w:w="3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114,876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98,705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32,052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14,334</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34,093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West Group</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122,844</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112,491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157,796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173,724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263,605</w:t>
            </w:r>
          </w:p>
        </w:tc>
        <w:tc>
          <w:tcPr>
            <w:tcW w:w="30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212,188</w:t>
            </w:r>
          </w:p>
        </w:tc>
        <w:tc>
          <w:tcPr>
            <w:tcW w:w="3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306,765</w:t>
            </w: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296,878</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6"/>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21,329</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21,118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42,565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40,999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Corporate</w:t>
            </w:r>
          </w:p>
        </w:tc>
        <w:tc>
          <w:tcPr>
            <w:tcW w:w="3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(20,981)</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(20,454)</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(46,296)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(47,875)</w:t>
            </w:r>
          </w:p>
        </w:tc>
        <w:tc>
          <w:tcPr>
            <w:tcW w:w="0" w:type="dxa"/>
            <w:vAlign w:val="bottom"/>
          </w:tcPr>
          <w:p>
            <w:pPr>
              <w:spacing w:after="0"/>
              <w:rPr>
                <w:sz w:val="1"/>
                <w:szCs w:val="1"/>
                <w:color w:val="auto"/>
              </w:rPr>
            </w:pPr>
          </w:p>
        </w:tc>
      </w:tr>
      <w:tr>
        <w:trPr>
          <w:trHeight w:val="237"/>
        </w:trPr>
        <w:tc>
          <w:tcPr>
            <w:tcW w:w="3500" w:type="dxa"/>
            <w:vAlign w:val="bottom"/>
            <w:gridSpan w:val="6"/>
          </w:tcPr>
          <w:p>
            <w:pPr>
              <w:spacing w:after="0"/>
              <w:rPr>
                <w:sz w:val="20"/>
                <w:szCs w:val="20"/>
                <w:color w:val="auto"/>
              </w:rPr>
            </w:pPr>
            <w:r>
              <w:rPr>
                <w:rFonts w:ascii="Arial" w:cs="Arial" w:eastAsia="Arial" w:hAnsi="Arial"/>
                <w:sz w:val="19"/>
                <w:szCs w:val="19"/>
                <w:color w:val="auto"/>
              </w:rPr>
              <w:t>Total</w:t>
            </w: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263,953</w:t>
            </w: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212,852</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303,034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4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290,002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20"/>
                <w:szCs w:val="20"/>
                <w:color w:val="auto"/>
                <w:w w:val="89"/>
              </w:rPr>
              <w:t>December 31,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20"/>
                <w:szCs w:val="20"/>
                <w:color w:val="auto"/>
                <w:w w:val="83"/>
              </w:rPr>
              <w:t>June 30,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2017</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00" w:type="dxa"/>
            <w:vAlign w:val="bottom"/>
            <w:gridSpan w:val="6"/>
          </w:tcPr>
          <w:p>
            <w:pPr>
              <w:spacing w:after="0" w:line="196" w:lineRule="exact"/>
              <w:rPr>
                <w:sz w:val="20"/>
                <w:szCs w:val="20"/>
                <w:color w:val="auto"/>
              </w:rPr>
            </w:pPr>
            <w:r>
              <w:rPr>
                <w:rFonts w:ascii="Arial" w:cs="Arial" w:eastAsia="Arial" w:hAnsi="Arial"/>
                <w:sz w:val="20"/>
                <w:szCs w:val="20"/>
                <w:color w:val="auto"/>
              </w:rPr>
              <w:t>Assets employed:</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jc w:val="center"/>
              <w:spacing w:after="0" w:line="196" w:lineRule="exact"/>
              <w:rPr>
                <w:sz w:val="20"/>
                <w:szCs w:val="20"/>
                <w:color w:val="auto"/>
              </w:rPr>
            </w:pPr>
            <w:r>
              <w:rPr>
                <w:rFonts w:ascii="Arial" w:cs="Arial" w:eastAsia="Arial" w:hAnsi="Arial"/>
                <w:sz w:val="20"/>
                <w:szCs w:val="20"/>
                <w:i w:val="1"/>
                <w:iCs w:val="1"/>
                <w:color w:val="auto"/>
                <w:w w:val="91"/>
              </w:rPr>
              <w:t>(Dollars in thousands)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2,810,643</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1,532,867</w:t>
            </w:r>
          </w:p>
        </w:tc>
        <w:tc>
          <w:tcPr>
            <w:tcW w:w="1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6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1,509,329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tcPr>
          <w:p>
            <w:pPr>
              <w:spacing w:after="0"/>
              <w:rPr>
                <w:sz w:val="20"/>
                <w:szCs w:val="20"/>
                <w:color w:val="auto"/>
              </w:rPr>
            </w:pPr>
            <w:r>
              <w:rPr>
                <w:rFonts w:ascii="Arial" w:cs="Arial" w:eastAsia="Arial" w:hAnsi="Arial"/>
                <w:sz w:val="20"/>
                <w:szCs w:val="20"/>
                <w:color w:val="auto"/>
              </w:rPr>
              <w:t>Southeast Group</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1,297,674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20"/>
                <w:szCs w:val="20"/>
                <w:color w:val="auto"/>
              </w:rPr>
              <w:t>616,344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598,365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West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5,079,624</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5,014,231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5,029,868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6"/>
          </w:tcPr>
          <w:p>
            <w:pPr>
              <w:spacing w:after="0"/>
              <w:rPr>
                <w:sz w:val="20"/>
                <w:szCs w:val="20"/>
                <w:color w:val="auto"/>
              </w:rPr>
            </w:pPr>
            <w:r>
              <w:rPr>
                <w:rFonts w:ascii="Arial" w:cs="Arial" w:eastAsia="Arial" w:hAnsi="Arial"/>
                <w:sz w:val="20"/>
                <w:szCs w:val="20"/>
                <w:color w:val="auto"/>
              </w:rPr>
              <w:t>Total Building Materials Business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9,187,941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20"/>
                <w:szCs w:val="20"/>
                <w:color w:val="auto"/>
              </w:rPr>
              <w:t>7,163,442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7,137,562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151,182</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152,257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146,925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Corporate</w:t>
            </w:r>
          </w:p>
        </w:tc>
        <w:tc>
          <w:tcPr>
            <w:tcW w:w="3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257,629</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1,676,812</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231,373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9,596,752</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8,992,511</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7,515,860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20"/>
                <w:szCs w:val="20"/>
                <w:color w:val="auto"/>
                <w:w w:val="98"/>
              </w:rPr>
              <w:t>Three-Months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20"/>
                <w:szCs w:val="20"/>
                <w:i w:val="1"/>
                <w:iCs w:val="1"/>
                <w:color w:val="auto"/>
                <w:w w:val="95"/>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5"/>
              </w:rPr>
              <w:t>Total revenues:</w:t>
            </w:r>
          </w:p>
        </w:tc>
        <w:tc>
          <w:tcPr>
            <w:tcW w:w="47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Aggregates</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665,308</w:t>
            </w:r>
          </w:p>
        </w:tc>
        <w:tc>
          <w:tcPr>
            <w:tcW w:w="160" w:type="dxa"/>
            <w:vAlign w:val="bottom"/>
          </w:tcPr>
          <w:p>
            <w:pPr>
              <w:spacing w:after="0"/>
              <w:rPr>
                <w:sz w:val="21"/>
                <w:szCs w:val="21"/>
                <w:color w:val="auto"/>
              </w:rPr>
            </w:pP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577,913</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1,090,324</w:t>
            </w:r>
          </w:p>
        </w:tc>
        <w:tc>
          <w:tcPr>
            <w:tcW w:w="24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96"/>
              </w:rPr>
              <w:t>1,028,968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113,148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98,937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202,331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Ready mixed concrete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277,202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241,871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495,738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464,249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Asphalt and paving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83,140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82,943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99,507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(78,178)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(70,549)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(138,843)</w:t>
            </w:r>
          </w:p>
        </w:tc>
        <w:tc>
          <w:tcPr>
            <w:tcW w:w="2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(131,258)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1,060,620</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931,115</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1,749,057</w:t>
            </w:r>
          </w:p>
        </w:tc>
        <w:tc>
          <w:tcPr>
            <w:tcW w:w="2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1,659,130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68,821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62,380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113,126</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1,129,441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993,495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1,862,183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1,768,778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68,157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65,728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133,025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130,029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9,199</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8,576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72,962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70,029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142,224</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gridSpan w:val="4"/>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1,202,403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1,063,524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2,004,407</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1,907,383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20"/>
                <w:szCs w:val="20"/>
                <w:color w:val="auto"/>
              </w:rPr>
              <w:t>Gross profit (loss):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198,540</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173,012</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251,542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251,967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41,305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29,369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65,038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60,148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29,952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26,840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45,593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240"/>
              <w:spacing w:after="0"/>
              <w:rPr>
                <w:sz w:val="20"/>
                <w:szCs w:val="20"/>
                <w:color w:val="auto"/>
              </w:rPr>
            </w:pPr>
            <w:r>
              <w:rPr>
                <w:rFonts w:ascii="Arial" w:cs="Arial" w:eastAsia="Arial" w:hAnsi="Arial"/>
                <w:sz w:val="20"/>
                <w:szCs w:val="20"/>
                <w:color w:val="auto"/>
              </w:rPr>
              <w:t>Asphalt and paving services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18,512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20,314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10,873</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15,573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288,309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249,535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373,046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374,318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288,907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250,156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373,526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375,346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24,870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24,798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49,933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(1,028)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(1,174)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(2,203)</w:t>
            </w:r>
          </w:p>
        </w:tc>
        <w:tc>
          <w:tcPr>
            <w:tcW w:w="2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(2,214)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23,842</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23,624</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47,730</w:t>
            </w:r>
          </w:p>
        </w:tc>
        <w:tc>
          <w:tcPr>
            <w:tcW w:w="2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45,939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3,168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5,053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315,917</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274,094</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426,309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421,160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Supplemental Cash Flow Information</w:t>
      </w:r>
    </w:p>
    <w:p>
      <w:pPr>
        <w:sectPr>
          <w:pgSz w:w="11900" w:h="16838" w:orient="portrait"/>
          <w:cols w:equalWidth="0" w:num="1">
            <w:col w:w="11420"/>
          </w:cols>
          <w:pgMar w:left="240" w:top="121" w:right="239" w:bottom="1440" w:gutter="0" w:footer="0" w:header="0"/>
        </w:sectPr>
      </w:pP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components of the change in other assets and liabilities, net,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salaries, benefits and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insurance and other taxes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pension, postretirement and postemployment benefits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Noncash investing and financing activities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Six-Months Ended</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60" w:type="dxa"/>
            <w:vAlign w:val="bottom"/>
          </w:tcPr>
          <w:p>
            <w:pPr>
              <w:spacing w:after="0"/>
              <w:rPr>
                <w:sz w:val="20"/>
                <w:szCs w:val="20"/>
                <w:color w:val="auto"/>
              </w:rPr>
            </w:pPr>
          </w:p>
        </w:tc>
      </w:tr>
      <w:tr>
        <w:trPr>
          <w:trHeight w:val="243"/>
        </w:trPr>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(18,777)</w:t>
            </w:r>
          </w:p>
        </w:tc>
        <w:tc>
          <w:tcPr>
            <w:tcW w:w="40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(32,332)</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1,661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(7,892)</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(3,344)</w:t>
            </w:r>
          </w:p>
        </w:tc>
        <w:tc>
          <w:tcPr>
            <w:tcW w:w="4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(134)</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39,122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28,047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10,685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11,521</w:t>
            </w:r>
          </w:p>
        </w:tc>
        <w:tc>
          <w:tcPr>
            <w:tcW w:w="6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(23,732)</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30,740</w:t>
            </w:r>
          </w:p>
        </w:tc>
        <w:tc>
          <w:tcPr>
            <w:tcW w:w="6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5,615</w:t>
            </w:r>
          </w:p>
        </w:tc>
        <w:tc>
          <w:tcPr>
            <w:tcW w:w="2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29,950</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5"/>
          </w:tcPr>
          <w:p>
            <w:pPr>
              <w:jc w:val="center"/>
              <w:ind w:right="420"/>
              <w:spacing w:after="0"/>
              <w:rPr>
                <w:sz w:val="20"/>
                <w:szCs w:val="20"/>
                <w:color w:val="auto"/>
              </w:rPr>
            </w:pPr>
            <w:r>
              <w:rPr>
                <w:rFonts w:ascii="Arial" w:cs="Arial" w:eastAsia="Arial" w:hAnsi="Arial"/>
                <w:sz w:val="20"/>
                <w:szCs w:val="20"/>
                <w:color w:val="auto"/>
                <w:w w:val="90"/>
              </w:rPr>
              <w:t>Six-Months Ended</w:t>
            </w:r>
          </w:p>
        </w:tc>
      </w:tr>
      <w:tr>
        <w:trPr>
          <w:trHeight w:val="246"/>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501"/>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195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20"/>
          <w:szCs w:val="20"/>
          <w:i w:val="1"/>
          <w:iCs w:val="1"/>
          <w:color w:val="auto"/>
        </w:rPr>
        <w:t>(Dollars in Thousands)</w:t>
      </w:r>
    </w:p>
    <w:p>
      <w:pPr>
        <w:spacing w:after="0" w:line="30" w:lineRule="exact"/>
        <w:rPr>
          <w:sz w:val="20"/>
          <w:szCs w:val="20"/>
          <w:color w:val="auto"/>
        </w:rPr>
      </w:pPr>
    </w:p>
    <w:p>
      <w:pPr>
        <w:sectPr>
          <w:pgSz w:w="11900" w:h="16838" w:orient="portrait"/>
          <w:cols w:equalWidth="0" w:num="2">
            <w:col w:w="7120" w:space="720"/>
            <w:col w:w="35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674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01"/>
              <w:spacing w:after="0"/>
              <w:rPr>
                <w:sz w:val="20"/>
                <w:szCs w:val="20"/>
                <w:color w:val="auto"/>
              </w:rPr>
            </w:pPr>
            <w:r>
              <w:rPr>
                <w:rFonts w:ascii="Arial" w:cs="Arial" w:eastAsia="Arial" w:hAnsi="Arial"/>
                <w:sz w:val="20"/>
                <w:szCs w:val="20"/>
                <w:color w:val="auto"/>
              </w:rPr>
              <w:t>20,771</w:t>
            </w:r>
          </w:p>
        </w:tc>
        <w:tc>
          <w:tcPr>
            <w:tcW w:w="5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34,714</w:t>
            </w:r>
          </w:p>
        </w:tc>
        <w:tc>
          <w:tcPr>
            <w:tcW w:w="120" w:type="dxa"/>
            <w:vAlign w:val="bottom"/>
          </w:tcPr>
          <w:p>
            <w:pPr>
              <w:spacing w:after="0"/>
              <w:rPr>
                <w:sz w:val="21"/>
                <w:szCs w:val="21"/>
                <w:color w:val="auto"/>
              </w:rPr>
            </w:pPr>
          </w:p>
        </w:tc>
      </w:tr>
      <w:tr>
        <w:trPr>
          <w:trHeight w:val="243"/>
        </w:trPr>
        <w:tc>
          <w:tcPr>
            <w:tcW w:w="6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449</w:t>
            </w:r>
          </w:p>
        </w:tc>
        <w:tc>
          <w:tcPr>
            <w:tcW w:w="5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FF0FC"/>
          </w:tcPr>
          <w:p>
            <w:pPr>
              <w:spacing w:after="0"/>
              <w:rPr>
                <w:sz w:val="21"/>
                <w:szCs w:val="21"/>
                <w:color w:val="auto"/>
              </w:rPr>
            </w:pPr>
          </w:p>
        </w:tc>
      </w:tr>
      <w:tr>
        <w:trPr>
          <w:trHeight w:val="463"/>
        </w:trPr>
        <w:tc>
          <w:tcPr>
            <w:tcW w:w="674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3"/>
        </w:trPr>
        <w:tc>
          <w:tcPr>
            <w:tcW w:w="6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tcPr>
          <w:p>
            <w:pPr>
              <w:jc w:val="center"/>
              <w:ind w:right="480"/>
              <w:spacing w:after="0"/>
              <w:rPr>
                <w:sz w:val="20"/>
                <w:szCs w:val="20"/>
                <w:color w:val="auto"/>
              </w:rPr>
            </w:pPr>
            <w:r>
              <w:rPr>
                <w:rFonts w:ascii="Arial" w:cs="Arial" w:eastAsia="Arial" w:hAnsi="Arial"/>
                <w:sz w:val="20"/>
                <w:szCs w:val="20"/>
                <w:color w:val="auto"/>
                <w:w w:val="90"/>
              </w:rPr>
              <w:t>Six-Months Ended</w:t>
            </w:r>
          </w:p>
        </w:tc>
      </w:tr>
      <w:tr>
        <w:trPr>
          <w:trHeight w:val="246"/>
        </w:trPr>
        <w:tc>
          <w:tcPr>
            <w:tcW w:w="6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left="7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color w:val="auto"/>
              </w:rPr>
              <w:t>2018</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3"/>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67,399</w:t>
            </w:r>
          </w:p>
        </w:tc>
        <w:tc>
          <w:tcPr>
            <w:tcW w:w="5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38,111</w:t>
            </w:r>
          </w:p>
        </w:tc>
        <w:tc>
          <w:tcPr>
            <w:tcW w:w="120" w:type="dxa"/>
            <w:vAlign w:val="bottom"/>
            <w:shd w:val="clear" w:color="auto" w:fill="CFF0FC"/>
          </w:tcPr>
          <w:p>
            <w:pPr>
              <w:spacing w:after="0"/>
              <w:rPr>
                <w:sz w:val="21"/>
                <w:szCs w:val="21"/>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20"/>
                <w:szCs w:val="20"/>
                <w:color w:val="auto"/>
              </w:rPr>
              <w:t>Cash (refund of) paid for income taxes</w:t>
            </w: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(2,244)</w:t>
            </w:r>
          </w:p>
        </w:tc>
        <w:tc>
          <w:tcPr>
            <w:tcW w:w="5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33,264</w:t>
            </w:r>
          </w:p>
        </w:tc>
        <w:tc>
          <w:tcPr>
            <w:tcW w:w="120" w:type="dxa"/>
            <w:vAlign w:val="bottom"/>
          </w:tcPr>
          <w:p>
            <w:pPr>
              <w:spacing w:after="0"/>
              <w:rPr>
                <w:sz w:val="21"/>
                <w:szCs w:val="21"/>
                <w:color w:val="auto"/>
              </w:rPr>
            </w:pPr>
          </w:p>
        </w:tc>
      </w:tr>
    </w:tbl>
    <w:p>
      <w:pPr>
        <w:spacing w:after="0" w:line="26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net</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Other operating income, net, for the quarter ended June 30, 2018 includes a net gain on legal settlements of $7,677,000 and a gain on the sale of surplus land of $16,938,000.</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30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4"/>
              </w:rPr>
              <w:t>Mid-America Group</w:t>
            </w:r>
          </w:p>
        </w:tc>
        <w:tc>
          <w:tcPr>
            <w:tcW w:w="2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8"/>
              </w:rPr>
              <w:t>Southeast Group</w:t>
            </w: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00" w:type="dxa"/>
            <w:vAlign w:val="bottom"/>
          </w:tcPr>
          <w:p>
            <w:pPr>
              <w:spacing w:after="0"/>
              <w:rPr>
                <w:sz w:val="17"/>
                <w:szCs w:val="17"/>
                <w:color w:val="auto"/>
              </w:rPr>
            </w:pPr>
          </w:p>
        </w:tc>
        <w:tc>
          <w:tcPr>
            <w:tcW w:w="26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0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Kentucky, Maryland, Minnesota,</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Tennessee, Nova Scotia and the</w:t>
            </w:r>
          </w:p>
        </w:tc>
        <w:tc>
          <w:tcPr>
            <w:tcW w:w="348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Missouri, eastern Nebraska, North</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Bahamas</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Oklahoma, Texas, Utah and Wyoming</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Carolina, Ohio, Pennsylvania, South</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Carolina, Virginia, Washington and</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West Virginia</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438"/>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Aggregates</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r>
        <w:trPr>
          <w:trHeight w:val="438"/>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Plant Types</w:t>
            </w: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and Distribution</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and Distribution</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2"/>
              </w:rPr>
              <w:t>Facilities</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Facilities</w:t>
            </w:r>
          </w:p>
        </w:tc>
        <w:tc>
          <w:tcPr>
            <w:tcW w:w="34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r>
      <w:tr>
        <w:trPr>
          <w:trHeight w:val="452"/>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Modes of</w:t>
            </w:r>
          </w:p>
        </w:tc>
        <w:tc>
          <w:tcPr>
            <w:tcW w:w="30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Truck and Rail</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Truck, Rail and Water</w:t>
            </w:r>
          </w:p>
        </w:tc>
        <w:tc>
          <w:tcPr>
            <w:tcW w:w="348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r>
      <w:tr>
        <w:trPr>
          <w:trHeight w:val="250"/>
        </w:trPr>
        <w:tc>
          <w:tcPr>
            <w:tcW w:w="2120" w:type="dxa"/>
            <w:vAlign w:val="bottom"/>
            <w:gridSpan w:val="2"/>
          </w:tcPr>
          <w:p>
            <w:pPr>
              <w:jc w:val="center"/>
              <w:spacing w:after="0"/>
              <w:rPr>
                <w:sz w:val="20"/>
                <w:szCs w:val="20"/>
                <w:color w:val="auto"/>
              </w:rPr>
            </w:pPr>
            <w:r>
              <w:rPr>
                <w:rFonts w:ascii="Arial" w:cs="Arial" w:eastAsia="Arial" w:hAnsi="Arial"/>
                <w:sz w:val="20"/>
                <w:szCs w:val="20"/>
                <w:color w:val="auto"/>
                <w:w w:val="89"/>
              </w:rPr>
              <w:t>Transportation</w:t>
            </w: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r>
    </w:tbl>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2017. There were no changes to the Company’s critical accounting policies during the six-months ended June 30,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Because of the potentially significant impact of weather on the Company’s operations, current period and year-to-date results are not indicative of expected performance for other interim periods or the full year.</w:t>
      </w:r>
    </w:p>
    <w:p>
      <w:pPr>
        <w:spacing w:after="0" w:line="7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Earnings before interest, income taxes, depreciation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excludes some, but not all, items that affect net earnings and may vary among companies, EBITDA and adjusted EBITDA, as described below, presented by the Company may not be comparable to similarly titled measures of other companies.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4"/>
          </w:tcPr>
          <w:p>
            <w:pPr>
              <w:jc w:val="right"/>
              <w:ind w:right="341"/>
              <w:spacing w:after="0"/>
              <w:rPr>
                <w:sz w:val="20"/>
                <w:szCs w:val="20"/>
                <w:color w:val="auto"/>
              </w:rPr>
            </w:pPr>
            <w:r>
              <w:rPr>
                <w:rFonts w:ascii="Arial" w:cs="Arial" w:eastAsia="Arial" w:hAnsi="Arial"/>
                <w:sz w:val="20"/>
                <w:szCs w:val="20"/>
                <w:color w:val="auto"/>
                <w:w w:val="98"/>
              </w:rPr>
              <w:t>Three-Months Ended</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6"/>
          </w:tcPr>
          <w:p>
            <w:pPr>
              <w:ind w:left="340"/>
              <w:spacing w:after="0"/>
              <w:rPr>
                <w:sz w:val="20"/>
                <w:szCs w:val="20"/>
                <w:color w:val="auto"/>
              </w:rPr>
            </w:pPr>
            <w:r>
              <w:rPr>
                <w:rFonts w:ascii="Arial" w:cs="Arial" w:eastAsia="Arial" w:hAnsi="Arial"/>
                <w:sz w:val="20"/>
                <w:szCs w:val="20"/>
                <w:color w:val="auto"/>
              </w:rPr>
              <w:t>Six-Months Ended</w:t>
            </w:r>
          </w:p>
        </w:tc>
      </w:tr>
      <w:tr>
        <w:trPr>
          <w:trHeight w:val="246"/>
        </w:trPr>
        <w:tc>
          <w:tcPr>
            <w:tcW w:w="5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20"/>
                <w:szCs w:val="20"/>
                <w:color w:val="auto"/>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140"/>
              <w:spacing w:after="0"/>
              <w:rPr>
                <w:sz w:val="20"/>
                <w:szCs w:val="20"/>
                <w:color w:val="auto"/>
              </w:rPr>
            </w:pPr>
            <w:r>
              <w:rPr>
                <w:rFonts w:ascii="Arial" w:cs="Arial" w:eastAsia="Arial" w:hAnsi="Arial"/>
                <w:sz w:val="20"/>
                <w:szCs w:val="20"/>
                <w:i w:val="1"/>
                <w:iCs w:val="1"/>
                <w:color w:val="auto"/>
              </w:rPr>
              <w:t>(Dollars 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7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185,377</w:t>
            </w:r>
          </w:p>
        </w:tc>
        <w:tc>
          <w:tcPr>
            <w:tcW w:w="54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4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195,400</w:t>
            </w:r>
          </w:p>
        </w:tc>
        <w:tc>
          <w:tcPr>
            <w:tcW w:w="2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3"/>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20"/>
                <w:szCs w:val="20"/>
                <w:color w:val="auto"/>
              </w:rPr>
              <w:t>Add back:</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32,971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24,045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68,059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44,896</w:t>
            </w: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52,581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51,981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55,018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66,503</w:t>
            </w:r>
          </w:p>
        </w:tc>
        <w:tc>
          <w:tcPr>
            <w:tcW w:w="100" w:type="dxa"/>
            <w:vAlign w:val="bottom"/>
          </w:tcPr>
          <w:p>
            <w:pPr>
              <w:spacing w:after="0"/>
              <w:rPr>
                <w:sz w:val="21"/>
                <w:szCs w:val="21"/>
                <w:color w:val="auto"/>
              </w:rPr>
            </w:pPr>
          </w:p>
        </w:tc>
      </w:tr>
      <w:tr>
        <w:trPr>
          <w:trHeight w:val="243"/>
        </w:trPr>
        <w:tc>
          <w:tcPr>
            <w:tcW w:w="5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5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85,737</w:t>
            </w:r>
          </w:p>
        </w:tc>
        <w:tc>
          <w:tcPr>
            <w:tcW w:w="24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73,993</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161,451</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144,000</w:t>
            </w:r>
          </w:p>
        </w:tc>
        <w:tc>
          <w:tcPr>
            <w:tcW w:w="100" w:type="dxa"/>
            <w:vAlign w:val="bottom"/>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20"/>
                <w:szCs w:val="20"/>
                <w:color w:val="auto"/>
              </w:rPr>
              <w:t>Consolidated EBITDA</w:t>
            </w:r>
          </w:p>
        </w:tc>
        <w:tc>
          <w:tcPr>
            <w:tcW w:w="56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356,666</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292,298</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479,928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440,012</w:t>
            </w:r>
          </w:p>
        </w:tc>
        <w:tc>
          <w:tcPr>
            <w:tcW w:w="10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Acquisition-Related Items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Adjusted consolidated earnings from operations, adjusted earnings per diluted share and adjusted EBITDA for the three- and six-months ended June 30, 2018, exclude the impact of acquisition-related expenses, net, and the impact of selling acquired inventory due to the markup to fair value as part of acquisition accounting. Acquisition-related expenses, net, consist of acquisition and integration expenses and the nonrecurring gain on the required divestiture of a legacy Martin Marietta quarry in Georgia as part of the acquisition of Bluegrass Materials. Adjusted consolidated earnings from operations, adjusted earnings per diluted share and adjusted EBITDA represent non-GAAP financial measures. Management presents these measures for investors and analysts to evaluate and forecast the Company’s financial results, as acquisition-related expenses, net, and the impact of selling acquired inventory due to the markup to fair value as part of acquisition accounting are nonrecurring.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reconciles consolidated earnings from operations in accordance with GAAP to adjusted consolidated earnings from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center"/>
              <w:ind w:right="141"/>
              <w:spacing w:after="0"/>
              <w:rPr>
                <w:sz w:val="20"/>
                <w:szCs w:val="20"/>
                <w:color w:val="auto"/>
              </w:rPr>
            </w:pPr>
            <w:r>
              <w:rPr>
                <w:rFonts w:ascii="Arial" w:cs="Arial" w:eastAsia="Arial" w:hAnsi="Arial"/>
                <w:sz w:val="20"/>
                <w:szCs w:val="20"/>
                <w:color w:val="auto"/>
                <w:w w:val="89"/>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20"/>
                <w:szCs w:val="20"/>
                <w:color w:val="auto"/>
                <w:w w:val="90"/>
              </w:rPr>
              <w:t>Six-Months Ended</w:t>
            </w:r>
          </w:p>
        </w:tc>
      </w:t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20"/>
                <w:szCs w:val="20"/>
                <w:color w:val="auto"/>
                <w:w w:val="85"/>
              </w:rPr>
              <w:t>June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59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Consolidated earnings from operations in accordance with</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GAAP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263,953</w:t>
            </w:r>
          </w:p>
        </w:tc>
        <w:tc>
          <w:tcPr>
            <w:tcW w:w="54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212,852</w:t>
            </w:r>
          </w:p>
        </w:tc>
        <w:tc>
          <w:tcPr>
            <w:tcW w:w="4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303,034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290,002</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Add back:</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Acquisition-related expenses,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12,126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12,836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2,004</w:t>
            </w:r>
          </w:p>
        </w:tc>
        <w:tc>
          <w:tcPr>
            <w:tcW w:w="100" w:type="dxa"/>
            <w:vAlign w:val="bottom"/>
            <w:shd w:val="clear" w:color="auto" w:fill="CFF0FC"/>
          </w:tcPr>
          <w:p>
            <w:pPr>
              <w:spacing w:after="0"/>
              <w:rPr>
                <w:sz w:val="21"/>
                <w:szCs w:val="21"/>
                <w:color w:val="auto"/>
              </w:rPr>
            </w:pPr>
          </w:p>
        </w:tc>
      </w:tr>
      <w:tr>
        <w:trPr>
          <w:trHeight w:val="226"/>
        </w:trPr>
        <w:tc>
          <w:tcPr>
            <w:tcW w:w="5920" w:type="dxa"/>
            <w:vAlign w:val="bottom"/>
          </w:tcPr>
          <w:p>
            <w:pPr>
              <w:ind w:left="140"/>
              <w:spacing w:after="0" w:line="227" w:lineRule="exact"/>
              <w:rPr>
                <w:sz w:val="20"/>
                <w:szCs w:val="20"/>
                <w:color w:val="auto"/>
              </w:rPr>
            </w:pPr>
            <w:r>
              <w:rPr>
                <w:rFonts w:ascii="Arial" w:cs="Arial" w:eastAsia="Arial" w:hAnsi="Arial"/>
                <w:sz w:val="20"/>
                <w:szCs w:val="20"/>
                <w:color w:val="auto"/>
              </w:rPr>
              <w:t>Impact of selling acquired inventory due to the markup to</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920" w:type="dxa"/>
            <w:vAlign w:val="bottom"/>
          </w:tcPr>
          <w:p>
            <w:pPr>
              <w:ind w:left="280"/>
              <w:spacing w:after="0"/>
              <w:rPr>
                <w:sz w:val="20"/>
                <w:szCs w:val="20"/>
                <w:color w:val="auto"/>
              </w:rPr>
            </w:pPr>
            <w:r>
              <w:rPr>
                <w:rFonts w:ascii="Arial" w:cs="Arial" w:eastAsia="Arial" w:hAnsi="Arial"/>
                <w:sz w:val="20"/>
                <w:szCs w:val="20"/>
                <w:color w:val="auto"/>
              </w:rPr>
              <w:t>fair value as part of acquisition accounting</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10,167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consolidated earnings from operations</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286,246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214,834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326,037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292,006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10140" w:type="dxa"/>
            <w:vAlign w:val="bottom"/>
            <w:gridSpan w:val="10"/>
          </w:tcPr>
          <w:p>
            <w:pPr>
              <w:spacing w:after="0"/>
              <w:rPr>
                <w:sz w:val="20"/>
                <w:szCs w:val="20"/>
                <w:color w:val="auto"/>
              </w:rPr>
            </w:pPr>
            <w:r>
              <w:rPr>
                <w:rFonts w:ascii="Arial" w:cs="Arial" w:eastAsia="Arial" w:hAnsi="Arial"/>
                <w:sz w:val="20"/>
                <w:szCs w:val="20"/>
                <w:color w:val="auto"/>
                <w:w w:val="98"/>
              </w:rPr>
              <w:t>The following reconciles earnings per diluted share in accordance with GAAP to adjusted earnings per diluted share:</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center"/>
              <w:ind w:right="141"/>
              <w:spacing w:after="0"/>
              <w:rPr>
                <w:sz w:val="20"/>
                <w:szCs w:val="20"/>
                <w:color w:val="auto"/>
              </w:rPr>
            </w:pPr>
            <w:r>
              <w:rPr>
                <w:rFonts w:ascii="Arial" w:cs="Arial" w:eastAsia="Arial" w:hAnsi="Arial"/>
                <w:sz w:val="20"/>
                <w:szCs w:val="20"/>
                <w:color w:val="auto"/>
                <w:w w:val="89"/>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20"/>
                <w:szCs w:val="20"/>
                <w:color w:val="auto"/>
                <w:w w:val="90"/>
              </w:rPr>
              <w:t>Six-Months Ended</w:t>
            </w:r>
          </w:p>
        </w:tc>
      </w:t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20"/>
                <w:szCs w:val="20"/>
                <w:color w:val="auto"/>
                <w:w w:val="85"/>
              </w:rPr>
              <w:t>June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Borders>
              <w:bottom w:val="single" w:sz="8" w:color="CFF0FC"/>
            </w:tcBorders>
          </w:tcPr>
          <w:p>
            <w:pPr>
              <w:spacing w:after="0"/>
              <w:rPr>
                <w:sz w:val="20"/>
                <w:szCs w:val="20"/>
                <w:color w:val="auto"/>
              </w:rPr>
            </w:pPr>
          </w:p>
        </w:tc>
      </w:tr>
      <w:tr>
        <w:trPr>
          <w:trHeight w:val="237"/>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Earnings per diluted share in accordance with GAAP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w:t>
            </w:r>
          </w:p>
        </w:tc>
        <w:tc>
          <w:tcPr>
            <w:tcW w:w="100" w:type="dxa"/>
            <w:vAlign w:val="bottom"/>
            <w:shd w:val="clear" w:color="auto" w:fill="CFF0FC"/>
          </w:tcPr>
          <w:p>
            <w:pPr>
              <w:spacing w:after="0"/>
              <w:rPr>
                <w:sz w:val="20"/>
                <w:szCs w:val="20"/>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Add back:</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6"/>
        </w:trPr>
        <w:tc>
          <w:tcPr>
            <w:tcW w:w="5920" w:type="dxa"/>
            <w:vAlign w:val="bottom"/>
            <w:shd w:val="clear" w:color="auto" w:fill="CFF0FC"/>
          </w:tcPr>
          <w:p>
            <w:pPr>
              <w:ind w:left="140"/>
              <w:spacing w:after="0" w:line="227" w:lineRule="exact"/>
              <w:rPr>
                <w:sz w:val="20"/>
                <w:szCs w:val="20"/>
                <w:color w:val="auto"/>
              </w:rPr>
            </w:pPr>
            <w:r>
              <w:rPr>
                <w:rFonts w:ascii="Arial" w:cs="Arial" w:eastAsia="Arial" w:hAnsi="Arial"/>
                <w:sz w:val="20"/>
                <w:szCs w:val="20"/>
                <w:color w:val="auto"/>
              </w:rPr>
              <w:t>Earnings per diluted share impact of acquisition-related</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280"/>
              <w:spacing w:after="0"/>
              <w:rPr>
                <w:sz w:val="20"/>
                <w:szCs w:val="20"/>
                <w:color w:val="auto"/>
              </w:rPr>
            </w:pPr>
            <w:r>
              <w:rPr>
                <w:rFonts w:ascii="Arial" w:cs="Arial" w:eastAsia="Arial" w:hAnsi="Arial"/>
                <w:sz w:val="20"/>
                <w:szCs w:val="20"/>
                <w:color w:val="auto"/>
              </w:rPr>
              <w:t>expenses,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0.02</w:t>
            </w:r>
          </w:p>
        </w:tc>
        <w:tc>
          <w:tcPr>
            <w:tcW w:w="100" w:type="dxa"/>
            <w:vAlign w:val="bottom"/>
            <w:shd w:val="clear" w:color="auto" w:fill="CFF0FC"/>
          </w:tcPr>
          <w:p>
            <w:pPr>
              <w:spacing w:after="0"/>
              <w:rPr>
                <w:sz w:val="21"/>
                <w:szCs w:val="21"/>
                <w:color w:val="auto"/>
              </w:rPr>
            </w:pPr>
          </w:p>
        </w:tc>
      </w:tr>
      <w:tr>
        <w:trPr>
          <w:trHeight w:val="226"/>
        </w:trPr>
        <w:tc>
          <w:tcPr>
            <w:tcW w:w="5920" w:type="dxa"/>
            <w:vAlign w:val="bottom"/>
          </w:tcPr>
          <w:p>
            <w:pPr>
              <w:ind w:left="140"/>
              <w:spacing w:after="0" w:line="227" w:lineRule="exact"/>
              <w:rPr>
                <w:sz w:val="20"/>
                <w:szCs w:val="20"/>
                <w:color w:val="auto"/>
              </w:rPr>
            </w:pPr>
            <w:r>
              <w:rPr>
                <w:rFonts w:ascii="Arial" w:cs="Arial" w:eastAsia="Arial" w:hAnsi="Arial"/>
                <w:sz w:val="20"/>
                <w:szCs w:val="20"/>
                <w:color w:val="auto"/>
              </w:rPr>
              <w:t>Earnings per diluted share impact of selling acquired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20" w:type="dxa"/>
            <w:vAlign w:val="bottom"/>
          </w:tcPr>
          <w:p>
            <w:pPr>
              <w:ind w:left="280"/>
              <w:spacing w:after="0"/>
              <w:rPr>
                <w:sz w:val="20"/>
                <w:szCs w:val="20"/>
                <w:color w:val="auto"/>
              </w:rPr>
            </w:pPr>
            <w:r>
              <w:rPr>
                <w:rFonts w:ascii="Arial" w:cs="Arial" w:eastAsia="Arial" w:hAnsi="Arial"/>
                <w:sz w:val="20"/>
                <w:szCs w:val="20"/>
                <w:color w:val="auto"/>
              </w:rPr>
              <w:t>inventory due to the markup to fair value as part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920" w:type="dxa"/>
            <w:vAlign w:val="bottom"/>
          </w:tcPr>
          <w:p>
            <w:pPr>
              <w:ind w:left="280"/>
              <w:spacing w:after="0"/>
              <w:rPr>
                <w:sz w:val="20"/>
                <w:szCs w:val="20"/>
                <w:color w:val="auto"/>
              </w:rPr>
            </w:pPr>
            <w:r>
              <w:rPr>
                <w:rFonts w:ascii="Arial" w:cs="Arial" w:eastAsia="Arial" w:hAnsi="Arial"/>
                <w:sz w:val="20"/>
                <w:szCs w:val="20"/>
                <w:color w:val="auto"/>
              </w:rPr>
              <w:t>acquisition accounting</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0.12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0.12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earnings per diluted share</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7080" w:type="dxa"/>
            <w:vAlign w:val="bottom"/>
            <w:gridSpan w:val="3"/>
          </w:tcPr>
          <w:p>
            <w:pPr>
              <w:spacing w:after="0"/>
              <w:rPr>
                <w:sz w:val="20"/>
                <w:szCs w:val="20"/>
                <w:color w:val="auto"/>
              </w:rPr>
            </w:pPr>
            <w:r>
              <w:rPr>
                <w:rFonts w:ascii="Arial" w:cs="Arial" w:eastAsia="Arial" w:hAnsi="Arial"/>
                <w:sz w:val="20"/>
                <w:szCs w:val="20"/>
                <w:color w:val="auto"/>
                <w:w w:val="98"/>
              </w:rPr>
              <w:t>The following reconciles consolidated EBITDA to adjusted consolidated EBITDA:</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center"/>
              <w:ind w:right="141"/>
              <w:spacing w:after="0"/>
              <w:rPr>
                <w:sz w:val="20"/>
                <w:szCs w:val="20"/>
                <w:color w:val="auto"/>
              </w:rPr>
            </w:pPr>
            <w:r>
              <w:rPr>
                <w:rFonts w:ascii="Arial" w:cs="Arial" w:eastAsia="Arial" w:hAnsi="Arial"/>
                <w:sz w:val="20"/>
                <w:szCs w:val="20"/>
                <w:color w:val="auto"/>
                <w:w w:val="89"/>
              </w:rPr>
              <w:t>Three-Months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20"/>
                <w:szCs w:val="20"/>
                <w:color w:val="auto"/>
                <w:w w:val="90"/>
              </w:rPr>
              <w:t>Six-Months Ended</w:t>
            </w:r>
          </w:p>
        </w:tc>
      </w:t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20"/>
                <w:szCs w:val="20"/>
                <w:color w:val="auto"/>
                <w:w w:val="85"/>
              </w:rPr>
              <w:t>June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20"/>
                <w:szCs w:val="20"/>
                <w:color w:val="auto"/>
                <w:w w:val="85"/>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Consolidated EBITDA</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356,666</w:t>
            </w:r>
          </w:p>
        </w:tc>
        <w:tc>
          <w:tcPr>
            <w:tcW w:w="54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292,298</w:t>
            </w:r>
          </w:p>
        </w:tc>
        <w:tc>
          <w:tcPr>
            <w:tcW w:w="4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479,928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440,012</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Add back:</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ind w:left="140"/>
              <w:spacing w:after="0"/>
              <w:rPr>
                <w:sz w:val="20"/>
                <w:szCs w:val="20"/>
                <w:color w:val="auto"/>
              </w:rPr>
            </w:pPr>
            <w:r>
              <w:rPr>
                <w:rFonts w:ascii="Arial" w:cs="Arial" w:eastAsia="Arial" w:hAnsi="Arial"/>
                <w:sz w:val="20"/>
                <w:szCs w:val="20"/>
                <w:color w:val="auto"/>
              </w:rPr>
              <w:t>Acquisition-related expenses,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12,126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12,836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2,004</w:t>
            </w:r>
          </w:p>
        </w:tc>
        <w:tc>
          <w:tcPr>
            <w:tcW w:w="100" w:type="dxa"/>
            <w:vAlign w:val="bottom"/>
            <w:shd w:val="clear" w:color="auto" w:fill="CFF0FC"/>
          </w:tcPr>
          <w:p>
            <w:pPr>
              <w:spacing w:after="0"/>
              <w:rPr>
                <w:sz w:val="21"/>
                <w:szCs w:val="21"/>
                <w:color w:val="auto"/>
              </w:rPr>
            </w:pPr>
          </w:p>
        </w:tc>
      </w:tr>
      <w:tr>
        <w:trPr>
          <w:trHeight w:val="226"/>
        </w:trPr>
        <w:tc>
          <w:tcPr>
            <w:tcW w:w="5920" w:type="dxa"/>
            <w:vAlign w:val="bottom"/>
          </w:tcPr>
          <w:p>
            <w:pPr>
              <w:ind w:left="140"/>
              <w:spacing w:after="0" w:line="227" w:lineRule="exact"/>
              <w:rPr>
                <w:sz w:val="20"/>
                <w:szCs w:val="20"/>
                <w:color w:val="auto"/>
              </w:rPr>
            </w:pPr>
            <w:r>
              <w:rPr>
                <w:rFonts w:ascii="Arial" w:cs="Arial" w:eastAsia="Arial" w:hAnsi="Arial"/>
                <w:sz w:val="20"/>
                <w:szCs w:val="20"/>
                <w:color w:val="auto"/>
              </w:rPr>
              <w:t>Impact of selling acquired inventory due to the markup to</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920" w:type="dxa"/>
            <w:vAlign w:val="bottom"/>
          </w:tcPr>
          <w:p>
            <w:pPr>
              <w:ind w:left="280"/>
              <w:spacing w:after="0"/>
              <w:rPr>
                <w:sz w:val="20"/>
                <w:szCs w:val="20"/>
                <w:color w:val="auto"/>
              </w:rPr>
            </w:pPr>
            <w:r>
              <w:rPr>
                <w:rFonts w:ascii="Arial" w:cs="Arial" w:eastAsia="Arial" w:hAnsi="Arial"/>
                <w:sz w:val="20"/>
                <w:szCs w:val="20"/>
                <w:color w:val="auto"/>
              </w:rPr>
              <w:t>fair value as part of acquisition accounting</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10,167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consolidated EBITDA</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378,959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294,280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502,931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442,016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Adjusted gross margin for aggregates products excludes the impact of selling acquired inventory due to the markup to fair value as part of acquisition accounting and is a non-GAAP measure. Management presents this measure for investors and analysts to evaluate and forecast the Company's financial results, as the impact of selling acquired inventory due to the markup to fair value as part of acquisition accounting is nonrecurring. The following reconciles gross margin for aggregates products to adjusted gross margin for aggregates products: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20"/>
                <w:szCs w:val="20"/>
                <w:color w:val="auto"/>
              </w:rPr>
              <w:t>Three-Months Ended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20"/>
                <w:szCs w:val="20"/>
                <w:i w:val="1"/>
                <w:iCs w:val="1"/>
                <w:color w:val="auto"/>
                <w:w w:val="98"/>
              </w:rPr>
              <w:t>(Dollars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5640" w:type="dxa"/>
            <w:vAlign w:val="bottom"/>
            <w:gridSpan w:val="2"/>
          </w:tcPr>
          <w:p>
            <w:pPr>
              <w:spacing w:after="0"/>
              <w:rPr>
                <w:sz w:val="20"/>
                <w:szCs w:val="20"/>
                <w:color w:val="auto"/>
              </w:rPr>
            </w:pPr>
            <w:r>
              <w:rPr>
                <w:rFonts w:ascii="Arial" w:cs="Arial" w:eastAsia="Arial" w:hAnsi="Arial"/>
                <w:sz w:val="20"/>
                <w:szCs w:val="20"/>
                <w:color w:val="auto"/>
              </w:rPr>
              <w:t>Gross profit for aggregates products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198,540</w:t>
            </w:r>
          </w:p>
        </w:tc>
        <w:tc>
          <w:tcPr>
            <w:tcW w:w="340" w:type="dxa"/>
            <w:vAlign w:val="bottom"/>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173,012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251,542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251,967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tcBorders>
              <w:top w:val="single" w:sz="8" w:color="CFF0FC"/>
              <w:bottom w:val="single" w:sz="8" w:color="CFF0FC"/>
            </w:tcBorders>
            <w:shd w:val="clear" w:color="auto" w:fill="CFF0FC"/>
          </w:tcPr>
          <w:p>
            <w:pPr>
              <w:spacing w:after="0" w:line="224" w:lineRule="exact"/>
              <w:rPr>
                <w:sz w:val="20"/>
                <w:szCs w:val="20"/>
                <w:color w:val="auto"/>
              </w:rPr>
            </w:pPr>
            <w:r>
              <w:rPr>
                <w:rFonts w:ascii="Arial" w:cs="Arial" w:eastAsia="Arial" w:hAnsi="Arial"/>
                <w:sz w:val="20"/>
                <w:szCs w:val="20"/>
                <w:color w:val="auto"/>
              </w:rPr>
              <w:t>Total products revenues for aggregates</w:t>
            </w:r>
          </w:p>
        </w:tc>
        <w:tc>
          <w:tcPr>
            <w:tcW w:w="240" w:type="dxa"/>
            <w:vAlign w:val="bottom"/>
            <w:tcBorders>
              <w:top w:val="single" w:sz="8" w:color="auto"/>
              <w:bottom w:val="single" w:sz="8" w:color="auto"/>
            </w:tcBorders>
            <w:shd w:val="clear" w:color="auto" w:fill="CFF0FC"/>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665,308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577,913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1,090,324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w w:val="98"/>
              </w:rPr>
              <w:t>1,028,968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20"/>
                <w:szCs w:val="20"/>
                <w:color w:val="auto"/>
              </w:rPr>
              <w:t>Gross margin for aggregates products in accordance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20" w:type="dxa"/>
            <w:vAlign w:val="bottom"/>
          </w:tcPr>
          <w:p>
            <w:pPr>
              <w:ind w:left="140"/>
              <w:spacing w:after="0"/>
              <w:rPr>
                <w:sz w:val="20"/>
                <w:szCs w:val="20"/>
                <w:color w:val="auto"/>
              </w:rPr>
            </w:pPr>
            <w:r>
              <w:rPr>
                <w:rFonts w:ascii="Arial" w:cs="Arial" w:eastAsia="Arial" w:hAnsi="Arial"/>
                <w:sz w:val="20"/>
                <w:szCs w:val="20"/>
                <w:color w:val="auto"/>
              </w:rPr>
              <w:t>with GAAP</w:t>
            </w:r>
          </w:p>
        </w:tc>
        <w:tc>
          <w:tcPr>
            <w:tcW w:w="2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29.8%</w:t>
            </w: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29.9%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23.1%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620" w:type="dxa"/>
            <w:vAlign w:val="bottom"/>
          </w:tcPr>
          <w:p>
            <w:pPr>
              <w:spacing w:after="0" w:line="227" w:lineRule="exact"/>
              <w:rPr>
                <w:sz w:val="20"/>
                <w:szCs w:val="20"/>
                <w:color w:val="auto"/>
              </w:rPr>
            </w:pPr>
            <w:r>
              <w:rPr>
                <w:rFonts w:ascii="Arial" w:cs="Arial" w:eastAsia="Arial" w:hAnsi="Arial"/>
                <w:sz w:val="20"/>
                <w:szCs w:val="20"/>
                <w:color w:val="auto"/>
              </w:rPr>
              <w:t>Gross profit for aggregates products in accordance with</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20" w:type="dxa"/>
            <w:vAlign w:val="bottom"/>
          </w:tcPr>
          <w:p>
            <w:pPr>
              <w:ind w:left="140"/>
              <w:spacing w:after="0"/>
              <w:rPr>
                <w:sz w:val="20"/>
                <w:szCs w:val="20"/>
                <w:color w:val="auto"/>
              </w:rPr>
            </w:pPr>
            <w:r>
              <w:rPr>
                <w:rFonts w:ascii="Arial" w:cs="Arial" w:eastAsia="Arial" w:hAnsi="Arial"/>
                <w:sz w:val="20"/>
                <w:szCs w:val="20"/>
                <w:color w:val="auto"/>
              </w:rPr>
              <w:t>GAAP</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198,540</w:t>
            </w:r>
          </w:p>
        </w:tc>
        <w:tc>
          <w:tcPr>
            <w:tcW w:w="34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173,012</w:t>
            </w:r>
          </w:p>
        </w:tc>
        <w:tc>
          <w:tcPr>
            <w:tcW w:w="24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251,542</w:t>
            </w:r>
          </w:p>
        </w:tc>
        <w:tc>
          <w:tcPr>
            <w:tcW w:w="240" w:type="dxa"/>
            <w:vAlign w:val="bottom"/>
          </w:tcPr>
          <w:p>
            <w:pPr>
              <w:spacing w:after="0"/>
              <w:rPr>
                <w:sz w:val="21"/>
                <w:szCs w:val="21"/>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251,967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Pr>
          <w:p>
            <w:pPr>
              <w:ind w:left="120"/>
              <w:spacing w:after="0" w:line="227" w:lineRule="exact"/>
              <w:rPr>
                <w:sz w:val="20"/>
                <w:szCs w:val="20"/>
                <w:color w:val="auto"/>
              </w:rPr>
            </w:pPr>
            <w:r>
              <w:rPr>
                <w:rFonts w:ascii="Arial" w:cs="Arial" w:eastAsia="Arial" w:hAnsi="Arial"/>
                <w:sz w:val="20"/>
                <w:szCs w:val="20"/>
                <w:color w:val="auto"/>
              </w:rPr>
              <w:t>Impact of selling acquired inventory due to the markup to</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20" w:type="dxa"/>
            <w:vAlign w:val="bottom"/>
          </w:tcPr>
          <w:p>
            <w:pPr>
              <w:ind w:left="260"/>
              <w:spacing w:after="0"/>
              <w:rPr>
                <w:sz w:val="20"/>
                <w:szCs w:val="20"/>
                <w:color w:val="auto"/>
              </w:rPr>
            </w:pPr>
            <w:r>
              <w:rPr>
                <w:rFonts w:ascii="Arial" w:cs="Arial" w:eastAsia="Arial" w:hAnsi="Arial"/>
                <w:sz w:val="20"/>
                <w:szCs w:val="20"/>
                <w:color w:val="auto"/>
              </w:rPr>
              <w:t>fair value as part of acquisition accounting</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10,167</w:t>
            </w:r>
          </w:p>
        </w:tc>
        <w:tc>
          <w:tcPr>
            <w:tcW w:w="34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10,167</w:t>
            </w:r>
          </w:p>
        </w:tc>
        <w:tc>
          <w:tcPr>
            <w:tcW w:w="240" w:type="dxa"/>
            <w:vAlign w:val="bottom"/>
          </w:tcPr>
          <w:p>
            <w:pPr>
              <w:spacing w:after="0"/>
              <w:rPr>
                <w:sz w:val="21"/>
                <w:szCs w:val="21"/>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gross profit for aggregates products</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208,707</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173,012</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261,709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251,967</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20"/>
                <w:szCs w:val="20"/>
                <w:color w:val="auto"/>
              </w:rPr>
              <w:t>Total products revenues for aggregates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40" w:type="dxa"/>
            <w:vAlign w:val="bottom"/>
            <w:gridSpan w:val="2"/>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665,308</w:t>
            </w:r>
          </w:p>
        </w:tc>
        <w:tc>
          <w:tcPr>
            <w:tcW w:w="3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577,913</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1,090,324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8"/>
              </w:rPr>
              <w:t>1,028,968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Adjusted gross margin for aggregates products</w:t>
            </w: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line="224" w:lineRule="exact"/>
              <w:rPr>
                <w:sz w:val="20"/>
                <w:szCs w:val="20"/>
                <w:color w:val="auto"/>
              </w:rPr>
            </w:pPr>
            <w:r>
              <w:rPr>
                <w:rFonts w:ascii="Arial" w:cs="Arial" w:eastAsia="Arial" w:hAnsi="Arial"/>
                <w:sz w:val="20"/>
                <w:szCs w:val="20"/>
                <w:color w:val="auto"/>
              </w:rPr>
              <w:t>31.4%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29.9%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line="224" w:lineRule="exact"/>
              <w:rPr>
                <w:sz w:val="20"/>
                <w:szCs w:val="20"/>
                <w:color w:val="auto"/>
              </w:rPr>
            </w:pPr>
            <w:r>
              <w:rPr>
                <w:rFonts w:ascii="Arial" w:cs="Arial" w:eastAsia="Arial" w:hAnsi="Arial"/>
                <w:sz w:val="20"/>
                <w:szCs w:val="20"/>
                <w:color w:val="auto"/>
              </w:rPr>
              <w:t>24.0%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line="224" w:lineRule="exact"/>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June 30, 2018 (unless noted, all comparisons are versus the prior-year quarter):</w:t>
      </w:r>
    </w:p>
    <w:p>
      <w:pPr>
        <w:spacing w:after="0" w:line="54"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Consolidated total revenues of $1.20 billion compared with $1.06 billion</w:t>
      </w:r>
    </w:p>
    <w:p>
      <w:pPr>
        <w:spacing w:after="0" w:line="53" w:lineRule="exact"/>
        <w:rPr>
          <w:rFonts w:ascii="Arial" w:cs="Arial" w:eastAsia="Arial" w:hAnsi="Arial"/>
          <w:sz w:val="20"/>
          <w:szCs w:val="20"/>
          <w:color w:val="007DC6"/>
        </w:rPr>
      </w:pPr>
    </w:p>
    <w:p>
      <w:pPr>
        <w:ind w:left="760" w:hanging="374"/>
        <w:spacing w:after="0" w:line="260" w:lineRule="auto"/>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$1.06 billion compared with $931.1 million and Magnesia Specialties products revenue of $68.2 million compared with $65.7 million</w:t>
      </w:r>
    </w:p>
    <w:p>
      <w:pPr>
        <w:spacing w:after="0" w:line="14" w:lineRule="exact"/>
        <w:rPr>
          <w:rFonts w:ascii="Arial" w:cs="Arial" w:eastAsia="Arial" w:hAnsi="Arial"/>
          <w:sz w:val="20"/>
          <w:szCs w:val="20"/>
          <w:color w:val="007DC6"/>
        </w:rPr>
      </w:pPr>
    </w:p>
    <w:p>
      <w:pPr>
        <w:ind w:left="760" w:hanging="374"/>
        <w:spacing w:after="0"/>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Consolidated gross profit of $315.9 million compared with $274.1 million</w:t>
      </w:r>
    </w:p>
    <w:p>
      <w:pPr>
        <w:spacing w:after="0" w:line="53" w:lineRule="exact"/>
        <w:rPr>
          <w:rFonts w:ascii="Arial" w:cs="Arial" w:eastAsia="Arial" w:hAnsi="Arial"/>
          <w:sz w:val="20"/>
          <w:szCs w:val="20"/>
          <w:color w:val="007DC6"/>
        </w:rPr>
      </w:pPr>
    </w:p>
    <w:p>
      <w:pPr>
        <w:ind w:left="760" w:hanging="374"/>
        <w:spacing w:after="0" w:line="260" w:lineRule="auto"/>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Consolidated earnings from operations of $264.0 million compared with $212.9 million; adjusted earnings from operations of $286.2 million compared with $214.8 million</w:t>
      </w:r>
    </w:p>
    <w:p>
      <w:pPr>
        <w:spacing w:after="0" w:line="14" w:lineRule="exact"/>
        <w:rPr>
          <w:rFonts w:ascii="Arial" w:cs="Arial" w:eastAsia="Arial" w:hAnsi="Arial"/>
          <w:sz w:val="20"/>
          <w:szCs w:val="20"/>
          <w:color w:val="007DC6"/>
        </w:rPr>
      </w:pPr>
    </w:p>
    <w:p>
      <w:pPr>
        <w:ind w:left="760" w:hanging="374"/>
        <w:spacing w:after="0"/>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$185.4 million compared with $142.3 million</w:t>
      </w:r>
    </w:p>
    <w:p>
      <w:pPr>
        <w:spacing w:after="0" w:line="53" w:lineRule="exact"/>
        <w:rPr>
          <w:rFonts w:ascii="Arial" w:cs="Arial" w:eastAsia="Arial" w:hAnsi="Arial"/>
          <w:sz w:val="20"/>
          <w:szCs w:val="20"/>
          <w:color w:val="007DC6"/>
        </w:rPr>
      </w:pPr>
    </w:p>
    <w:p>
      <w:pPr>
        <w:ind w:left="760" w:hanging="374"/>
        <w:spacing w:after="0"/>
        <w:tabs>
          <w:tab w:leader="none" w:pos="760" w:val="left"/>
        </w:tabs>
        <w:numPr>
          <w:ilvl w:val="0"/>
          <w:numId w:val="27"/>
        </w:numPr>
        <w:rPr>
          <w:rFonts w:ascii="Arial" w:cs="Arial" w:eastAsia="Arial" w:hAnsi="Arial"/>
          <w:sz w:val="19"/>
          <w:szCs w:val="19"/>
          <w:color w:val="007DC6"/>
        </w:rPr>
      </w:pPr>
      <w:r>
        <w:rPr>
          <w:rFonts w:ascii="Arial" w:cs="Arial" w:eastAsia="Arial" w:hAnsi="Arial"/>
          <w:sz w:val="19"/>
          <w:szCs w:val="19"/>
          <w:color w:val="auto"/>
        </w:rPr>
        <w:t>EBITDA of $356.7 million compared with $292.3 million; adjusted EBITDA of $379.0 million compared with $294.3 million</w:t>
      </w:r>
    </w:p>
    <w:p>
      <w:pPr>
        <w:spacing w:after="0" w:line="65" w:lineRule="exact"/>
        <w:rPr>
          <w:rFonts w:ascii="Arial" w:cs="Arial" w:eastAsia="Arial" w:hAnsi="Arial"/>
          <w:sz w:val="19"/>
          <w:szCs w:val="19"/>
          <w:color w:val="007DC6"/>
        </w:rPr>
      </w:pPr>
    </w:p>
    <w:p>
      <w:pPr>
        <w:ind w:left="760" w:hanging="374"/>
        <w:spacing w:after="0"/>
        <w:tabs>
          <w:tab w:leader="none" w:pos="760" w:val="left"/>
        </w:tabs>
        <w:numPr>
          <w:ilvl w:val="0"/>
          <w:numId w:val="27"/>
        </w:numPr>
        <w:rPr>
          <w:rFonts w:ascii="Arial" w:cs="Arial" w:eastAsia="Arial" w:hAnsi="Arial"/>
          <w:sz w:val="20"/>
          <w:szCs w:val="20"/>
          <w:color w:val="007DC6"/>
        </w:rPr>
      </w:pPr>
      <w:r>
        <w:rPr>
          <w:rFonts w:ascii="Arial" w:cs="Arial" w:eastAsia="Arial" w:hAnsi="Arial"/>
          <w:sz w:val="20"/>
          <w:szCs w:val="20"/>
          <w:color w:val="auto"/>
        </w:rPr>
        <w:t>Earnings per diluted share (EPS) of $2.92 compared with $2.25; adjusted EPS of $3.25 compared with $2.27</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total revenues, gross profit (loss), selling, general and administrative (SG&amp;A) expenses and earnings (loss) from operations data for the Company and its reportable segments by product line for the three-months ended June 30, 2018 and 2017. In each case, the data is stated as a percentage of total products and services revenues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of the Company or the relevant segment or product line, as the case may be. Prior-year information has been reclassified to conform to current year revenue presentation.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20"/>
                <w:szCs w:val="20"/>
                <w:color w:val="auto"/>
                <w:w w:val="95"/>
              </w:rPr>
              <w:t>Three-Months Ended June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325,578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4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269,914</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109,082</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88,538</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230,648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219,461</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620"/>
              <w:spacing w:after="0"/>
              <w:rPr>
                <w:sz w:val="20"/>
                <w:szCs w:val="20"/>
                <w:color w:val="auto"/>
              </w:rPr>
            </w:pPr>
            <w:r>
              <w:rPr>
                <w:rFonts w:ascii="Arial" w:cs="Arial" w:eastAsia="Arial" w:hAnsi="Arial"/>
                <w:sz w:val="20"/>
                <w:szCs w:val="20"/>
                <w:color w:val="auto"/>
              </w:rPr>
              <w:t>Cement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113,148</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98,937</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277,202</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241,871</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83,140</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82,943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(78,178)</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(70,549)</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1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1,060,620</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931,115</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68,821</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62,380</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1,129,441</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993,495</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40" w:type="dxa"/>
            <w:vAlign w:val="bottom"/>
          </w:tcPr>
          <w:p>
            <w:pPr>
              <w:ind w:left="140"/>
              <w:spacing w:after="0"/>
              <w:rPr>
                <w:sz w:val="20"/>
                <w:szCs w:val="20"/>
                <w:color w:val="auto"/>
              </w:rPr>
            </w:pPr>
            <w:r>
              <w:rPr>
                <w:rFonts w:ascii="Arial" w:cs="Arial" w:eastAsia="Arial" w:hAnsi="Arial"/>
                <w:sz w:val="20"/>
                <w:szCs w:val="20"/>
                <w:color w:val="auto"/>
              </w:rPr>
              <w:t>Products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68,157</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65,728</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4,805</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4,301</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72,962</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70,029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0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1,202,403</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1,063,524</w:t>
            </w:r>
          </w:p>
        </w:tc>
        <w:tc>
          <w:tcPr>
            <w:tcW w:w="3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20"/>
                <w:szCs w:val="20"/>
                <w:color w:val="auto"/>
                <w:w w:val="95"/>
              </w:rPr>
              <w:t>Three-Months Ended June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Mid-America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120,821</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37.1</w:t>
            </w: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98,608</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20,070</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18,931</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West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57,649</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55,473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600"/>
              <w:spacing w:after="0"/>
              <w:rPr>
                <w:sz w:val="20"/>
                <w:szCs w:val="20"/>
                <w:color w:val="auto"/>
              </w:rPr>
            </w:pPr>
            <w:r>
              <w:rPr>
                <w:rFonts w:ascii="Arial" w:cs="Arial" w:eastAsia="Arial" w:hAnsi="Arial"/>
                <w:sz w:val="20"/>
                <w:szCs w:val="20"/>
                <w:color w:val="auto"/>
              </w:rPr>
              <w:t>Cement</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41,305</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36.5</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29,369</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Ready mixed concrete</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29,952</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26,840</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Asphalt and paving</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18,512</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20,314</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288,309</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249,535</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621</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288,907</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250,156</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6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24,870</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24,798</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(1,028)</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(1,174)</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 Magnesia Specialties Business</w:t>
            </w:r>
          </w:p>
        </w:tc>
        <w:tc>
          <w:tcPr>
            <w:tcW w:w="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23,842</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23,624</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3,168</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314</w:t>
            </w:r>
          </w:p>
        </w:tc>
        <w:tc>
          <w:tcPr>
            <w:tcW w:w="32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315,917</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274,094</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14,016</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13,720</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4,833</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27,161</w:t>
            </w: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25,874</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46,010</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44,041</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2,505</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2,429</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22,555</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21,903</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71,070</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5.9</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68,373</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20"/>
                <w:szCs w:val="20"/>
                <w:color w:val="auto"/>
                <w:w w:val="95"/>
              </w:rPr>
              <w:t>Three-Months Ended June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Borders>
              <w:bottom w:val="single" w:sz="8" w:color="CFF0FC"/>
            </w:tcBorders>
          </w:tcPr>
          <w:p>
            <w:pPr>
              <w:spacing w:after="0"/>
              <w:rPr>
                <w:sz w:val="20"/>
                <w:szCs w:val="20"/>
                <w:color w:val="auto"/>
              </w:rPr>
            </w:pPr>
          </w:p>
        </w:tc>
      </w:tr>
      <w:tr>
        <w:trPr>
          <w:trHeight w:val="237"/>
        </w:trPr>
        <w:tc>
          <w:tcPr>
            <w:tcW w:w="39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60" w:type="dxa"/>
            <w:vAlign w:val="bottom"/>
            <w:gridSpan w:val="6"/>
            <w:shd w:val="clear" w:color="auto" w:fill="CFF0FC"/>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1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108,709</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85,363</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32,052</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14,334</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1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122,844</w:t>
            </w: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112,491</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263,605</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212,188</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Magnesia Specialties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21,329</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21,118</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(20,981)</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(20,454)</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20"/>
                <w:szCs w:val="20"/>
                <w:color w:val="auto"/>
              </w:rPr>
              <w:t>Total</w:t>
            </w:r>
          </w:p>
        </w:tc>
        <w:tc>
          <w:tcPr>
            <w:tcW w:w="1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263,953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22.0</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212,852</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29" w:lineRule="exact"/>
        <w:rPr>
          <w:sz w:val="20"/>
          <w:szCs w:val="20"/>
          <w:color w:val="auto"/>
        </w:rPr>
      </w:pPr>
    </w:p>
    <w:p>
      <w:pPr>
        <w:jc w:val="center"/>
        <w:ind w:left="582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left="5820"/>
        <w:spacing w:after="0"/>
        <w:rPr>
          <w:sz w:val="20"/>
          <w:szCs w:val="20"/>
          <w:color w:val="auto"/>
        </w:rPr>
      </w:pPr>
      <w:r>
        <w:rPr>
          <w:rFonts w:ascii="Arial" w:cs="Arial" w:eastAsia="Arial" w:hAnsi="Arial"/>
          <w:sz w:val="20"/>
          <w:szCs w:val="20"/>
          <w:color w:val="auto"/>
        </w:rPr>
        <w:t>June 30,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Borders>
              <w:bottom w:val="single" w:sz="8" w:color="CFF0FC"/>
            </w:tcBorders>
          </w:tcPr>
          <w:p>
            <w:pPr>
              <w:spacing w:after="0"/>
              <w:rPr>
                <w:sz w:val="20"/>
                <w:szCs w:val="20"/>
                <w:color w:val="auto"/>
              </w:rPr>
            </w:pPr>
          </w:p>
        </w:tc>
        <w:tc>
          <w:tcPr>
            <w:tcW w:w="17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20"/>
                <w:szCs w:val="20"/>
                <w:color w:val="auto"/>
              </w:rPr>
              <w:t>Volume</w:t>
            </w:r>
          </w:p>
        </w:tc>
        <w:tc>
          <w:tcPr>
            <w:tcW w:w="6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CFF0FC"/>
            </w:tcBorders>
          </w:tcPr>
          <w:p>
            <w:pPr>
              <w:spacing w:after="0"/>
              <w:rPr>
                <w:sz w:val="20"/>
                <w:szCs w:val="20"/>
                <w:color w:val="auto"/>
              </w:rPr>
            </w:pPr>
          </w:p>
        </w:tc>
        <w:tc>
          <w:tcPr>
            <w:tcW w:w="23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6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7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7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4.6%</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6.3%</w:t>
            </w:r>
          </w:p>
        </w:tc>
      </w:tr>
      <w:tr>
        <w:trPr>
          <w:trHeight w:val="243"/>
        </w:trPr>
        <w:tc>
          <w:tcPr>
            <w:tcW w:w="778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3.4%</w:t>
            </w:r>
          </w:p>
        </w:tc>
        <w:tc>
          <w:tcPr>
            <w:tcW w:w="2560" w:type="dxa"/>
            <w:vAlign w:val="bottom"/>
            <w:gridSpan w:val="2"/>
          </w:tcPr>
          <w:p>
            <w:pPr>
              <w:jc w:val="right"/>
              <w:ind w:right="20"/>
              <w:spacing w:after="0"/>
              <w:rPr>
                <w:sz w:val="20"/>
                <w:szCs w:val="20"/>
                <w:color w:val="auto"/>
              </w:rPr>
            </w:pPr>
            <w:r>
              <w:rPr>
                <w:rFonts w:ascii="Arial" w:cs="Arial" w:eastAsia="Arial" w:hAnsi="Arial"/>
                <w:sz w:val="20"/>
                <w:szCs w:val="20"/>
                <w:color w:val="auto"/>
              </w:rPr>
              <w:t>1.5%</w:t>
            </w:r>
          </w:p>
        </w:tc>
      </w:tr>
      <w:tr>
        <w:trPr>
          <w:trHeight w:val="243"/>
        </w:trPr>
        <w:tc>
          <w:tcPr>
            <w:tcW w:w="77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2.0%</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3.2%</w:t>
            </w:r>
          </w:p>
        </w:tc>
      </w:tr>
      <w:tr>
        <w:trPr>
          <w:trHeight w:val="243"/>
        </w:trPr>
        <w:tc>
          <w:tcPr>
            <w:tcW w:w="7780" w:type="dxa"/>
            <w:vAlign w:val="bottom"/>
            <w:gridSpan w:val="2"/>
          </w:tcPr>
          <w:p>
            <w:pPr>
              <w:spacing w:after="0"/>
              <w:rPr>
                <w:sz w:val="20"/>
                <w:szCs w:val="20"/>
                <w:color w:val="auto"/>
              </w:rPr>
            </w:pPr>
            <w:r>
              <w:rPr>
                <w:rFonts w:ascii="Arial" w:cs="Arial" w:eastAsia="Arial" w:hAnsi="Arial"/>
                <w:sz w:val="20"/>
                <w:szCs w:val="20"/>
                <w:color w:val="auto"/>
              </w:rPr>
              <w:t>Total Heritage Aggregates Operations</w:t>
            </w: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3.4%</w:t>
            </w:r>
          </w:p>
        </w:tc>
        <w:tc>
          <w:tcPr>
            <w:tcW w:w="2560" w:type="dxa"/>
            <w:vAlign w:val="bottom"/>
            <w:gridSpan w:val="2"/>
          </w:tcPr>
          <w:p>
            <w:pPr>
              <w:jc w:val="right"/>
              <w:ind w:right="20"/>
              <w:spacing w:after="0"/>
              <w:rPr>
                <w:sz w:val="20"/>
                <w:szCs w:val="20"/>
                <w:color w:val="auto"/>
              </w:rPr>
            </w:pPr>
            <w:r>
              <w:rPr>
                <w:rFonts w:ascii="Arial" w:cs="Arial" w:eastAsia="Arial" w:hAnsi="Arial"/>
                <w:sz w:val="20"/>
                <w:szCs w:val="20"/>
                <w:color w:val="auto"/>
              </w:rPr>
              <w:t>4.4%</w:t>
            </w:r>
          </w:p>
        </w:tc>
      </w:tr>
      <w:tr>
        <w:trPr>
          <w:trHeight w:val="243"/>
        </w:trPr>
        <w:tc>
          <w:tcPr>
            <w:tcW w:w="77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11.3%</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w:t>
            </w: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6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Arial" w:cs="Arial" w:eastAsia="Arial" w:hAnsi="Arial"/>
                <w:sz w:val="20"/>
                <w:szCs w:val="20"/>
                <w:i w:val="1"/>
                <w:iCs w:val="1"/>
                <w:color w:val="auto"/>
                <w:w w:val="91"/>
              </w:rPr>
              <w:t>(Tons in Thousands)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21,448</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20,513</w:t>
            </w: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740" w:type="dxa"/>
            <w:vAlign w:val="bottom"/>
          </w:tcPr>
          <w:p>
            <w:pPr>
              <w:jc w:val="right"/>
              <w:spacing w:after="0"/>
              <w:rPr>
                <w:sz w:val="20"/>
                <w:szCs w:val="20"/>
                <w:color w:val="auto"/>
              </w:rPr>
            </w:pPr>
            <w:r>
              <w:rPr>
                <w:rFonts w:ascii="Arial" w:cs="Arial" w:eastAsia="Arial" w:hAnsi="Arial"/>
                <w:sz w:val="20"/>
                <w:szCs w:val="20"/>
                <w:color w:val="auto"/>
              </w:rPr>
              <w:t>5,378</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5,203</w:t>
            </w: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18,065</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17,707</w:t>
            </w:r>
          </w:p>
        </w:tc>
        <w:tc>
          <w:tcPr>
            <w:tcW w:w="120" w:type="dxa"/>
            <w:vAlign w:val="bottom"/>
            <w:shd w:val="clear" w:color="auto" w:fill="CFF0FC"/>
          </w:tcPr>
          <w:p>
            <w:pPr>
              <w:spacing w:after="0"/>
              <w:rPr>
                <w:sz w:val="21"/>
                <w:szCs w:val="21"/>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Heritage Aggregates Operations</w:t>
            </w:r>
          </w:p>
        </w:tc>
        <w:tc>
          <w:tcPr>
            <w:tcW w:w="1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44,891</w:t>
            </w:r>
          </w:p>
        </w:tc>
        <w:tc>
          <w:tcPr>
            <w:tcW w:w="3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43,423</w:t>
            </w: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48,319</w:t>
            </w: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43,423</w:t>
            </w:r>
          </w:p>
        </w:tc>
        <w:tc>
          <w:tcPr>
            <w:tcW w:w="12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28"/>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63" w:lineRule="exact"/>
        <w:rPr>
          <w:rFonts w:ascii="Arial" w:cs="Arial" w:eastAsia="Arial" w:hAnsi="Arial"/>
          <w:sz w:val="15"/>
          <w:szCs w:val="15"/>
          <w:i w:val="1"/>
          <w:iCs w:val="1"/>
          <w:color w:val="auto"/>
        </w:rPr>
      </w:pPr>
    </w:p>
    <w:p>
      <w:pPr>
        <w:ind w:left="240" w:hanging="232"/>
        <w:spacing w:after="0"/>
        <w:tabs>
          <w:tab w:leader="none" w:pos="240" w:val="left"/>
        </w:tabs>
        <w:numPr>
          <w:ilvl w:val="0"/>
          <w:numId w:val="28"/>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operations exclude acquisitions that have not been included in prior-year operations for the comparable period.</w:t>
      </w:r>
    </w:p>
    <w:p>
      <w:pPr>
        <w:spacing w:after="0" w:line="63" w:lineRule="exact"/>
        <w:rPr>
          <w:rFonts w:ascii="Arial" w:cs="Arial" w:eastAsia="Arial" w:hAnsi="Arial"/>
          <w:sz w:val="15"/>
          <w:szCs w:val="15"/>
          <w:i w:val="1"/>
          <w:iCs w:val="1"/>
          <w:color w:val="auto"/>
        </w:rPr>
      </w:pPr>
    </w:p>
    <w:p>
      <w:pPr>
        <w:ind w:left="240" w:hanging="232"/>
        <w:spacing w:after="0"/>
        <w:tabs>
          <w:tab w:leader="none" w:pos="240" w:val="left"/>
        </w:tabs>
        <w:numPr>
          <w:ilvl w:val="0"/>
          <w:numId w:val="28"/>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During the quarter, aggregates shipments to all three of the Company’s primary end-use markets increased, demonstrating the breadth of the overall construction recovery. However, the limited availability of transportation and tight contractor labor markets pose challenges for more efficient throughput. Specifically, suboptimal railroad performance, limited truck availability and contractor capacity limitations, including their notable employee shortages, muted the Company’s overall second-quarter volume growth. However, as capital and increased wages flow into the construction sector, the Company expects these temporary bottlenecks will abate, allowing supply and demand to reach equilibrium.</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Inclusive of acquired operations, aggregates product revenues increased 15.1% for the quarter, reflecting volume growth of 11.3% and pricing growth of 3.5%. Heritage volume and pricing improved 3.4% and 4.4%, respectively. Shipments for the Mid-America Group heritage operations increased 4.6%, driven by several large public and private construction projects in North Carolina. These operations generated heritage pricing gains of 6.3%, driven by continued price discipline. Shipments for the Southeast Group heritage operations increased 3.4%, driven by strong construction activity in North Georgia. Weather and railroad inefficiencies hindered long-haul shipments from South Georgia to distribution yards in Florida, negatively affecting shipments and limited pricing growth to 1.5%. West Group shipments improved 2.0%. Notably, all districts in the Southwest Division posted volume growth; however, this volume growth was partially offset by reduced Colorado volumes resulting from project delays and lower ballast sales. West Group pricing improved 3.2%, reflecting robust pricing in Colorado that was offset by product mix, partially offset a lower percentage of commercial rail-shipped volumes in Texas.</w:t>
      </w:r>
    </w:p>
    <w:p>
      <w:pPr>
        <w:spacing w:after="0" w:line="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Heritage aggregates shipments to the infrastructure market increased 2%, driven by large public projects in North Carolina and partially offset by project delays in Texas and Colorado as well as the previously-noted poor railroad service in Texas, South Georgia and Florida. The Company is encouraged by the recent acceleration of state lettings and contract awards; however, some contractors are reporting a longer lag time between contract awards and the commencement of projects. As state Departments of Transportation (DOTs) and contractors address labor constraints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the broader industry benefits from further regulatory reform, management remains confident that infrastructure demand will continue to improve from the funding provided by the </w:t>
      </w:r>
      <w:r>
        <w:rPr>
          <w:rFonts w:ascii="Arial" w:cs="Arial" w:eastAsia="Arial" w:hAnsi="Arial"/>
          <w:sz w:val="20"/>
          <w:szCs w:val="20"/>
          <w:i w:val="1"/>
          <w:iCs w:val="1"/>
          <w:color w:val="auto"/>
        </w:rPr>
        <w:t>Fixing America’s Surface Transportation Act</w:t>
      </w:r>
      <w:r>
        <w:rPr>
          <w:rFonts w:ascii="Arial" w:cs="Arial" w:eastAsia="Arial" w:hAnsi="Arial"/>
          <w:sz w:val="20"/>
          <w:szCs w:val="20"/>
          <w:color w:val="auto"/>
        </w:rPr>
        <w:t xml:space="preserve"> (FAST Act) and numerous state and local transportation initiatives. Notably, once awarded, public construction projects are typically certain to be fully completed; thus, delays from weather or other factors merely extend the duration of the construction cycle for the Company’s single largest end use. Overall, aggregates shipments to the infrastructure market comprised 40% of second-quarter aggregates volumes, which remains below the Company’s most recent five-year average of 43%.</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Heritage aggregates shipments to the nonresidential market increased 6%, driven by both commercial and heavy industrial construction activity. Additionally, ongoing energy-sector project approvals, supported by higher oil prices, underpin management’s expectation that the next wave of these large projects, particularly along the Gulf Coast, will contribute to increased aggregates demand for the next several years. The nonresidential market represented 33% of second-quarter aggregates shipments.</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Heritage aggregates shipments to the residential market increased 11%. Six of the Company’s key states - Texas, Florida, North Carolina, Colorado, Georgia and South Carolina - rank in the top ten nationally for growth in single-family housing unit starts for the trailing-twelve months ended May 2018. The residential construction outlook across the Company’s geographic footprint remains positive for both single- and multi-family housing, driven by favorable demographics, job growth, land availability and efficient permitting. The residential market accounted for 22% of second-quarter aggregates shipments.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ChemRock/Rail market accounted for the remaining 5% of second-quarter heritage aggregates shipments. Shipments to this sector declined 21%, reflective of the timing of certain purchases by East Coast railroads in the prior-year quarter as well as reduced ballast shipments due to lower maintenance spending by Class I railroads.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4"/>
          </w:tcPr>
          <w:p>
            <w:pPr>
              <w:ind w:left="160"/>
              <w:spacing w:after="0"/>
              <w:rPr>
                <w:sz w:val="20"/>
                <w:szCs w:val="20"/>
                <w:color w:val="auto"/>
              </w:rPr>
            </w:pPr>
            <w:r>
              <w:rPr>
                <w:rFonts w:ascii="Arial" w:cs="Arial" w:eastAsia="Arial" w:hAnsi="Arial"/>
                <w:sz w:val="20"/>
                <w:szCs w:val="20"/>
                <w:color w:val="auto"/>
              </w:rPr>
              <w:t>Three-Months Ended</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4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June 30,</w:t>
            </w: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44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Aggregates - heritage (per ton)</w:t>
            </w:r>
          </w:p>
        </w:tc>
        <w:tc>
          <w:tcPr>
            <w:tcW w:w="1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13.82</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13.24</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4.4%</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Aggregates - acquisition (per ton)</w:t>
            </w:r>
          </w:p>
        </w:tc>
        <w:tc>
          <w:tcPr>
            <w:tcW w:w="238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12.08</w:t>
            </w:r>
          </w:p>
        </w:tc>
        <w:tc>
          <w:tcPr>
            <w:tcW w:w="144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Cement (per ton)</w:t>
            </w:r>
          </w:p>
        </w:tc>
        <w:tc>
          <w:tcPr>
            <w:tcW w:w="238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109.11</w:t>
            </w:r>
          </w:p>
        </w:tc>
        <w:tc>
          <w:tcPr>
            <w:tcW w:w="144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106.31</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2.6%</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Ready Mixed Concrete (per cubic yard)</w:t>
            </w:r>
          </w:p>
        </w:tc>
        <w:tc>
          <w:tcPr>
            <w:tcW w:w="238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106.65</w:t>
            </w:r>
          </w:p>
        </w:tc>
        <w:tc>
          <w:tcPr>
            <w:tcW w:w="144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106.90</w:t>
            </w:r>
          </w:p>
        </w:tc>
        <w:tc>
          <w:tcPr>
            <w:tcW w:w="36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(0.2)%</w:t>
            </w: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Asphalt (per ton)</w:t>
            </w:r>
          </w:p>
        </w:tc>
        <w:tc>
          <w:tcPr>
            <w:tcW w:w="238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44.70</w:t>
            </w:r>
          </w:p>
        </w:tc>
        <w:tc>
          <w:tcPr>
            <w:tcW w:w="144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42.48</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Heritage: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41,762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40,411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3,129</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3,012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heritage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44,891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43,423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tcPr>
          <w:p>
            <w:pPr>
              <w:ind w:left="120"/>
              <w:spacing w:after="0" w:line="224" w:lineRule="exact"/>
              <w:rPr>
                <w:sz w:val="20"/>
                <w:szCs w:val="20"/>
                <w:color w:val="auto"/>
              </w:rPr>
            </w:pPr>
            <w:r>
              <w:rPr>
                <w:rFonts w:ascii="Arial" w:cs="Arial" w:eastAsia="Arial" w:hAnsi="Arial"/>
                <w:sz w:val="20"/>
                <w:szCs w:val="20"/>
                <w:color w:val="auto"/>
              </w:rPr>
              <w:t>Acquisitions: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acquisition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7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653</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0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1,028</w:t>
            </w:r>
          </w:p>
        </w:tc>
        <w:tc>
          <w:tcPr>
            <w:tcW w:w="28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tcPr>
          <w:p>
            <w:pPr>
              <w:jc w:val="right"/>
              <w:spacing w:after="0"/>
              <w:rPr>
                <w:sz w:val="20"/>
                <w:szCs w:val="20"/>
                <w:color w:val="auto"/>
              </w:rPr>
            </w:pPr>
            <w:r>
              <w:rPr>
                <w:rFonts w:ascii="Arial" w:cs="Arial" w:eastAsia="Arial" w:hAnsi="Arial"/>
                <w:sz w:val="20"/>
                <w:szCs w:val="20"/>
                <w:color w:val="auto"/>
              </w:rPr>
              <w:t>2,559</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2,226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tcPr>
          <w:p>
            <w:pPr>
              <w:jc w:val="right"/>
              <w:spacing w:after="0"/>
              <w:rPr>
                <w:sz w:val="20"/>
                <w:szCs w:val="20"/>
                <w:color w:val="auto"/>
              </w:rPr>
            </w:pPr>
            <w:r>
              <w:rPr>
                <w:rFonts w:ascii="Arial" w:cs="Arial" w:eastAsia="Arial" w:hAnsi="Arial"/>
                <w:sz w:val="20"/>
                <w:szCs w:val="20"/>
                <w:color w:val="auto"/>
              </w:rPr>
              <w:t>635</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987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Second-quarter cement product revenues increased 14.4%. Shipments and pricing improved 11.6% and 2.6%, respectively, reflecting robust demand in North and South Texas. These factors, coupled with increased production efficiencies, contributed to the 680-basis-point improvement in product gross margin to 36.5%.</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Ready mixed concrete shipments increased 15.0%, driven primarily by strong construction activity in Texas, particularly in the Dallas/Fort Worth market. Overall, second-quarter ready mixed concrete prices decreased slightly, with lower energy-sector shipments and product mix in Texas offsetting the 5.9% pricing growth in Colorado and solid pricing gains in Dallas/Fort Worth. Project delays contributed to the 6.0% decrease in asphalt shipments, while rising raw material costs allowed for favorable pricing during the quarter.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Magnesia Specialties reported second-quarter total products revenue of $68.2 million compared with $65.7 million. Products gross profit was $24.9 million compared with $24.8 million and earnings from operations were $21.3 million compared with $21.1 million. Higher costs for energy and contract services contributed to a 120-basis-point reduction of second-quarter product gross margin to 36.5%.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Consolidated gross profit, quarter ended June 30, 2017</w:t>
            </w:r>
          </w:p>
        </w:tc>
        <w:tc>
          <w:tcPr>
            <w:tcW w:w="680" w:type="dxa"/>
            <w:vAlign w:val="bottom"/>
            <w:tcBorders>
              <w:bottom w:val="single" w:sz="8" w:color="auto"/>
            </w:tcBorders>
            <w:shd w:val="clear" w:color="auto" w:fill="CFF0FC"/>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274,094</w:t>
            </w:r>
          </w:p>
        </w:tc>
        <w:tc>
          <w:tcPr>
            <w:tcW w:w="100" w:type="dxa"/>
            <w:vAlign w:val="bottom"/>
            <w:shd w:val="clear" w:color="auto" w:fill="CFF0FC"/>
          </w:tcPr>
          <w:p>
            <w:pPr>
              <w:spacing w:after="0"/>
              <w:rPr>
                <w:sz w:val="21"/>
                <w:szCs w:val="21"/>
                <w:color w:val="auto"/>
              </w:rPr>
            </w:pPr>
          </w:p>
        </w:tc>
      </w:tr>
      <w:tr>
        <w:trPr>
          <w:trHeight w:val="237"/>
        </w:trPr>
        <w:tc>
          <w:tcPr>
            <w:tcW w:w="9400" w:type="dxa"/>
            <w:vAlign w:val="bottom"/>
          </w:tcPr>
          <w:p>
            <w:pPr>
              <w:spacing w:after="0"/>
              <w:rPr>
                <w:sz w:val="20"/>
                <w:szCs w:val="20"/>
                <w:color w:val="auto"/>
              </w:rPr>
            </w:pPr>
            <w:r>
              <w:rPr>
                <w:rFonts w:ascii="Arial" w:cs="Arial" w:eastAsia="Arial" w:hAnsi="Arial"/>
                <w:sz w:val="20"/>
                <w:szCs w:val="20"/>
                <w:color w:val="auto"/>
              </w:rPr>
              <w:t>Aggregates products: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60,844</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Pricing</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26,333</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Cost increases, net</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(61,649)</w:t>
            </w:r>
          </w:p>
        </w:tc>
      </w:tr>
      <w:tr>
        <w:trPr>
          <w:trHeight w:val="237"/>
        </w:trPr>
        <w:tc>
          <w:tcPr>
            <w:tcW w:w="9400" w:type="dxa"/>
            <w:vAlign w:val="bottom"/>
          </w:tcPr>
          <w:p>
            <w:pPr>
              <w:spacing w:after="0"/>
              <w:rPr>
                <w:sz w:val="20"/>
                <w:szCs w:val="20"/>
                <w:color w:val="auto"/>
              </w:rPr>
            </w:pPr>
            <w:r>
              <w:rPr>
                <w:rFonts w:ascii="Arial" w:cs="Arial" w:eastAsia="Arial" w:hAnsi="Arial"/>
                <w:sz w:val="20"/>
                <w:szCs w:val="20"/>
                <w:color w:val="auto"/>
              </w:rPr>
              <w:t>Change in aggregates products gross profit</w:t>
            </w:r>
          </w:p>
        </w:tc>
        <w:tc>
          <w:tcPr>
            <w:tcW w:w="6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25,528</w:t>
            </w:r>
          </w:p>
        </w:tc>
        <w:tc>
          <w:tcPr>
            <w:tcW w:w="100" w:type="dxa"/>
            <w:vAlign w:val="bottom"/>
          </w:tcPr>
          <w:p>
            <w:pPr>
              <w:spacing w:after="0"/>
              <w:rPr>
                <w:sz w:val="20"/>
                <w:szCs w:val="20"/>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13,246</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Magnesia Specialties products</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2,854</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Freight</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w:t>
            </w:r>
          </w:p>
        </w:tc>
        <w:tc>
          <w:tcPr>
            <w:tcW w:w="100" w:type="dxa"/>
            <w:vAlign w:val="bottom"/>
            <w:tcBorders>
              <w:bottom w:val="single" w:sz="8" w:color="CFF0FC"/>
            </w:tcBorders>
          </w:tcPr>
          <w:p>
            <w:pPr>
              <w:spacing w:after="0"/>
              <w:rPr>
                <w:sz w:val="21"/>
                <w:szCs w:val="21"/>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Change in consolidated gross profit</w:t>
            </w:r>
          </w:p>
        </w:tc>
        <w:tc>
          <w:tcPr>
            <w:tcW w:w="6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41,823</w:t>
            </w:r>
          </w:p>
        </w:tc>
        <w:tc>
          <w:tcPr>
            <w:tcW w:w="100" w:type="dxa"/>
            <w:vAlign w:val="bottom"/>
            <w:shd w:val="clear" w:color="auto" w:fill="CFF0FC"/>
          </w:tcPr>
          <w:p>
            <w:pPr>
              <w:spacing w:after="0"/>
              <w:rPr>
                <w:sz w:val="20"/>
                <w:szCs w:val="20"/>
                <w:color w:val="auto"/>
              </w:rPr>
            </w:pPr>
          </w:p>
        </w:tc>
      </w:tr>
      <w:tr>
        <w:trPr>
          <w:trHeight w:val="237"/>
        </w:trPr>
        <w:tc>
          <w:tcPr>
            <w:tcW w:w="9400" w:type="dxa"/>
            <w:vAlign w:val="bottom"/>
          </w:tcPr>
          <w:p>
            <w:pPr>
              <w:spacing w:after="0"/>
              <w:rPr>
                <w:sz w:val="20"/>
                <w:szCs w:val="20"/>
                <w:color w:val="auto"/>
              </w:rPr>
            </w:pPr>
            <w:r>
              <w:rPr>
                <w:rFonts w:ascii="Arial" w:cs="Arial" w:eastAsia="Arial" w:hAnsi="Arial"/>
                <w:sz w:val="20"/>
                <w:szCs w:val="20"/>
                <w:color w:val="auto"/>
              </w:rPr>
              <w:t>Consolidated gross profit, quarter ended June 30, 2018</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315,917</w:t>
            </w:r>
          </w:p>
        </w:tc>
        <w:tc>
          <w:tcPr>
            <w:tcW w:w="100" w:type="dxa"/>
            <w:vAlign w:val="bottom"/>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Cost increases, net, includes the nonrecurring $10.2 million negative impact of selling acquired inventory due to the markup to fair value as a part of acquisition accounting.</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Cement outage costs, which reflect planned and unplanned plant shutdowns, were $5.0 million for the quarter compared with $4.1 million for the prior-year quarter.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SG&amp;A was 5.9% of total revenues compared with 6.4% in the prior-year quarter, a 50-basis-point improvement. Earnings from operations for the quarter were $264.0 million in 2018 compared with $212.9 million in 2017.</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net, was $31.2 million in 2018 and $9.1 million in 2017. The increase in other operating income, net, is primarily driven by a gain on the sale of surplus land of $16.9 million and a net gain on litigation and related settlements of $7.7 million in 2018. The 2017 amount includes a $13.5 million gain on the sale of real estate and $6.1 million of expense, including both cash and stock-based compensation components, related to the retirement of a senior executive officer.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nonoperating income, net, includes interest income; pension and postretirement benefit cost, excluding service cost; foreign currency transaction gains and losses; equity in earnings or losses of nonconsolidated affiliates and other miscellaneous income. For the second quarter, other nonoperating income, net, was $7.1 million and $5.4 million in 2018 and 2017, respectively. The increase in 2018 compared with 2017 reflects higher interest income and lower pension expense.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six-months ended June 30, 2018 (unless noted, all comparisons are versus the prior-year period):</w:t>
      </w:r>
    </w:p>
    <w:p>
      <w:pPr>
        <w:spacing w:after="0" w:line="108"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20"/>
          <w:szCs w:val="20"/>
          <w:color w:val="007DC6"/>
        </w:rPr>
      </w:pPr>
      <w:r>
        <w:rPr>
          <w:rFonts w:ascii="Arial" w:cs="Arial" w:eastAsia="Arial" w:hAnsi="Arial"/>
          <w:sz w:val="20"/>
          <w:szCs w:val="20"/>
          <w:color w:val="auto"/>
        </w:rPr>
        <w:t>Consolidated total revenues of $2.00 billion increased 5.1% compared with $1.91 billion</w:t>
      </w:r>
    </w:p>
    <w:p>
      <w:pPr>
        <w:spacing w:after="0" w:line="53" w:lineRule="exact"/>
        <w:rPr>
          <w:rFonts w:ascii="Arial" w:cs="Arial" w:eastAsia="Arial" w:hAnsi="Arial"/>
          <w:sz w:val="20"/>
          <w:szCs w:val="20"/>
          <w:color w:val="007DC6"/>
        </w:rPr>
      </w:pPr>
    </w:p>
    <w:p>
      <w:pPr>
        <w:ind w:left="760" w:hanging="374"/>
        <w:spacing w:after="0" w:line="260" w:lineRule="auto"/>
        <w:tabs>
          <w:tab w:leader="none" w:pos="760" w:val="left"/>
        </w:tabs>
        <w:numPr>
          <w:ilvl w:val="0"/>
          <w:numId w:val="29"/>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$1.75 billion compared with $1.66 billion and Magnesia Specialties products revenue of $133.0 million compared with $130.0 million</w:t>
      </w:r>
    </w:p>
    <w:p>
      <w:pPr>
        <w:spacing w:after="0" w:line="14" w:lineRule="exact"/>
        <w:rPr>
          <w:rFonts w:ascii="Arial" w:cs="Arial" w:eastAsia="Arial" w:hAnsi="Arial"/>
          <w:sz w:val="20"/>
          <w:szCs w:val="20"/>
          <w:color w:val="007DC6"/>
        </w:rPr>
      </w:pPr>
    </w:p>
    <w:p>
      <w:pPr>
        <w:ind w:left="760" w:hanging="374"/>
        <w:spacing w:after="0"/>
        <w:tabs>
          <w:tab w:leader="none" w:pos="760" w:val="left"/>
        </w:tabs>
        <w:numPr>
          <w:ilvl w:val="0"/>
          <w:numId w:val="29"/>
        </w:numPr>
        <w:rPr>
          <w:rFonts w:ascii="Arial" w:cs="Arial" w:eastAsia="Arial" w:hAnsi="Arial"/>
          <w:sz w:val="20"/>
          <w:szCs w:val="20"/>
          <w:color w:val="007DC6"/>
        </w:rPr>
      </w:pPr>
      <w:r>
        <w:rPr>
          <w:rFonts w:ascii="Arial" w:cs="Arial" w:eastAsia="Arial" w:hAnsi="Arial"/>
          <w:sz w:val="20"/>
          <w:szCs w:val="20"/>
          <w:color w:val="auto"/>
        </w:rPr>
        <w:t>Consolidated gross profit of $426.3 million compared with $421.2 million</w:t>
      </w:r>
    </w:p>
    <w:p>
      <w:pPr>
        <w:spacing w:after="0" w:line="53" w:lineRule="exact"/>
        <w:rPr>
          <w:rFonts w:ascii="Arial" w:cs="Arial" w:eastAsia="Arial" w:hAnsi="Arial"/>
          <w:sz w:val="20"/>
          <w:szCs w:val="20"/>
          <w:color w:val="007DC6"/>
        </w:rPr>
      </w:pPr>
    </w:p>
    <w:p>
      <w:pPr>
        <w:ind w:left="760" w:hanging="374"/>
        <w:spacing w:after="0" w:line="260" w:lineRule="auto"/>
        <w:tabs>
          <w:tab w:leader="none" w:pos="760" w:val="left"/>
        </w:tabs>
        <w:numPr>
          <w:ilvl w:val="0"/>
          <w:numId w:val="29"/>
        </w:numPr>
        <w:rPr>
          <w:rFonts w:ascii="Arial" w:cs="Arial" w:eastAsia="Arial" w:hAnsi="Arial"/>
          <w:sz w:val="20"/>
          <w:szCs w:val="20"/>
          <w:color w:val="007DC6"/>
        </w:rPr>
      </w:pPr>
      <w:r>
        <w:rPr>
          <w:rFonts w:ascii="Arial" w:cs="Arial" w:eastAsia="Arial" w:hAnsi="Arial"/>
          <w:sz w:val="20"/>
          <w:szCs w:val="20"/>
          <w:color w:val="auto"/>
        </w:rPr>
        <w:t>Consolidated earnings from operations of $303.0 million compared with $290.0 million; adjusted consolidated earnings from operations of $326.0 million compared with $292.0 million</w:t>
      </w:r>
    </w:p>
    <w:p>
      <w:pPr>
        <w:spacing w:after="0" w:line="14" w:lineRule="exact"/>
        <w:rPr>
          <w:rFonts w:ascii="Arial" w:cs="Arial" w:eastAsia="Arial" w:hAnsi="Arial"/>
          <w:sz w:val="20"/>
          <w:szCs w:val="20"/>
          <w:color w:val="007DC6"/>
        </w:rPr>
      </w:pPr>
    </w:p>
    <w:p>
      <w:pPr>
        <w:ind w:left="760" w:hanging="374"/>
        <w:spacing w:after="0"/>
        <w:tabs>
          <w:tab w:leader="none" w:pos="760" w:val="left"/>
        </w:tabs>
        <w:numPr>
          <w:ilvl w:val="0"/>
          <w:numId w:val="29"/>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$195.4 million compared with $184.6 million</w:t>
      </w:r>
    </w:p>
    <w:p>
      <w:pPr>
        <w:spacing w:after="0" w:line="53" w:lineRule="exact"/>
        <w:rPr>
          <w:rFonts w:ascii="Arial" w:cs="Arial" w:eastAsia="Arial" w:hAnsi="Arial"/>
          <w:sz w:val="20"/>
          <w:szCs w:val="20"/>
          <w:color w:val="007DC6"/>
        </w:rPr>
      </w:pPr>
    </w:p>
    <w:p>
      <w:pPr>
        <w:ind w:left="760" w:hanging="374"/>
        <w:spacing w:after="0"/>
        <w:tabs>
          <w:tab w:leader="none" w:pos="760" w:val="left"/>
        </w:tabs>
        <w:numPr>
          <w:ilvl w:val="0"/>
          <w:numId w:val="29"/>
        </w:numPr>
        <w:rPr>
          <w:rFonts w:ascii="Arial" w:cs="Arial" w:eastAsia="Arial" w:hAnsi="Arial"/>
          <w:sz w:val="19"/>
          <w:szCs w:val="19"/>
          <w:color w:val="007DC6"/>
        </w:rPr>
      </w:pPr>
      <w:r>
        <w:rPr>
          <w:rFonts w:ascii="Arial" w:cs="Arial" w:eastAsia="Arial" w:hAnsi="Arial"/>
          <w:sz w:val="19"/>
          <w:szCs w:val="19"/>
          <w:color w:val="auto"/>
        </w:rPr>
        <w:t>EBITDA of $479.9 million compared with $440.0 million; adjusted EBITDA of $502.9 million compared with $442.0 million</w:t>
      </w:r>
    </w:p>
    <w:p>
      <w:pPr>
        <w:spacing w:after="0" w:line="65" w:lineRule="exact"/>
        <w:rPr>
          <w:rFonts w:ascii="Arial" w:cs="Arial" w:eastAsia="Arial" w:hAnsi="Arial"/>
          <w:sz w:val="19"/>
          <w:szCs w:val="19"/>
          <w:color w:val="007DC6"/>
        </w:rPr>
      </w:pPr>
    </w:p>
    <w:p>
      <w:pPr>
        <w:ind w:left="760" w:hanging="374"/>
        <w:spacing w:after="0"/>
        <w:tabs>
          <w:tab w:leader="none" w:pos="760" w:val="left"/>
        </w:tabs>
        <w:numPr>
          <w:ilvl w:val="0"/>
          <w:numId w:val="29"/>
        </w:numPr>
        <w:rPr>
          <w:rFonts w:ascii="Arial" w:cs="Arial" w:eastAsia="Arial" w:hAnsi="Arial"/>
          <w:sz w:val="19"/>
          <w:szCs w:val="19"/>
          <w:color w:val="007DC6"/>
        </w:rPr>
      </w:pPr>
      <w:r>
        <w:rPr>
          <w:rFonts w:ascii="Arial" w:cs="Arial" w:eastAsia="Arial" w:hAnsi="Arial"/>
          <w:sz w:val="19"/>
          <w:szCs w:val="19"/>
          <w:color w:val="auto"/>
        </w:rPr>
        <w:t>Earnings per diluted share of $3.08 compared with $2.91; adjusted earnings per diluted share of $3.42 compared with $2.93</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presents total revenues, gross profit (loss), selling, general and administrative expenses and earnings (loss) from operations data for the Company and its reportable segments by product line for the six-months ended June 30, 2018 and 2017. In each case, the data is stated as a percentage of total products and services revenues of the Company or the relevant segment or product line, as the case may be. Prior-year information has been reclassified to conform to current year revenue presentation.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20"/>
                <w:szCs w:val="20"/>
                <w:color w:val="auto"/>
              </w:rPr>
              <w:t>Six-Months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2017</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493,468</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447,321</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186,646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175,264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410,210</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406,383</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62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202,331</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192,491</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495,738</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464,249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99,507</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104,680</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(138,843)</w:t>
            </w: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(131,258)</w:t>
            </w: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1,749,057</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1,659,130</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113,126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109,648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1,862,183</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1,768,778</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133,025</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130,029</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9,199</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8,576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142,224</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138,605</w:t>
            </w:r>
          </w:p>
        </w:tc>
        <w:tc>
          <w:tcPr>
            <w:tcW w:w="3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2,004,407</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1,907,383</w:t>
            </w:r>
          </w:p>
        </w:tc>
        <w:tc>
          <w:tcPr>
            <w:tcW w:w="3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20"/>
                <w:szCs w:val="20"/>
                <w:color w:val="auto"/>
              </w:rPr>
              <w:t>Six-Months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2017</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139,200</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124,962</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26,643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33,366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85,699</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93,639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60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65,038</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32.1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60,148</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45,593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46,630</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600"/>
              <w:spacing w:after="0"/>
              <w:rPr>
                <w:sz w:val="20"/>
                <w:szCs w:val="20"/>
                <w:color w:val="auto"/>
              </w:rPr>
            </w:pPr>
            <w:r>
              <w:rPr>
                <w:rFonts w:ascii="Arial" w:cs="Arial" w:eastAsia="Arial" w:hAnsi="Arial"/>
                <w:sz w:val="20"/>
                <w:szCs w:val="20"/>
                <w:color w:val="auto"/>
              </w:rPr>
              <w:t>Asphalt and paving</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10,873</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10.9</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15,573</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14.9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373,046</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374,318</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373,526</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375,346</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49,933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48,153</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(2,203)</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(2,214)</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47,730</w:t>
            </w:r>
          </w:p>
        </w:tc>
        <w:tc>
          <w:tcPr>
            <w:tcW w:w="3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33.6</w:t>
            </w: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45,939</w:t>
            </w:r>
          </w:p>
        </w:tc>
        <w:tc>
          <w:tcPr>
            <w:tcW w:w="34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5,053</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(125)</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426,309</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21.3</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421,160</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27,146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27,263</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9,249</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8,799</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53,293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50,948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89,688</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87,010</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5,107</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4,817</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46,396</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46,081</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141,191</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137,908</w:t>
            </w:r>
          </w:p>
        </w:tc>
        <w:tc>
          <w:tcPr>
            <w:tcW w:w="3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20"/>
                <w:szCs w:val="20"/>
                <w:color w:val="auto"/>
              </w:rPr>
              <w:t>Six-Months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2017</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114,876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98,705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34,093</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24,449</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157,796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173,724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306,765</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296,878</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42,565</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40,999</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(46,296)</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(47,875)</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303,034</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290,002</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90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Six-Months Ended</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600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6"/>
              </w:rPr>
              <w:t>June 30, 2018</w:t>
            </w:r>
          </w:p>
        </w:tc>
        <w:tc>
          <w:tcPr>
            <w:tcW w:w="1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600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860"/>
              <w:spacing w:after="0"/>
              <w:rPr>
                <w:sz w:val="20"/>
                <w:szCs w:val="20"/>
                <w:color w:val="auto"/>
              </w:rPr>
            </w:pPr>
            <w:r>
              <w:rPr>
                <w:rFonts w:ascii="Arial" w:cs="Arial" w:eastAsia="Arial" w:hAnsi="Arial"/>
                <w:sz w:val="20"/>
                <w:szCs w:val="20"/>
                <w:color w:val="auto"/>
              </w:rPr>
              <w:t>Volume</w:t>
            </w: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6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766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(1.0)%</w:t>
            </w:r>
          </w:p>
        </w:tc>
        <w:tc>
          <w:tcPr>
            <w:tcW w:w="7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5.6%</w:t>
            </w:r>
          </w:p>
        </w:tc>
      </w:tr>
      <w:tr>
        <w:trPr>
          <w:trHeight w:val="243"/>
        </w:trPr>
        <w:tc>
          <w:tcPr>
            <w:tcW w:w="766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(4.4)%</w:t>
            </w:r>
          </w:p>
        </w:tc>
        <w:tc>
          <w:tcPr>
            <w:tcW w:w="700" w:type="dxa"/>
            <w:vAlign w:val="bottom"/>
          </w:tcPr>
          <w:p>
            <w:pPr>
              <w:spacing w:after="0"/>
              <w:rPr>
                <w:sz w:val="21"/>
                <w:szCs w:val="21"/>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20"/>
                <w:szCs w:val="20"/>
                <w:color w:val="auto"/>
              </w:rPr>
              <w:t>1.8%</w:t>
            </w:r>
          </w:p>
        </w:tc>
      </w:tr>
      <w:tr>
        <w:trPr>
          <w:trHeight w:val="243"/>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(1.1)%</w:t>
            </w:r>
          </w:p>
        </w:tc>
        <w:tc>
          <w:tcPr>
            <w:tcW w:w="7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2.1%</w:t>
            </w:r>
          </w:p>
        </w:tc>
      </w:tr>
      <w:tr>
        <w:trPr>
          <w:trHeight w:val="243"/>
        </w:trPr>
        <w:tc>
          <w:tcPr>
            <w:tcW w:w="7660" w:type="dxa"/>
            <w:vAlign w:val="bottom"/>
            <w:gridSpan w:val="2"/>
          </w:tcPr>
          <w:p>
            <w:pPr>
              <w:spacing w:after="0"/>
              <w:rPr>
                <w:sz w:val="20"/>
                <w:szCs w:val="20"/>
                <w:color w:val="auto"/>
              </w:rPr>
            </w:pPr>
            <w:r>
              <w:rPr>
                <w:rFonts w:ascii="Arial" w:cs="Arial" w:eastAsia="Arial" w:hAnsi="Arial"/>
                <w:sz w:val="20"/>
                <w:szCs w:val="20"/>
                <w:color w:val="auto"/>
              </w:rPr>
              <w:t>Total Heritage Aggregates Operations</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(1.5)%</w:t>
            </w:r>
          </w:p>
        </w:tc>
        <w:tc>
          <w:tcPr>
            <w:tcW w:w="700" w:type="dxa"/>
            <w:vAlign w:val="bottom"/>
          </w:tcPr>
          <w:p>
            <w:pPr>
              <w:spacing w:after="0"/>
              <w:rPr>
                <w:sz w:val="21"/>
                <w:szCs w:val="21"/>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r>
      <w:tr>
        <w:trPr>
          <w:trHeight w:val="243"/>
        </w:trPr>
        <w:tc>
          <w:tcPr>
            <w:tcW w:w="76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3.0%</w:t>
            </w:r>
          </w:p>
        </w:tc>
        <w:tc>
          <w:tcPr>
            <w:tcW w:w="7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w:t>
            </w:r>
          </w:p>
        </w:tc>
      </w:tr>
    </w:tbl>
    <w:p>
      <w:pPr>
        <w:spacing w:after="0" w:line="213"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Six-Months Ended</w:t>
      </w:r>
    </w:p>
    <w:p>
      <w:pPr>
        <w:spacing w:after="0" w:line="20"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6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Arial" w:cs="Arial" w:eastAsia="Arial" w:hAnsi="Arial"/>
                <w:sz w:val="20"/>
                <w:szCs w:val="20"/>
                <w:i w:val="1"/>
                <w:iCs w:val="1"/>
                <w:color w:val="auto"/>
                <w:w w:val="91"/>
              </w:rPr>
              <w:t>(Tons in Thousands)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32,920</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33,251</w:t>
            </w: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740" w:type="dxa"/>
            <w:vAlign w:val="bottom"/>
          </w:tcPr>
          <w:p>
            <w:pPr>
              <w:jc w:val="right"/>
              <w:spacing w:after="0"/>
              <w:rPr>
                <w:sz w:val="20"/>
                <w:szCs w:val="20"/>
                <w:color w:val="auto"/>
              </w:rPr>
            </w:pPr>
            <w:r>
              <w:rPr>
                <w:rFonts w:ascii="Arial" w:cs="Arial" w:eastAsia="Arial" w:hAnsi="Arial"/>
                <w:sz w:val="20"/>
                <w:szCs w:val="20"/>
                <w:color w:val="auto"/>
              </w:rPr>
              <w:t>9,783</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10,231</w:t>
            </w: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32,208</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32,552</w:t>
            </w:r>
          </w:p>
        </w:tc>
        <w:tc>
          <w:tcPr>
            <w:tcW w:w="120" w:type="dxa"/>
            <w:vAlign w:val="bottom"/>
            <w:shd w:val="clear" w:color="auto" w:fill="CFF0FC"/>
          </w:tcPr>
          <w:p>
            <w:pPr>
              <w:spacing w:after="0"/>
              <w:rPr>
                <w:sz w:val="21"/>
                <w:szCs w:val="21"/>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Heritage Aggregates Operations</w:t>
            </w:r>
          </w:p>
        </w:tc>
        <w:tc>
          <w:tcPr>
            <w:tcW w:w="1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74,911</w:t>
            </w:r>
          </w:p>
        </w:tc>
        <w:tc>
          <w:tcPr>
            <w:tcW w:w="3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76,034</w:t>
            </w: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78,339</w:t>
            </w: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76,034</w:t>
            </w:r>
          </w:p>
        </w:tc>
        <w:tc>
          <w:tcPr>
            <w:tcW w:w="12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189"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20" w:hanging="212"/>
        <w:spacing w:after="0"/>
        <w:tabs>
          <w:tab w:leader="none" w:pos="220" w:val="left"/>
        </w:tabs>
        <w:numPr>
          <w:ilvl w:val="0"/>
          <w:numId w:val="30"/>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operations exclude acquisitions that have not been included in prior-year operations for the comparable period.</w:t>
      </w:r>
    </w:p>
    <w:p>
      <w:pPr>
        <w:spacing w:after="0" w:line="9" w:lineRule="exact"/>
        <w:rPr>
          <w:rFonts w:ascii="Arial" w:cs="Arial" w:eastAsia="Arial" w:hAnsi="Arial"/>
          <w:sz w:val="15"/>
          <w:szCs w:val="15"/>
          <w:i w:val="1"/>
          <w:iCs w:val="1"/>
          <w:color w:val="auto"/>
        </w:rPr>
      </w:pPr>
    </w:p>
    <w:p>
      <w:pPr>
        <w:ind w:left="220" w:hanging="212"/>
        <w:spacing w:after="0"/>
        <w:tabs>
          <w:tab w:leader="none" w:pos="220" w:val="left"/>
        </w:tabs>
        <w:numPr>
          <w:ilvl w:val="0"/>
          <w:numId w:val="30"/>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includes acquisitions from the date of acquisition and divestitures through the date of disposal.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Unit shipments by product line for the Company is as follows:</w:t>
      </w:r>
    </w:p>
    <w:p>
      <w:pPr>
        <w:spacing w:after="0" w:line="81"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Six-Months Ended</w:t>
      </w:r>
    </w:p>
    <w:p>
      <w:pPr>
        <w:spacing w:after="0" w:line="20"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Heritage: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69,639</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70,829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5,272</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5,205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heritage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74,911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76,034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gridSpan w:val="2"/>
          </w:tcPr>
          <w:p>
            <w:pPr>
              <w:spacing w:after="0" w:line="224" w:lineRule="exact"/>
              <w:rPr>
                <w:sz w:val="20"/>
                <w:szCs w:val="20"/>
                <w:color w:val="auto"/>
              </w:rPr>
            </w:pPr>
            <w:r>
              <w:rPr>
                <w:rFonts w:ascii="Arial" w:cs="Arial" w:eastAsia="Arial" w:hAnsi="Arial"/>
                <w:sz w:val="20"/>
                <w:szCs w:val="20"/>
                <w:color w:val="auto"/>
              </w:rPr>
              <w:t>Acquisitions: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1,180</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1,226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673</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0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1,853</w:t>
            </w:r>
          </w:p>
        </w:tc>
        <w:tc>
          <w:tcPr>
            <w:tcW w:w="28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tcPr>
          <w:p>
            <w:pPr>
              <w:jc w:val="right"/>
              <w:spacing w:after="0"/>
              <w:rPr>
                <w:sz w:val="20"/>
                <w:szCs w:val="20"/>
                <w:color w:val="auto"/>
              </w:rPr>
            </w:pPr>
            <w:r>
              <w:rPr>
                <w:rFonts w:ascii="Arial" w:cs="Arial" w:eastAsia="Arial" w:hAnsi="Arial"/>
                <w:sz w:val="20"/>
                <w:szCs w:val="20"/>
                <w:color w:val="auto"/>
              </w:rPr>
              <w:t>4,567</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4,282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408</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tcPr>
          <w:p>
            <w:pPr>
              <w:jc w:val="right"/>
              <w:spacing w:after="0"/>
              <w:rPr>
                <w:sz w:val="20"/>
                <w:szCs w:val="20"/>
                <w:color w:val="auto"/>
              </w:rPr>
            </w:pPr>
            <w:r>
              <w:rPr>
                <w:rFonts w:ascii="Arial" w:cs="Arial" w:eastAsia="Arial" w:hAnsi="Arial"/>
                <w:sz w:val="20"/>
                <w:szCs w:val="20"/>
                <w:color w:val="auto"/>
              </w:rPr>
              <w:t>711</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Average selling prices by product line for the Company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4"/>
          </w:tcPr>
          <w:p>
            <w:pPr>
              <w:ind w:left="240"/>
              <w:spacing w:after="0"/>
              <w:rPr>
                <w:sz w:val="20"/>
                <w:szCs w:val="20"/>
                <w:color w:val="auto"/>
              </w:rPr>
            </w:pPr>
            <w:r>
              <w:rPr>
                <w:rFonts w:ascii="Arial" w:cs="Arial" w:eastAsia="Arial" w:hAnsi="Arial"/>
                <w:sz w:val="20"/>
                <w:szCs w:val="20"/>
                <w:color w:val="auto"/>
              </w:rPr>
              <w:t>Six-Months Ended</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57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June 30,</w:t>
            </w: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7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180" w:type="dxa"/>
            <w:vAlign w:val="bottom"/>
          </w:tcPr>
          <w:p>
            <w:pPr>
              <w:spacing w:after="0"/>
              <w:rPr>
                <w:sz w:val="20"/>
                <w:szCs w:val="20"/>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20"/>
                <w:szCs w:val="20"/>
                <w:color w:val="auto"/>
              </w:rPr>
              <w:t>Aggregates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13.91</w:t>
            </w:r>
          </w:p>
        </w:tc>
        <w:tc>
          <w:tcPr>
            <w:tcW w:w="30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13.45</w:t>
            </w:r>
          </w:p>
        </w:tc>
        <w:tc>
          <w:tcPr>
            <w:tcW w:w="3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20"/>
                <w:szCs w:val="20"/>
                <w:color w:val="auto"/>
              </w:rPr>
              <w:t>Aggregates - acquisition (per ton)</w:t>
            </w:r>
          </w:p>
        </w:tc>
        <w:tc>
          <w:tcPr>
            <w:tcW w:w="114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12.08</w:t>
            </w:r>
          </w:p>
        </w:tc>
        <w:tc>
          <w:tcPr>
            <w:tcW w:w="144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20"/>
                <w:szCs w:val="20"/>
                <w:color w:val="auto"/>
              </w:rPr>
              <w:t>Cement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108.10</w:t>
            </w:r>
          </w:p>
        </w:tc>
        <w:tc>
          <w:tcPr>
            <w:tcW w:w="1440" w:type="dxa"/>
            <w:vAlign w:val="bottom"/>
            <w:gridSpan w:val="2"/>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104.44</w:t>
            </w:r>
          </w:p>
        </w:tc>
        <w:tc>
          <w:tcPr>
            <w:tcW w:w="36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4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106.51</w:t>
            </w:r>
          </w:p>
        </w:tc>
        <w:tc>
          <w:tcPr>
            <w:tcW w:w="144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106.39</w:t>
            </w: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0.1%</w:t>
            </w:r>
          </w:p>
        </w:tc>
      </w:tr>
      <w:tr>
        <w:trPr>
          <w:trHeight w:val="250"/>
        </w:trPr>
        <w:tc>
          <w:tcPr>
            <w:tcW w:w="5720" w:type="dxa"/>
            <w:vAlign w:val="bottom"/>
          </w:tcPr>
          <w:p>
            <w:pPr>
              <w:spacing w:after="0"/>
              <w:rPr>
                <w:sz w:val="20"/>
                <w:szCs w:val="20"/>
                <w:color w:val="auto"/>
              </w:rPr>
            </w:pPr>
            <w:r>
              <w:rPr>
                <w:rFonts w:ascii="Arial" w:cs="Arial" w:eastAsia="Arial" w:hAnsi="Arial"/>
                <w:sz w:val="20"/>
                <w:szCs w:val="20"/>
                <w:color w:val="auto"/>
              </w:rPr>
              <w:t>Asphalt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44.38</w:t>
            </w:r>
          </w:p>
        </w:tc>
        <w:tc>
          <w:tcPr>
            <w:tcW w:w="1440" w:type="dxa"/>
            <w:vAlign w:val="bottom"/>
            <w:gridSpan w:val="2"/>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41.49</w:t>
            </w:r>
          </w:p>
        </w:tc>
        <w:tc>
          <w:tcPr>
            <w:tcW w:w="36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7.0%</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first six months of 2018, Magnesia Specialties reported total products revenue of $133.0 million, a 2.3% increase compared with the prior-year period. Earnings from operations were $42.6 million compared with $41.0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0" w:type="dxa"/>
            <w:vAlign w:val="bottom"/>
          </w:tcPr>
          <w:p>
            <w:pPr>
              <w:spacing w:after="0"/>
              <w:rPr>
                <w:sz w:val="20"/>
                <w:szCs w:val="20"/>
                <w:color w:val="auto"/>
              </w:rPr>
            </w:pPr>
            <w:r>
              <w:rPr>
                <w:rFonts w:ascii="Arial" w:cs="Arial" w:eastAsia="Arial" w:hAnsi="Arial"/>
                <w:sz w:val="20"/>
                <w:szCs w:val="20"/>
                <w:i w:val="1"/>
                <w:iCs w:val="1"/>
                <w:color w:val="auto"/>
              </w:rPr>
              <w:t>Gross Profit</w:t>
            </w: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8"/>
        </w:trPr>
        <w:tc>
          <w:tcPr>
            <w:tcW w:w="9400" w:type="dxa"/>
            <w:vAlign w:val="bottom"/>
          </w:tcPr>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gross profit, six-months ended June 30, 2017</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421,160</w:t>
            </w:r>
          </w:p>
        </w:tc>
        <w:tc>
          <w:tcPr>
            <w:tcW w:w="100" w:type="dxa"/>
            <w:vAlign w:val="bottom"/>
            <w:tcBorders>
              <w:bottom w:val="single" w:sz="8" w:color="CFF0FC"/>
            </w:tcBorders>
          </w:tcPr>
          <w:p>
            <w:pPr>
              <w:spacing w:after="0"/>
              <w:rPr>
                <w:sz w:val="24"/>
                <w:szCs w:val="24"/>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Aggregates products:</w:t>
            </w: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Volume</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26,747</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34,752</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Cost increases, net</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(61,924)</w:t>
            </w:r>
          </w:p>
        </w:tc>
      </w:tr>
      <w:tr>
        <w:trPr>
          <w:trHeight w:val="237"/>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(425)</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(847)</w:t>
            </w: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products</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1,780</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Corporate</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5,178</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Freight</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(537)</w:t>
            </w:r>
          </w:p>
        </w:tc>
      </w:tr>
      <w:tr>
        <w:trPr>
          <w:trHeight w:val="237"/>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consolidated gross profit</w:t>
            </w:r>
          </w:p>
        </w:tc>
        <w:tc>
          <w:tcPr>
            <w:tcW w:w="6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5,149</w:t>
            </w:r>
          </w:p>
        </w:tc>
        <w:tc>
          <w:tcPr>
            <w:tcW w:w="100" w:type="dxa"/>
            <w:vAlign w:val="bottom"/>
            <w:tcBorders>
              <w:bottom w:val="single" w:sz="8" w:color="CFF0FC"/>
            </w:tcBorders>
          </w:tcPr>
          <w:p>
            <w:pPr>
              <w:spacing w:after="0"/>
              <w:rPr>
                <w:sz w:val="20"/>
                <w:szCs w:val="20"/>
                <w:color w:val="auto"/>
              </w:rPr>
            </w:pPr>
          </w:p>
        </w:tc>
      </w:tr>
      <w:tr>
        <w:trPr>
          <w:trHeight w:val="237"/>
        </w:trPr>
        <w:tc>
          <w:tcPr>
            <w:tcW w:w="9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gross profit, six-months ended June 30, 2018</w:t>
            </w:r>
          </w:p>
        </w:tc>
        <w:tc>
          <w:tcPr>
            <w:tcW w:w="680" w:type="dxa"/>
            <w:vAlign w:val="bottom"/>
            <w:tcBorders>
              <w:bottom w:val="single" w:sz="8" w:color="auto"/>
            </w:tcBorders>
            <w:shd w:val="clear" w:color="auto" w:fill="CFF0FC"/>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426,309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Cost increases, net, includes the nonrecurring $10.2 million negative impact of selling acquired inventory due to the markup to fair value as a part of acquisition accounting.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six-months ended June 30, 2018, consolidated SG&amp;A was 7.0% of total revenues compared with 7.2% in the prior-year period. Earnings from operations for the first six months were $303.0 million in 2018 compared with $290.0 million in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the six-months ended June 30, consolidated other operating income, net, was $30.8 million in 2018 and $8.8 million in 2017. The increase in other operating income, net, is primarily driven by a gain on the sale of surplus land of $16.9 million and a net gain on litigation and related settlements of $7.7 million in 2018. The 2017 amount includes a $13.5 million gain on the sale of real estate and $6.1 million of expense, including both cash and stock-based compensation components, related to the retirement of a senior executive officer.</w:t>
      </w:r>
    </w:p>
    <w:p>
      <w:pPr>
        <w:spacing w:after="0" w:line="5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the six-months ended June 30, 2018, other nonoperating income, net, was $15.6 million, a $9.6 million increase compared with prior year, reflecting higher interest income and lower pension expense.</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provided by operating activities for the six-months ended June 30 was $238.0 million in 2018 compared with $229.3 million in 2017. Operating cash flow is primarily derived from consolidated net earnings before deducting depreciation, depletion and amortization, and the impact of changes in working capital. Depreciation, depletion and amortization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90"/>
              </w:rPr>
              <w:t>Six-Months Ended</w:t>
            </w:r>
          </w:p>
        </w:tc>
      </w:tr>
      <w:tr>
        <w:trPr>
          <w:trHeight w:val="246"/>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372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143,218</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128,543</w:t>
            </w:r>
          </w:p>
        </w:tc>
        <w:tc>
          <w:tcPr>
            <w:tcW w:w="120" w:type="dxa"/>
            <w:vAlign w:val="bottom"/>
            <w:shd w:val="clear" w:color="auto" w:fill="CFF0FC"/>
          </w:tcPr>
          <w:p>
            <w:pPr>
              <w:spacing w:after="0"/>
              <w:rPr>
                <w:sz w:val="21"/>
                <w:szCs w:val="2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20"/>
                <w:szCs w:val="20"/>
                <w:color w:val="auto"/>
              </w:rPr>
              <w:t>Depletion</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11,124</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8,290</w:t>
            </w:r>
          </w:p>
        </w:tc>
        <w:tc>
          <w:tcPr>
            <w:tcW w:w="120" w:type="dxa"/>
            <w:vAlign w:val="bottom"/>
          </w:tcPr>
          <w:p>
            <w:pPr>
              <w:spacing w:after="0"/>
              <w:rPr>
                <w:sz w:val="21"/>
                <w:szCs w:val="21"/>
                <w:color w:val="auto"/>
              </w:rPr>
            </w:pP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33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9,203</w:t>
            </w:r>
          </w:p>
        </w:tc>
        <w:tc>
          <w:tcPr>
            <w:tcW w:w="28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9,269</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163,545</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146,102</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2017 net cash provided by operating activities was $657.6 million, reflective of the reclassification of net proceeds and payments of corporate-owned life insurance of $0.3 million from operating activities to investing activities, compared with $229.3 million for the first six months of 2017.</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six-months ended June 30, 2018, the Company paid $188.3 million for capital investments. Full-year capital spending is expected to approximate $450 million to $500 million.</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make any repurchases of common stock during the first six months of the year. At June 30, 2018, 14,669,000 shares of common stock were remaining under the Company’s repurchase authorization.</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$700 million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Facility, consolidated debt, including debt for which the Company is a co-borrower, may be reduced by the Company’s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unrestricted cash and cash equivalents in excess of $50 million, such reduction not to exceed $200 million, for purposes of the covenant calculation.</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for continuing operations.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5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At June 30, 2018, the Company’s ratio of consolidated debt-to-consolidated EBITDA, as defined by the Company’s Revolving Facility, for the trailing-twelve months was 2.75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July 1, 2017 to</w:t>
            </w: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June 30, 2018</w:t>
            </w: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724,129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20"/>
                <w:szCs w:val="20"/>
                <w:color w:val="auto"/>
              </w:rPr>
              <w:t>Add back:</w:t>
            </w: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114,650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311,571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29,831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Acquisition-related expenses, net</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46,341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Bluegrass EBITDA - Pre-acquisition adjusted (July 2017 to April 2018)</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77,462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20"/>
                <w:szCs w:val="20"/>
                <w:color w:val="auto"/>
              </w:rPr>
              <w:t>Deduct:</w:t>
            </w: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(7,138)</w:t>
            </w: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Income tax benefit</w:t>
            </w:r>
          </w:p>
        </w:tc>
        <w:tc>
          <w:tcPr>
            <w:tcW w:w="180" w:type="dxa"/>
            <w:vAlign w:val="bottom"/>
          </w:tcPr>
          <w:p>
            <w:pPr>
              <w:spacing w:after="0"/>
              <w:rPr>
                <w:sz w:val="21"/>
                <w:szCs w:val="21"/>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(105,999)</w:t>
            </w: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Gain on divestiture</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(14,785)</w:t>
            </w:r>
          </w:p>
        </w:tc>
        <w:tc>
          <w:tcPr>
            <w:tcW w:w="0" w:type="dxa"/>
            <w:vAlign w:val="bottom"/>
          </w:tcPr>
          <w:p>
            <w:pPr>
              <w:spacing w:after="0"/>
              <w:rPr>
                <w:sz w:val="1"/>
                <w:szCs w:val="1"/>
                <w:color w:val="auto"/>
              </w:rPr>
            </w:pPr>
          </w:p>
        </w:tc>
      </w:tr>
      <w:tr>
        <w:trPr>
          <w:trHeight w:val="277"/>
        </w:trPr>
        <w:tc>
          <w:tcPr>
            <w:tcW w:w="90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1,176,062</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0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net debt, as defined and including debt for which the</w:t>
            </w: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Company is a co-borrower, at June 30, 2018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3,234,337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20"/>
                <w:szCs w:val="20"/>
                <w:color w:val="auto"/>
              </w:rPr>
              <w:t>Consolidated debt-to-consolidated EBITDA, as defined by the Company’s</w:t>
            </w: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260"/>
              <w:spacing w:after="0"/>
              <w:rPr>
                <w:sz w:val="20"/>
                <w:szCs w:val="20"/>
                <w:color w:val="auto"/>
              </w:rPr>
            </w:pPr>
            <w:r>
              <w:rPr>
                <w:rFonts w:ascii="Arial" w:cs="Arial" w:eastAsia="Arial" w:hAnsi="Arial"/>
                <w:sz w:val="20"/>
                <w:szCs w:val="20"/>
                <w:color w:val="auto"/>
              </w:rPr>
              <w:t>Revolving Facility, at June 30, 2018 for the trailing-twelve</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000" w:type="dxa"/>
            <w:vAlign w:val="bottom"/>
          </w:tcPr>
          <w:p>
            <w:pPr>
              <w:ind w:left="260"/>
              <w:spacing w:after="0"/>
              <w:rPr>
                <w:sz w:val="20"/>
                <w:szCs w:val="20"/>
                <w:color w:val="auto"/>
              </w:rPr>
            </w:pPr>
            <w:r>
              <w:rPr>
                <w:rFonts w:ascii="Arial" w:cs="Arial" w:eastAsia="Arial" w:hAnsi="Arial"/>
                <w:sz w:val="20"/>
                <w:szCs w:val="20"/>
                <w:color w:val="auto"/>
              </w:rPr>
              <w:t>months EBITDA</w:t>
            </w:r>
          </w:p>
        </w:tc>
        <w:tc>
          <w:tcPr>
            <w:tcW w:w="180" w:type="dxa"/>
            <w:vAlign w:val="bottom"/>
          </w:tcPr>
          <w:p>
            <w:pPr>
              <w:spacing w:after="0"/>
              <w:rPr>
                <w:sz w:val="21"/>
                <w:szCs w:val="21"/>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20"/>
                <w:szCs w:val="20"/>
                <w:color w:val="auto"/>
              </w:rPr>
              <w:t>2.75x</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meet capital expenditures and discretionary investment needs, and certain acquisition opportunities that may arise and allow for payment of dividends for the foreseeable future. On April 27, 2018, the Company successfully completed its previously announced acquisition of Bluegrass Materials Company (Bluegrass), the largest privately-held, pure-play aggregates company in the United States, for $1.625 billion in cash, subject to a working capital true up. The Company financed the Bluegrass acquisition using proceeds from issuances of senior notes in December 2017 and borrowings under credit facilities. Any future significant strategic acquisition for cash would likely require an appropriate balance of newly-issued equity with debt in order to maintain a composite investment-grade credit rating. At June 30, 2018, the Company had $607.7 million of unused borrowing capacity under its Revolving Facility and Trade Receivable Facility, subject to complying with the related leverage covenant. The Revolving Facility expires on December 5, 2021 and the Trade Receivable Facility expires on September 26, 2018. The Company expects to extend the maturity of the Trade Receivable Facility prior to the expiration date.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The Company repaid the $300 million of 6.60% Senior Notes with cash on hand on April 16, 2018, the maturity date.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April 17, 2018, the Company and its wholly-owned subsidiary amended its Trade Receivable Facility to increase the facility limit to $400 million.</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May 22, 2017, the Company issued $300 million aggregate principal amount of Floating Rate Senior Notes due in 2020 and $300 million aggregate principal amount of 3.450% Senior Notes due in 2027. On December 20, 2017, the Company issued $300 million aggregate principal amount of Floating Rate Senior Notes due 2019, $500 million aggregate principal amount of 3.500% Senior Notes due 2027 and $600 million aggregate principal amount of 4.250% Senior Notes due 2047. The Company repaid $300 million aggregate principal amount of Floating Rate Senior at its maturity in June 2017.</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exposed to the credit markets, through the interest cost related to its variable-rate debt, which included borrowings under its Revolving Facility and Trade Receivable Facility and the obligations in respect of the Floating Rate Notes. The Company is currently rated at an investment-grade level by all three credit rating agencies.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2017. Management continues to evaluate its exposure to all operating risks on an ongoing basis.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remains confident about the its near-term and long-term outlooks given the disciplined execution of its strategic business plan and the underlying market fundamentals, including positive employment and population trends, across its geographic footprint. The Company expects growth in all three primary construction end-use markets as the current broad-based recovery continues on a steady and extended basis.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Management’s full-year 2018 guidance for its heritage business is as follows:</w:t>
      </w:r>
    </w:p>
    <w:p>
      <w:pPr>
        <w:spacing w:after="0" w:line="108"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20"/>
          <w:szCs w:val="20"/>
          <w:color w:val="007DC6"/>
        </w:rPr>
      </w:pPr>
      <w:r>
        <w:rPr>
          <w:rFonts w:ascii="Arial" w:cs="Arial" w:eastAsia="Arial" w:hAnsi="Arial"/>
          <w:sz w:val="20"/>
          <w:szCs w:val="20"/>
          <w:color w:val="auto"/>
        </w:rPr>
        <w:t>Heritage aggregates average selling price is expected to increase in a range of 3% to 5%.</w:t>
      </w:r>
    </w:p>
    <w:p>
      <w:pPr>
        <w:spacing w:after="0" w:line="15" w:lineRule="exact"/>
        <w:rPr>
          <w:rFonts w:ascii="Arial" w:cs="Arial" w:eastAsia="Arial" w:hAnsi="Arial"/>
          <w:sz w:val="20"/>
          <w:szCs w:val="20"/>
          <w:color w:val="007DC6"/>
        </w:rPr>
      </w:pPr>
    </w:p>
    <w:p>
      <w:pPr>
        <w:ind w:left="760" w:right="400" w:hanging="374"/>
        <w:spacing w:after="0" w:line="239" w:lineRule="auto"/>
        <w:tabs>
          <w:tab w:leader="none" w:pos="760" w:val="left"/>
        </w:tabs>
        <w:numPr>
          <w:ilvl w:val="0"/>
          <w:numId w:val="31"/>
        </w:numPr>
        <w:rPr>
          <w:rFonts w:ascii="Arial" w:cs="Arial" w:eastAsia="Arial" w:hAnsi="Arial"/>
          <w:sz w:val="20"/>
          <w:szCs w:val="20"/>
          <w:color w:val="007DC6"/>
        </w:rPr>
      </w:pPr>
      <w:r>
        <w:rPr>
          <w:rFonts w:ascii="Arial" w:cs="Arial" w:eastAsia="Arial" w:hAnsi="Arial"/>
          <w:sz w:val="20"/>
          <w:szCs w:val="20"/>
          <w:color w:val="auto"/>
        </w:rPr>
        <w:t>Heritage aggregates volume is expected to increase in a range of 4% to 6%and shipments by end-use market compared with 2017 levels are as follows:</w:t>
      </w:r>
    </w:p>
    <w:p>
      <w:pPr>
        <w:spacing w:after="0" w:line="1" w:lineRule="exact"/>
        <w:rPr>
          <w:rFonts w:ascii="Arial" w:cs="Arial" w:eastAsia="Arial" w:hAnsi="Arial"/>
          <w:sz w:val="20"/>
          <w:szCs w:val="20"/>
          <w:color w:val="007DC6"/>
        </w:rPr>
      </w:pPr>
    </w:p>
    <w:p>
      <w:pPr>
        <w:ind w:left="1140" w:hanging="376"/>
        <w:spacing w:after="0"/>
        <w:tabs>
          <w:tab w:leader="none" w:pos="11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Infrastructure shipments to increase in the mid-single digits.</w:t>
      </w:r>
    </w:p>
    <w:p>
      <w:pPr>
        <w:ind w:left="1140" w:hanging="376"/>
        <w:spacing w:after="0"/>
        <w:tabs>
          <w:tab w:leader="none" w:pos="11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Nonresidential shipments to increase in the low- to mid-single digits.</w:t>
      </w:r>
    </w:p>
    <w:p>
      <w:pPr>
        <w:ind w:left="1140" w:hanging="376"/>
        <w:spacing w:after="0"/>
        <w:tabs>
          <w:tab w:leader="none" w:pos="11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Residential shipments to increase in the high-single digits.</w:t>
      </w:r>
    </w:p>
    <w:p>
      <w:pPr>
        <w:ind w:left="1140" w:hanging="376"/>
        <w:spacing w:after="0"/>
        <w:tabs>
          <w:tab w:leader="none" w:pos="11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ChemRock/Rail shipments to decrease.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performance of the United States economy; shipment declines resulting from economic events beyond the Company’s control;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state or local transportation or infrastructure projects funding, most particularly in Texas, North Carolina, Iowa, Colorado, Georgia and Maryland; the United States Congress’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slowdown decline in energy-related construction activity resulting from a sustained period of low global oil prices or changes in oil production patterns in response to this decline, particularly in Texas; a slowdown in residential construction recovery; unfavorable weather conditions, particularly Atlantic Ocean and Gulf Coast hurricane activity, the late start to spring or the early onset of winter and the impact of a drought or excessive rainfall in the markets served by the Company, any of which can significantly affect production schedules, volumes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and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(including the acquisition of Bluegrass)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reduction of the Company’s credit rating to non-investment grade resulting from strategic acquisitions; and other risk factors listed from time to time found in the Company’s filings with the SEC.</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should consider these forward-looking statements in light of risk factors discussed in our Annual Report on Form 10-K for the year ended December 31, 2017, the Current Report on Form 8-K filed on March 16, 2018 and other periodic filings made with the SEC. All of the Company’s forward-looking statements should be considered in light of these factors. In addition, other risks and uncertainties not presently known to the Company or that the Company considers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immaterial could affect the accuracy of the Company’s forward-looking statements, or adversely affect or be material to the Company. The Company assumes no obligation to update any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2017,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52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raised the federal funds rate to 1.9% during the six-months ended June 30, 2018. The residential construction market accounted for 21% of the Company’s aggregates product line shipments in 2017.</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June 30, 2018, the Company had a $700 million Credit Agreement and a $400 million Trade Receivable</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The Company also has $600 million variable-rate senior notes. Borrowings under these facilities bear interest at a variable interest rate. A hypothetical 100-basis-point increase in interest rates on borrowings of $1.09 billion, which was the collective outstanding balance at June 30, 2018, would increase interest expense by $10.9 million on an annual basis.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2017.</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2018 coal requirements. Energy costs for the six-months ended June 30, 2018 increased approximately 20% over the prior-year period. A hypothetical 20% change in the Company’s energy prices for the full year 2018 as compared with 2017, assuming constant volumes, would change full year 2018 energy expense by $50.0 million.</w:t>
      </w:r>
    </w:p>
    <w:p>
      <w:pPr>
        <w:spacing w:after="0" w:line="8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2018 of $415 million to $445 million, a hypothetical 10% change in sales price would impact net sales by $41.5 million to $44.5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53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of June 30, 2018,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2018.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54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w w:val="88"/>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86"/>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92"/>
              </w:rPr>
              <w:t>Total Number of</w:t>
            </w:r>
          </w:p>
        </w:tc>
        <w:tc>
          <w:tcPr>
            <w:tcW w:w="240" w:type="dxa"/>
            <w:vAlign w:val="bottom"/>
          </w:tcPr>
          <w:p>
            <w:pPr>
              <w:spacing w:after="0"/>
              <w:rPr>
                <w:sz w:val="21"/>
                <w:szCs w:val="21"/>
                <w:color w:val="auto"/>
              </w:rPr>
            </w:pPr>
          </w:p>
        </w:tc>
        <w:tc>
          <w:tcPr>
            <w:tcW w:w="146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1920" w:type="dxa"/>
            <w:vAlign w:val="bottom"/>
          </w:tcPr>
          <w:p>
            <w:pPr>
              <w:jc w:val="center"/>
              <w:spacing w:after="0"/>
              <w:rPr>
                <w:sz w:val="20"/>
                <w:szCs w:val="20"/>
                <w:color w:val="auto"/>
              </w:rPr>
            </w:pPr>
            <w:r>
              <w:rPr>
                <w:rFonts w:ascii="Arial" w:cs="Arial" w:eastAsia="Arial" w:hAnsi="Arial"/>
                <w:sz w:val="20"/>
                <w:szCs w:val="20"/>
                <w:color w:val="auto"/>
                <w:w w:val="92"/>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4160" w:type="dxa"/>
            <w:vAlign w:val="bottom"/>
            <w:gridSpan w:val="2"/>
          </w:tcPr>
          <w:p>
            <w:pPr>
              <w:ind w:left="1760"/>
              <w:spacing w:after="0"/>
              <w:rPr>
                <w:sz w:val="20"/>
                <w:szCs w:val="20"/>
                <w:color w:val="auto"/>
              </w:rPr>
            </w:pPr>
            <w:r>
              <w:rPr>
                <w:rFonts w:ascii="Arial" w:cs="Arial" w:eastAsia="Arial" w:hAnsi="Arial"/>
                <w:sz w:val="20"/>
                <w:szCs w:val="20"/>
                <w:color w:val="auto"/>
              </w:rPr>
              <w:t>Period</w:t>
            </w:r>
          </w:p>
        </w:tc>
        <w:tc>
          <w:tcPr>
            <w:tcW w:w="1540" w:type="dxa"/>
            <w:vAlign w:val="bottom"/>
          </w:tcPr>
          <w:p>
            <w:pPr>
              <w:jc w:val="center"/>
              <w:spacing w:after="0"/>
              <w:rPr>
                <w:sz w:val="20"/>
                <w:szCs w:val="20"/>
                <w:color w:val="auto"/>
              </w:rPr>
            </w:pPr>
            <w:r>
              <w:rPr>
                <w:rFonts w:ascii="Arial" w:cs="Arial" w:eastAsia="Arial" w:hAnsi="Arial"/>
                <w:sz w:val="20"/>
                <w:szCs w:val="20"/>
                <w:color w:val="auto"/>
                <w:w w:val="85"/>
              </w:rPr>
              <w:t>Shares Purchased</w:t>
            </w:r>
          </w:p>
        </w:tc>
        <w:tc>
          <w:tcPr>
            <w:tcW w:w="24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1920" w:type="dxa"/>
            <w:vAlign w:val="bottom"/>
          </w:tcPr>
          <w:p>
            <w:pPr>
              <w:jc w:val="center"/>
              <w:spacing w:after="0"/>
              <w:rPr>
                <w:sz w:val="20"/>
                <w:szCs w:val="20"/>
                <w:color w:val="auto"/>
              </w:rPr>
            </w:pPr>
            <w:r>
              <w:rPr>
                <w:rFonts w:ascii="Arial" w:cs="Arial" w:eastAsia="Arial" w:hAnsi="Arial"/>
                <w:sz w:val="20"/>
                <w:szCs w:val="20"/>
                <w:color w:val="auto"/>
                <w:w w:val="88"/>
              </w:rPr>
              <w:t>Plans or Programs</w:t>
            </w:r>
          </w:p>
        </w:tc>
        <w:tc>
          <w:tcPr>
            <w:tcW w:w="2100" w:type="dxa"/>
            <w:vAlign w:val="bottom"/>
            <w:gridSpan w:val="3"/>
          </w:tcPr>
          <w:p>
            <w:pPr>
              <w:jc w:val="right"/>
              <w:ind w:right="120"/>
              <w:spacing w:after="0"/>
              <w:rPr>
                <w:sz w:val="20"/>
                <w:szCs w:val="20"/>
                <w:color w:val="auto"/>
              </w:rPr>
            </w:pPr>
            <w:r>
              <w:rPr>
                <w:rFonts w:ascii="Arial" w:cs="Arial" w:eastAsia="Arial" w:hAnsi="Arial"/>
                <w:sz w:val="20"/>
                <w:szCs w:val="20"/>
                <w:color w:val="auto"/>
                <w:w w:val="98"/>
              </w:rPr>
              <w:t>the Plans or Programs</w:t>
            </w:r>
          </w:p>
        </w:tc>
      </w:tr>
      <w:tr>
        <w:trPr>
          <w:trHeight w:val="237"/>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April 1, 2018 - April 30, 2018</w:t>
            </w:r>
          </w:p>
        </w:tc>
        <w:tc>
          <w:tcPr>
            <w:tcW w:w="120" w:type="dxa"/>
            <w:vAlign w:val="bottom"/>
            <w:tcBorders>
              <w:top w:val="single" w:sz="8" w:color="CFF0FC"/>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ind w:left="1320"/>
              <w:spacing w:after="0"/>
              <w:rPr>
                <w:sz w:val="20"/>
                <w:szCs w:val="20"/>
                <w:color w:val="auto"/>
              </w:rPr>
            </w:pPr>
            <w:r>
              <w:rPr>
                <w:rFonts w:ascii="Arial" w:cs="Arial" w:eastAsia="Arial" w:hAnsi="Arial"/>
                <w:sz w:val="20"/>
                <w:szCs w:val="20"/>
                <w:color w:val="auto"/>
                <w:w w:val="99"/>
              </w:rPr>
              <w:t>—</w:t>
            </w:r>
          </w:p>
        </w:tc>
        <w:tc>
          <w:tcPr>
            <w:tcW w:w="240" w:type="dxa"/>
            <w:vAlign w:val="bottom"/>
            <w:tcBorders>
              <w:top w:val="single" w:sz="8" w:color="CFF0FC"/>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61"/>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Borders>
              <w:top w:val="single" w:sz="8" w:color="CFF0FC"/>
            </w:tcBorders>
            <w:shd w:val="clear" w:color="auto" w:fill="CFF0FC"/>
          </w:tcPr>
          <w:p>
            <w:pPr>
              <w:spacing w:after="0"/>
              <w:rPr>
                <w:sz w:val="20"/>
                <w:szCs w:val="20"/>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20"/>
                <w:szCs w:val="20"/>
                <w:color w:val="auto"/>
              </w:rPr>
              <w:t>May 1, 2018 - May 31, 2018</w:t>
            </w:r>
          </w:p>
        </w:tc>
        <w:tc>
          <w:tcPr>
            <w:tcW w:w="1540" w:type="dxa"/>
            <w:vAlign w:val="bottom"/>
          </w:tcPr>
          <w:p>
            <w:pPr>
              <w:ind w:left="1320"/>
              <w:spacing w:after="0"/>
              <w:rPr>
                <w:sz w:val="20"/>
                <w:szCs w:val="20"/>
                <w:color w:val="auto"/>
              </w:rPr>
            </w:pPr>
            <w:r>
              <w:rPr>
                <w:rFonts w:ascii="Arial" w:cs="Arial" w:eastAsia="Arial" w:hAnsi="Arial"/>
                <w:sz w:val="20"/>
                <w:szCs w:val="20"/>
                <w:color w:val="auto"/>
                <w:w w:val="99"/>
              </w:rPr>
              <w:t>—</w:t>
            </w:r>
          </w:p>
        </w:tc>
        <w:tc>
          <w:tcPr>
            <w:tcW w:w="800" w:type="dxa"/>
            <w:vAlign w:val="bottom"/>
            <w:gridSpan w:val="2"/>
          </w:tcPr>
          <w:p>
            <w:pPr>
              <w:jc w:val="right"/>
              <w:ind w:right="361"/>
              <w:spacing w:after="0"/>
              <w:rPr>
                <w:sz w:val="20"/>
                <w:szCs w:val="20"/>
                <w:color w:val="auto"/>
              </w:rPr>
            </w:pPr>
            <w:r>
              <w:rPr>
                <w:rFonts w:ascii="Arial" w:cs="Arial" w:eastAsia="Arial" w:hAnsi="Arial"/>
                <w:sz w:val="20"/>
                <w:szCs w:val="20"/>
                <w:color w:val="auto"/>
              </w:rPr>
              <w:t>$</w:t>
            </w:r>
          </w:p>
        </w:tc>
        <w:tc>
          <w:tcPr>
            <w:tcW w:w="90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tcPr>
          <w:p>
            <w:pPr>
              <w:spacing w:after="0"/>
              <w:rPr>
                <w:sz w:val="21"/>
                <w:szCs w:val="21"/>
                <w:color w:val="auto"/>
              </w:rPr>
            </w:pPr>
          </w:p>
        </w:tc>
      </w:tr>
      <w:tr>
        <w:trPr>
          <w:trHeight w:val="243"/>
        </w:trPr>
        <w:tc>
          <w:tcPr>
            <w:tcW w:w="4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June 1, 2018 - June 30, 2018</w:t>
            </w:r>
          </w:p>
        </w:tc>
        <w:tc>
          <w:tcPr>
            <w:tcW w:w="1540" w:type="dxa"/>
            <w:vAlign w:val="bottom"/>
            <w:shd w:val="clear" w:color="auto" w:fill="CFF0FC"/>
          </w:tcPr>
          <w:p>
            <w:pPr>
              <w:ind w:left="1320"/>
              <w:spacing w:after="0"/>
              <w:rPr>
                <w:sz w:val="20"/>
                <w:szCs w:val="20"/>
                <w:color w:val="auto"/>
              </w:rPr>
            </w:pPr>
            <w:r>
              <w:rPr>
                <w:rFonts w:ascii="Arial" w:cs="Arial" w:eastAsia="Arial" w:hAnsi="Arial"/>
                <w:sz w:val="20"/>
                <w:szCs w:val="20"/>
                <w:color w:val="auto"/>
                <w:w w:val="99"/>
              </w:rPr>
              <w:t>—</w:t>
            </w:r>
          </w:p>
        </w:tc>
        <w:tc>
          <w:tcPr>
            <w:tcW w:w="800" w:type="dxa"/>
            <w:vAlign w:val="bottom"/>
            <w:gridSpan w:val="2"/>
            <w:shd w:val="clear" w:color="auto" w:fill="CFF0FC"/>
          </w:tcPr>
          <w:p>
            <w:pPr>
              <w:jc w:val="right"/>
              <w:ind w:right="361"/>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20"/>
                <w:szCs w:val="20"/>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shd w:val="clear" w:color="auto" w:fill="CFF0FC"/>
          </w:tcPr>
          <w:p>
            <w:pPr>
              <w:spacing w:after="0"/>
              <w:rPr>
                <w:sz w:val="21"/>
                <w:szCs w:val="21"/>
                <w:color w:val="auto"/>
              </w:rPr>
            </w:pP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55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93"/>
              </w:rPr>
              <w:t>FORM 10-Q</w:t>
            </w:r>
          </w:p>
        </w:tc>
      </w:tr>
      <w:tr>
        <w:trPr>
          <w:trHeight w:val="250"/>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88"/>
              </w:rPr>
              <w:t>For the Quarter Ended June 30, 2018</w:t>
            </w:r>
          </w:p>
        </w:tc>
      </w:tr>
      <w:tr>
        <w:trPr>
          <w:trHeight w:val="425"/>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0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01"/>
              <w:spacing w:after="0"/>
              <w:rPr>
                <w:sz w:val="20"/>
                <w:szCs w:val="20"/>
                <w:color w:val="auto"/>
              </w:rPr>
            </w:pPr>
            <w:r>
              <w:rPr>
                <w:rFonts w:ascii="Arial" w:cs="Arial" w:eastAsia="Arial" w:hAnsi="Arial"/>
                <w:sz w:val="20"/>
                <w:szCs w:val="20"/>
                <w:color w:val="auto"/>
                <w:w w:val="91"/>
              </w:rPr>
              <w:t>(Continued)</w:t>
            </w:r>
          </w:p>
        </w:tc>
      </w:tr>
      <w:tr>
        <w:trPr>
          <w:trHeight w:val="334"/>
        </w:trPr>
        <w:tc>
          <w:tcPr>
            <w:tcW w:w="11420" w:type="dxa"/>
            <w:vAlign w:val="bottom"/>
            <w:gridSpan w:val="5"/>
          </w:tcPr>
          <w:p>
            <w:pPr>
              <w:spacing w:after="0"/>
              <w:rPr>
                <w:sz w:val="20"/>
                <w:szCs w:val="20"/>
                <w:color w:val="auto"/>
              </w:rPr>
            </w:pPr>
            <w:r>
              <w:rPr>
                <w:rFonts w:ascii="Arial" w:cs="Arial" w:eastAsia="Arial" w:hAnsi="Arial"/>
                <w:sz w:val="20"/>
                <w:szCs w:val="20"/>
                <w:color w:val="auto"/>
              </w:rPr>
              <w:t>Item 6. Exhibits.</w:t>
            </w:r>
          </w:p>
        </w:tc>
      </w:tr>
      <w:tr>
        <w:trPr>
          <w:trHeight w:val="480"/>
        </w:trPr>
        <w:tc>
          <w:tcPr>
            <w:tcW w:w="1180" w:type="dxa"/>
            <w:vAlign w:val="bottom"/>
            <w:tcBorders>
              <w:top w:val="single" w:sz="8" w:color="auto"/>
            </w:tcBorders>
            <w:gridSpan w:val="3"/>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04"/>
        </w:trPr>
        <w:tc>
          <w:tcPr>
            <w:tcW w:w="1060" w:type="dxa"/>
            <w:vAlign w:val="bottom"/>
            <w:tcBorders>
              <w:top w:val="single" w:sz="8" w:color="auto"/>
            </w:tcBorders>
            <w:gridSpan w:val="2"/>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3"/>
              </w:rPr>
              <w:t>Certification dated July 27, 2018 of Chief Executive Officer pursuant to Securities and Exchange Act of 1934 rule 13a-14 as</w:t>
            </w:r>
          </w:p>
        </w:tc>
      </w:tr>
      <w:tr>
        <w:trPr>
          <w:trHeight w:val="254"/>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7"/>
        </w:trPr>
        <w:tc>
          <w:tcPr>
            <w:tcW w:w="1060" w:type="dxa"/>
            <w:vAlign w:val="bottom"/>
            <w:gridSpan w:val="2"/>
          </w:tcPr>
          <w:p>
            <w:pPr>
              <w:spacing w:after="0"/>
              <w:rPr>
                <w:rFonts w:ascii="Arial" w:cs="Arial" w:eastAsia="Arial" w:hAnsi="Arial"/>
                <w:sz w:val="20"/>
                <w:szCs w:val="20"/>
                <w:color w:val="0000EE"/>
              </w:rPr>
            </w:pPr>
            <w:hyperlink w:anchor="page61">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4"/>
              </w:rPr>
              <w:t>Certification dated July 27, 2018 of Chief Financial Officer pursuant to Securities and Exchange Act of 1934 rule 13a-14 as</w:t>
            </w:r>
          </w:p>
        </w:tc>
      </w:tr>
      <w:tr>
        <w:trPr>
          <w:trHeight w:val="254"/>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7"/>
        </w:trPr>
        <w:tc>
          <w:tcPr>
            <w:tcW w:w="1060" w:type="dxa"/>
            <w:vAlign w:val="bottom"/>
            <w:gridSpan w:val="2"/>
          </w:tcPr>
          <w:p>
            <w:pPr>
              <w:spacing w:after="0"/>
              <w:rPr>
                <w:rFonts w:ascii="Arial" w:cs="Arial" w:eastAsia="Arial" w:hAnsi="Arial"/>
                <w:sz w:val="20"/>
                <w:szCs w:val="20"/>
                <w:color w:val="0000EE"/>
              </w:rPr>
            </w:pPr>
            <w:hyperlink w:anchor="page63">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8"/>
              </w:rPr>
              <w:t>Written Statement dated July 27, 2018 of Chief Executive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07"/>
        </w:trPr>
        <w:tc>
          <w:tcPr>
            <w:tcW w:w="1060" w:type="dxa"/>
            <w:vAlign w:val="bottom"/>
            <w:gridSpan w:val="2"/>
          </w:tcPr>
          <w:p>
            <w:pPr>
              <w:spacing w:after="0"/>
              <w:rPr>
                <w:rFonts w:ascii="Arial" w:cs="Arial" w:eastAsia="Arial" w:hAnsi="Arial"/>
                <w:sz w:val="20"/>
                <w:szCs w:val="20"/>
                <w:color w:val="0000EE"/>
              </w:rPr>
            </w:pPr>
            <w:hyperlink w:anchor="page64">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9"/>
              </w:rPr>
              <w:t>Written Statement dated July 27, 2018 of Chief Financial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80" w:hanging="1172"/>
        <w:spacing w:after="0"/>
        <w:tabs>
          <w:tab w:leader="none" w:pos="1180" w:val="left"/>
        </w:tabs>
        <w:numPr>
          <w:ilvl w:val="0"/>
          <w:numId w:val="32"/>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460" w:type="dxa"/>
            <w:vAlign w:val="bottom"/>
          </w:tcPr>
          <w:p>
            <w:pPr>
              <w:ind w:left="220"/>
              <w:spacing w:after="0"/>
              <w:rPr>
                <w:sz w:val="20"/>
                <w:szCs w:val="20"/>
                <w:color w:val="auto"/>
              </w:rPr>
            </w:pPr>
            <w:r>
              <w:rPr>
                <w:rFonts w:ascii="Arial" w:cs="Arial" w:eastAsia="Arial" w:hAnsi="Arial"/>
                <w:sz w:val="20"/>
                <w:szCs w:val="20"/>
                <w:color w:val="auto"/>
                <w:w w:val="93"/>
              </w:rPr>
              <w:t>XBRL Instance Document – The instance document does not appear in the Interactive Data File because its XBRL tags are</w:t>
            </w:r>
          </w:p>
        </w:tc>
      </w:tr>
      <w:tr>
        <w:trPr>
          <w:trHeight w:val="250"/>
        </w:trPr>
        <w:tc>
          <w:tcPr>
            <w:tcW w:w="960" w:type="dxa"/>
            <w:vAlign w:val="bottom"/>
          </w:tcPr>
          <w:p>
            <w:pPr>
              <w:spacing w:after="0"/>
              <w:rPr>
                <w:sz w:val="21"/>
                <w:szCs w:val="21"/>
                <w:color w:val="auto"/>
              </w:rPr>
            </w:pPr>
          </w:p>
        </w:tc>
        <w:tc>
          <w:tcPr>
            <w:tcW w:w="10460" w:type="dxa"/>
            <w:vAlign w:val="bottom"/>
          </w:tcPr>
          <w:p>
            <w:pPr>
              <w:ind w:left="220"/>
              <w:spacing w:after="0"/>
              <w:rPr>
                <w:sz w:val="20"/>
                <w:szCs w:val="20"/>
                <w:color w:val="auto"/>
              </w:rPr>
            </w:pPr>
            <w:r>
              <w:rPr>
                <w:rFonts w:ascii="Arial" w:cs="Arial" w:eastAsia="Arial" w:hAnsi="Arial"/>
                <w:sz w:val="20"/>
                <w:szCs w:val="20"/>
                <w:color w:val="auto"/>
              </w:rPr>
              <w:t>embedded within the Inline XBRL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Schema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Calculation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Label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56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1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4180" w:type="dxa"/>
            <w:vAlign w:val="bottom"/>
          </w:tcPr>
          <w:p>
            <w:pPr>
              <w:spacing w:after="0"/>
              <w:rPr>
                <w:sz w:val="20"/>
                <w:szCs w:val="20"/>
                <w:color w:val="auto"/>
              </w:rPr>
            </w:pPr>
            <w:r>
              <w:rPr>
                <w:rFonts w:ascii="Arial" w:cs="Arial" w:eastAsia="Arial" w:hAnsi="Arial"/>
                <w:sz w:val="20"/>
                <w:szCs w:val="20"/>
                <w:color w:val="auto"/>
              </w:rPr>
              <w:t>Date: July 27, 2018</w:t>
            </w:r>
          </w:p>
        </w:tc>
        <w:tc>
          <w:tcPr>
            <w:tcW w:w="7240" w:type="dxa"/>
            <w:vAlign w:val="bottom"/>
            <w:gridSpan w:val="2"/>
          </w:tcPr>
          <w:p>
            <w:pPr>
              <w:ind w:left="2640"/>
              <w:spacing w:after="0"/>
              <w:rPr>
                <w:sz w:val="20"/>
                <w:szCs w:val="20"/>
                <w:color w:val="auto"/>
              </w:rPr>
            </w:pPr>
            <w:r>
              <w:rPr>
                <w:rFonts w:ascii="Arial" w:cs="Arial" w:eastAsia="Arial" w:hAnsi="Arial"/>
                <w:sz w:val="20"/>
                <w:szCs w:val="20"/>
                <w:color w:val="auto"/>
              </w:rPr>
              <w:t>By: /s/ James A. J. Nickolas</w:t>
            </w:r>
          </w:p>
        </w:tc>
      </w:tr>
      <w:tr>
        <w:trPr>
          <w:trHeight w:val="206"/>
        </w:trPr>
        <w:tc>
          <w:tcPr>
            <w:tcW w:w="4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57 of 57</w:t>
      </w:r>
    </w:p>
    <w:p>
      <w:pPr>
        <w:sectPr>
          <w:pgSz w:w="11900" w:h="16838" w:orient="portrait"/>
          <w:cols w:equalWidth="0" w:num="1">
            <w:col w:w="11420"/>
          </w:cols>
          <w:pgMar w:left="240" w:top="35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59" w:name="page60"/>
    <w:bookmarkEnd w:id="59"/>
    <w:p>
      <w:pPr>
        <w:spacing w:after="0" w:line="47" w:lineRule="exact"/>
        <w:rPr>
          <w:sz w:val="20"/>
          <w:szCs w:val="20"/>
          <w:color w:val="auto"/>
        </w:rPr>
      </w:pPr>
    </w:p>
    <w:p>
      <w:pPr>
        <w:jc w:val="both"/>
        <w:ind w:left="1300" w:hanging="428"/>
        <w:spacing w:after="0" w:line="25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20" w:type="dxa"/>
            <w:vAlign w:val="bottom"/>
          </w:tcPr>
          <w:p>
            <w:pPr>
              <w:spacing w:after="0"/>
              <w:rPr>
                <w:sz w:val="20"/>
                <w:szCs w:val="20"/>
                <w:color w:val="auto"/>
              </w:rPr>
            </w:pPr>
            <w:r>
              <w:rPr>
                <w:rFonts w:ascii="Arial" w:cs="Arial" w:eastAsia="Arial" w:hAnsi="Arial"/>
                <w:sz w:val="20"/>
                <w:szCs w:val="20"/>
                <w:color w:val="auto"/>
              </w:rPr>
              <w:t>Date: July 27, 2018</w:t>
            </w:r>
          </w:p>
        </w:tc>
        <w:tc>
          <w:tcPr>
            <w:tcW w:w="7200" w:type="dxa"/>
            <w:vAlign w:val="bottom"/>
            <w:gridSpan w:val="2"/>
          </w:tcPr>
          <w:p>
            <w:pPr>
              <w:ind w:left="2640"/>
              <w:spacing w:after="0"/>
              <w:rPr>
                <w:sz w:val="20"/>
                <w:szCs w:val="20"/>
                <w:color w:val="auto"/>
              </w:rPr>
            </w:pPr>
            <w:r>
              <w:rPr>
                <w:rFonts w:ascii="Arial" w:cs="Arial" w:eastAsia="Arial" w:hAnsi="Arial"/>
                <w:sz w:val="20"/>
                <w:szCs w:val="20"/>
                <w:color w:val="auto"/>
              </w:rPr>
              <w:t>By:  /s/ C. Howard Nye</w:t>
            </w:r>
          </w:p>
        </w:tc>
      </w:tr>
      <w:tr>
        <w:trPr>
          <w:trHeight w:val="206"/>
        </w:trPr>
        <w:tc>
          <w:tcPr>
            <w:tcW w:w="4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28"/>
        <w:spacing w:after="0"/>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61" w:name="page62"/>
    <w:bookmarkEnd w:id="61"/>
    <w:p>
      <w:pPr>
        <w:spacing w:after="0" w:line="47" w:lineRule="exact"/>
        <w:rPr>
          <w:sz w:val="20"/>
          <w:szCs w:val="20"/>
          <w:color w:val="auto"/>
        </w:rPr>
      </w:pPr>
    </w:p>
    <w:p>
      <w:pPr>
        <w:jc w:val="both"/>
        <w:ind w:left="1300" w:hanging="428"/>
        <w:spacing w:after="0" w:line="250"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0"/>
                <w:szCs w:val="20"/>
                <w:color w:val="auto"/>
              </w:rPr>
            </w:pPr>
            <w:r>
              <w:rPr>
                <w:rFonts w:ascii="Arial" w:cs="Arial" w:eastAsia="Arial" w:hAnsi="Arial"/>
                <w:sz w:val="20"/>
                <w:szCs w:val="20"/>
                <w:color w:val="auto"/>
              </w:rPr>
              <w:t>Date: July 27, 2018</w:t>
            </w:r>
          </w:p>
        </w:tc>
        <w:tc>
          <w:tcPr>
            <w:tcW w:w="7220" w:type="dxa"/>
            <w:vAlign w:val="bottom"/>
            <w:gridSpan w:val="2"/>
          </w:tcPr>
          <w:p>
            <w:pPr>
              <w:ind w:left="2660"/>
              <w:spacing w:after="0"/>
              <w:rPr>
                <w:sz w:val="20"/>
                <w:szCs w:val="20"/>
                <w:color w:val="auto"/>
              </w:rPr>
            </w:pPr>
            <w:r>
              <w:rPr>
                <w:rFonts w:ascii="Arial" w:cs="Arial" w:eastAsia="Arial" w:hAnsi="Arial"/>
                <w:sz w:val="20"/>
                <w:szCs w:val="20"/>
                <w:color w:val="auto"/>
              </w:rPr>
              <w:t>By:  /s/ James A. J. Nickolas</w:t>
            </w:r>
          </w:p>
        </w:tc>
      </w:tr>
      <w:tr>
        <w:trPr>
          <w:trHeight w:val="206"/>
        </w:trPr>
        <w:tc>
          <w:tcPr>
            <w:tcW w:w="42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2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2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32.01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2018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27, 2018</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32.02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2018 (the “Report”) of Martin Marietta Materials, Inc. (the “Registrant”), as filed with the Securities and Exchange Commission on the date hereof, I, James A. J. Nickolas, the Chief Financial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Sr.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27, 2018</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June 30, 2018:</w:t>
      </w:r>
    </w:p>
    <w:p>
      <w:pPr>
        <w:spacing w:after="0" w:line="252" w:lineRule="exact"/>
        <w:rPr>
          <w:sz w:val="20"/>
          <w:szCs w:val="20"/>
          <w:color w:val="auto"/>
        </w:rPr>
      </w:pPr>
    </w:p>
    <w:p>
      <w:pPr>
        <w:jc w:val="both"/>
        <w:ind w:left="440" w:hanging="432"/>
        <w:spacing w:after="0" w:line="243" w:lineRule="auto"/>
        <w:tabs>
          <w:tab w:leader="none" w:pos="4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82" w:lineRule="exact"/>
        <w:rPr>
          <w:rFonts w:ascii="Arial" w:cs="Arial" w:eastAsia="Arial" w:hAnsi="Arial"/>
          <w:sz w:val="20"/>
          <w:szCs w:val="20"/>
          <w:b w:val="1"/>
          <w:bCs w:val="1"/>
          <w:color w:val="auto"/>
        </w:rPr>
      </w:pPr>
    </w:p>
    <w:p>
      <w:pPr>
        <w:jc w:val="both"/>
        <w:ind w:left="440" w:hanging="432"/>
        <w:spacing w:after="0" w:line="246" w:lineRule="auto"/>
        <w:tabs>
          <w:tab w:leader="none" w:pos="4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5" w:lineRule="exact"/>
        <w:rPr>
          <w:rFonts w:ascii="Arial" w:cs="Arial" w:eastAsia="Arial" w:hAnsi="Arial"/>
          <w:sz w:val="20"/>
          <w:szCs w:val="20"/>
          <w:b w:val="1"/>
          <w:bCs w:val="1"/>
          <w:color w:val="auto"/>
        </w:rPr>
      </w:pPr>
    </w:p>
    <w:p>
      <w:pPr>
        <w:jc w:val="both"/>
        <w:ind w:left="440" w:hanging="432"/>
        <w:spacing w:after="0" w:line="250" w:lineRule="auto"/>
        <w:tabs>
          <w:tab w:leader="none" w:pos="440" w:val="left"/>
        </w:tabs>
        <w:numPr>
          <w:ilvl w:val="0"/>
          <w:numId w:val="39"/>
        </w:numPr>
        <w:rPr>
          <w:rFonts w:ascii="Arial" w:cs="Arial" w:eastAsia="Arial" w:hAnsi="Arial"/>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jc w:val="both"/>
        <w:ind w:left="432"/>
        <w:spacing w:after="0" w:line="250" w:lineRule="auto"/>
        <w:rPr>
          <w:sz w:val="20"/>
          <w:szCs w:val="20"/>
          <w:color w:val="auto"/>
        </w:rPr>
      </w:pPr>
      <w:r>
        <w:rPr>
          <w:rFonts w:ascii="Arial" w:cs="Arial" w:eastAsia="Arial" w:hAnsi="Arial"/>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201" w:lineRule="exact"/>
        <w:rPr>
          <w:sz w:val="20"/>
          <w:szCs w:val="20"/>
          <w:color w:val="auto"/>
        </w:rPr>
      </w:pPr>
    </w:p>
    <w:p>
      <w:pPr>
        <w:jc w:val="both"/>
        <w:ind w:left="432" w:hanging="432"/>
        <w:spacing w:after="0" w:line="282" w:lineRule="auto"/>
        <w:tabs>
          <w:tab w:leader="none" w:pos="432"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5" w:lineRule="exact"/>
        <w:rPr>
          <w:rFonts w:ascii="Arial" w:cs="Arial" w:eastAsia="Arial" w:hAnsi="Arial"/>
          <w:sz w:val="18"/>
          <w:szCs w:val="18"/>
          <w:b w:val="1"/>
          <w:bCs w:val="1"/>
          <w:color w:val="auto"/>
        </w:rPr>
      </w:pPr>
    </w:p>
    <w:p>
      <w:pPr>
        <w:jc w:val="both"/>
        <w:ind w:left="432" w:hanging="432"/>
        <w:spacing w:after="0" w:line="263" w:lineRule="auto"/>
        <w:tabs>
          <w:tab w:leader="none" w:pos="432" w:val="left"/>
        </w:tabs>
        <w:numPr>
          <w:ilvl w:val="0"/>
          <w:numId w:val="40"/>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32" w:hanging="432"/>
        <w:spacing w:after="0" w:line="263" w:lineRule="auto"/>
        <w:tabs>
          <w:tab w:leader="none" w:pos="432" w:val="left"/>
        </w:tabs>
        <w:numPr>
          <w:ilvl w:val="0"/>
          <w:numId w:val="40"/>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0" w:lineRule="exact"/>
        <w:rPr>
          <w:rFonts w:ascii="Arial" w:cs="Arial" w:eastAsia="Arial" w:hAnsi="Arial"/>
          <w:sz w:val="19"/>
          <w:szCs w:val="19"/>
          <w:b w:val="1"/>
          <w:bCs w:val="1"/>
          <w:color w:val="auto"/>
        </w:rPr>
      </w:pPr>
    </w:p>
    <w:p>
      <w:pPr>
        <w:jc w:val="both"/>
        <w:ind w:left="432" w:hanging="432"/>
        <w:spacing w:after="0" w:line="291" w:lineRule="auto"/>
        <w:tabs>
          <w:tab w:leader="none" w:pos="432"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32" w:hanging="432"/>
        <w:spacing w:after="0" w:line="263" w:lineRule="auto"/>
        <w:tabs>
          <w:tab w:leader="none" w:pos="432" w:val="left"/>
        </w:tabs>
        <w:numPr>
          <w:ilvl w:val="0"/>
          <w:numId w:val="40"/>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32" w:hanging="432"/>
        <w:spacing w:after="0"/>
        <w:tabs>
          <w:tab w:leader="none" w:pos="432"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32" w:hanging="432"/>
        <w:spacing w:after="0"/>
        <w:tabs>
          <w:tab w:leader="none" w:pos="432"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32" w:hanging="432"/>
        <w:spacing w:after="0"/>
        <w:tabs>
          <w:tab w:leader="none" w:pos="432"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623570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June 30, 2018,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720"/>
              <w:spacing w:after="0"/>
              <w:rPr>
                <w:sz w:val="20"/>
                <w:szCs w:val="20"/>
                <w:color w:val="auto"/>
              </w:rPr>
            </w:pPr>
            <w:r>
              <w:rPr>
                <w:rFonts w:ascii="Arial" w:cs="Arial" w:eastAsia="Arial" w:hAnsi="Arial"/>
                <w:sz w:val="20"/>
                <w:szCs w:val="20"/>
                <w:color w:val="auto"/>
                <w:w w:val="89"/>
              </w:rPr>
              <w:t>Appendix 1</w:t>
            </w:r>
          </w:p>
        </w:tc>
      </w:tr>
      <w:tr>
        <w:trPr>
          <w:trHeight w:val="446"/>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9"/>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00" w:type="dxa"/>
            <w:vAlign w:val="bottom"/>
            <w:gridSpan w:val="2"/>
          </w:tcPr>
          <w:p>
            <w:pPr>
              <w:ind w:left="80"/>
              <w:spacing w:after="0"/>
              <w:rPr>
                <w:sz w:val="20"/>
                <w:szCs w:val="20"/>
                <w:color w:val="auto"/>
              </w:rPr>
            </w:pPr>
            <w:r>
              <w:rPr>
                <w:rFonts w:ascii="Arial" w:cs="Arial" w:eastAsia="Arial" w:hAnsi="Arial"/>
                <w:sz w:val="20"/>
                <w:szCs w:val="20"/>
                <w:b w:val="1"/>
                <w:bCs w:val="1"/>
                <w:color w:val="auto"/>
                <w:w w:val="90"/>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8"/>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9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2040" w:type="dxa"/>
            <w:vAlign w:val="bottom"/>
            <w:gridSpan w:val="3"/>
          </w:tcPr>
          <w:p>
            <w:pPr>
              <w:ind w:left="60"/>
              <w:spacing w:after="0"/>
              <w:rPr>
                <w:sz w:val="20"/>
                <w:szCs w:val="20"/>
                <w:color w:val="auto"/>
              </w:rPr>
            </w:pPr>
            <w:r>
              <w:rPr>
                <w:rFonts w:ascii="Arial" w:cs="Arial" w:eastAsia="Arial" w:hAnsi="Arial"/>
                <w:sz w:val="20"/>
                <w:szCs w:val="20"/>
                <w:b w:val="1"/>
                <w:bCs w:val="1"/>
                <w:color w:val="auto"/>
                <w:w w:val="86"/>
              </w:rPr>
              <w:t>Assessment/$ Fatalities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98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80" w:type="dxa"/>
            <w:vAlign w:val="bottom"/>
          </w:tcPr>
          <w:p>
            <w:pPr>
              <w:spacing w:after="0"/>
              <w:rPr>
                <w:sz w:val="21"/>
                <w:szCs w:val="21"/>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4"/>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3100064</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3101979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7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1"/>
              </w:rPr>
              <w:t>City Quarry 3101105</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Ankle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3102220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4"/>
              </w:rPr>
              <w:t>Blue Mount</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1800573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8"/>
              </w:rPr>
              <w:t>Boonesboro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Sand**</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3800716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Hayne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980" w:type="dxa"/>
            <w:vAlign w:val="bottom"/>
          </w:tcPr>
          <w:p>
            <w:pPr>
              <w:spacing w:after="0"/>
              <w:rPr>
                <w:sz w:val="20"/>
                <w:szCs w:val="20"/>
                <w:color w:val="auto"/>
              </w:rPr>
            </w:pPr>
            <w:r>
              <w:rPr>
                <w:rFonts w:ascii="Arial" w:cs="Arial" w:eastAsia="Arial" w:hAnsi="Arial"/>
                <w:sz w:val="20"/>
                <w:szCs w:val="20"/>
                <w:color w:val="auto"/>
              </w:rPr>
              <w:t>Cayce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Rock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3100057</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7"/>
              </w:rPr>
              <w:t>Churchville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1800012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3102009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Denver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1700" w:type="dxa"/>
            <w:vAlign w:val="bottom"/>
            <w:gridSpan w:val="2"/>
          </w:tcPr>
          <w:p>
            <w:pPr>
              <w:spacing w:after="0"/>
              <w:rPr>
                <w:sz w:val="20"/>
                <w:szCs w:val="20"/>
                <w:color w:val="auto"/>
              </w:rPr>
            </w:pPr>
            <w:r>
              <w:rPr>
                <w:rFonts w:ascii="Arial" w:cs="Arial" w:eastAsia="Arial" w:hAnsi="Arial"/>
                <w:sz w:val="20"/>
                <w:szCs w:val="20"/>
                <w:color w:val="auto"/>
                <w:w w:val="95"/>
              </w:rPr>
              <w:t>Quarry VA 4400045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18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612"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East Alamance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3102021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Edmund Sand**</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3800662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3100065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Franklin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3102130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1800013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Fuquay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3102055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3100072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Georgetown II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3800525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Hancock**</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1800693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Hickory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3100043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Hicone</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3102088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Jamestown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3100051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3100070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Kent Sand &amp; Gravel**</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1800745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Kings Mountain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3100047</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Lemon Springs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3101104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3800721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Maiden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3102125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3102006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Marriottsville**</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1800010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3102084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Medford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1800035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4403767</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North Columbia</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3800146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1800417</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128</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Old Charleston Sand**</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3800702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3102120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Pinesburg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1800021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3100052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w w:val="97"/>
              </w:rPr>
              <w:t>Raleigh Durham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3101941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4400072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Reidsville Quarry</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3100068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3800026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151</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20"/>
                <w:szCs w:val="20"/>
                <w:color w:val="auto"/>
              </w:rPr>
              <w:t>Rockdale**</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1800679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Rocky Point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3101956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Rocky River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3102033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3102038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Statesville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3100055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1,292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1800009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Thomasville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3101475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3600168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Wilmington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3101308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3102230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Woodleaf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3100069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 Indianapolis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1200002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Apple Grove S 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3301676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1201911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6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8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1500065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1500025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Burning Springs Mine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4608862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1202124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Cedarville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3304072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1201744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Cumberland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1500037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 Town Sand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3304279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Fairfield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3301396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Franklin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3302940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Harlan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1500071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1500095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Kentucky Ave Mine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1201762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1202105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Kokomo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1202203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1200142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rPr>
              <w:t>Noblesville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1201994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Noblesville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1202176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Arial" w:cs="Arial" w:eastAsia="Arial" w:hAnsi="Arial"/>
                <w:sz w:val="20"/>
                <w:szCs w:val="20"/>
                <w:color w:val="auto"/>
                <w:w w:val="93"/>
              </w:rPr>
              <w:t>North Indianapolis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1201993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Petersburg, Ky Gravel</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1516895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Phillipsburg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3300006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Shamrock SG</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3304011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20"/>
                <w:szCs w:val="20"/>
                <w:color w:val="auto"/>
                <w:w w:val="95"/>
              </w:rPr>
              <w:t>Spring Valley Cook Rd SG 3304534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Troy Gravel</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3301678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Waverly Sand</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1202038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Xenia Gravel</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3301393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Appling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901083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Auburn Al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100006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Auburn, GA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900436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Augusta, GA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900065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Ball Ground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900955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Calhoun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4003395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Chattanooga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4003159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Clayton</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901102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Cumming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900460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Edgefield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3800738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St. Mary's Sand</w:t>
            </w: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901199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4</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269</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Forsyth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901035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901106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Junction City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901029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Maylene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100634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901126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Newton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900899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103076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Paulding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901107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801083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Red Oak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0900069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900074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Six Mile Quarry</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901144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Tyrone Quarry</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900306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Vance Quarry  Co 19</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103022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14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900580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Alden Portable Plant #1</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1302031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Alden Portable Plant #2</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1302033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Alden Portable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1302037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8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1300228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Ames Mine</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1300014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472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1300122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Des Moines Portable</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1300150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rPr>
              <w:t>Dubois Quarry</w:t>
            </w:r>
          </w:p>
        </w:tc>
        <w:tc>
          <w:tcPr>
            <w:tcW w:w="8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2501046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Durham Mine</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1301225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w w:val="92"/>
              </w:rPr>
              <w:t>Earlham Quarry</w:t>
            </w:r>
          </w:p>
        </w:tc>
        <w:tc>
          <w:tcPr>
            <w:tcW w:w="8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1302123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Ferguson Quarry</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1300124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Calhoun Quarry</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2500006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Fort Calhoun UG</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2501300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1300032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1,384</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w w:val="95"/>
              </w:rPr>
              <w:t>Greenwood Quarry  New</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2300141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Inactive Iowa Grading</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1302126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Iowa Grading</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1302316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1302208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Malcom Mine</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1300112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Marshalltown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1300718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Midwest Division OH</w:t>
            </w:r>
          </w:p>
        </w:tc>
        <w:tc>
          <w:tcPr>
            <w:tcW w:w="940" w:type="dxa"/>
            <w:vAlign w:val="bottom"/>
          </w:tcPr>
          <w:p>
            <w:pPr>
              <w:jc w:val="right"/>
              <w:ind w:right="221"/>
              <w:spacing w:after="0"/>
              <w:rPr>
                <w:sz w:val="20"/>
                <w:szCs w:val="20"/>
                <w:color w:val="auto"/>
              </w:rPr>
            </w:pPr>
            <w:r>
              <w:rPr>
                <w:rFonts w:ascii="Arial" w:cs="Arial" w:eastAsia="Arial" w:hAnsi="Arial"/>
                <w:sz w:val="20"/>
                <w:szCs w:val="20"/>
                <w:color w:val="auto"/>
              </w:rPr>
              <w:t>A2354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8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1302188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472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New Harvey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1301778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2501271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West Center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2501231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w w:val="99"/>
              </w:rPr>
              <w:t>Ottawa Quarry</w:t>
            </w:r>
          </w:p>
        </w:tc>
        <w:tc>
          <w:tcPr>
            <w:tcW w:w="820" w:type="dxa"/>
            <w:vAlign w:val="bottom"/>
            <w:shd w:val="clear" w:color="auto" w:fill="CFF0FC"/>
          </w:tcPr>
          <w:p>
            <w:pPr>
              <w:spacing w:after="0"/>
              <w:rPr>
                <w:sz w:val="20"/>
                <w:szCs w:val="20"/>
                <w:color w:val="auto"/>
              </w:rPr>
            </w:pPr>
            <w:r>
              <w:rPr>
                <w:rFonts w:ascii="Arial" w:cs="Arial" w:eastAsia="Arial" w:hAnsi="Arial"/>
                <w:sz w:val="20"/>
                <w:szCs w:val="20"/>
                <w:color w:val="auto"/>
              </w:rPr>
              <w:t>New</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1401590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Pacific Quarry</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4500844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rPr>
              <w:t>Parkville Mine</w:t>
            </w:r>
          </w:p>
        </w:tc>
        <w:tc>
          <w:tcPr>
            <w:tcW w:w="820" w:type="dxa"/>
            <w:vAlign w:val="bottom"/>
            <w:shd w:val="clear" w:color="auto" w:fill="CFF0FC"/>
          </w:tcPr>
          <w:p>
            <w:pPr>
              <w:spacing w:after="0"/>
              <w:rPr>
                <w:sz w:val="20"/>
                <w:szCs w:val="20"/>
                <w:color w:val="auto"/>
              </w:rPr>
            </w:pPr>
            <w:r>
              <w:rPr>
                <w:rFonts w:ascii="Arial" w:cs="Arial" w:eastAsia="Arial" w:hAnsi="Arial"/>
                <w:sz w:val="20"/>
                <w:szCs w:val="20"/>
                <w:color w:val="auto"/>
              </w:rPr>
              <w:t>New</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2301883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w w:val="85"/>
              </w:rPr>
              <w:t>Pedersen Quarry</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1302192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20"/>
                <w:szCs w:val="20"/>
                <w:color w:val="auto"/>
                <w:w w:val="92"/>
              </w:rPr>
              <w:t>Portland Quarry</w:t>
            </w:r>
          </w:p>
        </w:tc>
        <w:tc>
          <w:tcPr>
            <w:tcW w:w="8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1302122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20"/>
                <w:szCs w:val="20"/>
                <w:color w:val="auto"/>
              </w:rPr>
              <w:t>Raccoon River Sand</w:t>
            </w: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1302315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Randolph Deep Mine</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2302308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Reasnor Sand</w:t>
            </w:r>
          </w:p>
        </w:tc>
        <w:tc>
          <w:tcPr>
            <w:tcW w:w="820" w:type="dxa"/>
            <w:vAlign w:val="bottom"/>
          </w:tcPr>
          <w:p>
            <w:pPr>
              <w:spacing w:after="0"/>
              <w:rPr>
                <w:sz w:val="21"/>
                <w:szCs w:val="21"/>
                <w:color w:val="auto"/>
              </w:rPr>
            </w:pPr>
          </w:p>
        </w:tc>
        <w:tc>
          <w:tcPr>
            <w:tcW w:w="940" w:type="dxa"/>
            <w:vAlign w:val="bottom"/>
          </w:tcPr>
          <w:p>
            <w:pPr>
              <w:jc w:val="right"/>
              <w:ind w:right="41"/>
              <w:spacing w:after="0"/>
              <w:rPr>
                <w:sz w:val="20"/>
                <w:szCs w:val="20"/>
                <w:color w:val="auto"/>
              </w:rPr>
            </w:pPr>
            <w:r>
              <w:rPr>
                <w:rFonts w:ascii="Arial" w:cs="Arial" w:eastAsia="Arial" w:hAnsi="Arial"/>
                <w:sz w:val="20"/>
                <w:szCs w:val="20"/>
                <w:color w:val="auto"/>
              </w:rPr>
              <w:t>1300814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1302290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4104108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2100081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Stamper Mine</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2302232</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1300063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Sunflower Qy  Co 61</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1401556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2500998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w w:val="98"/>
              </w:rPr>
              <w:t>Yellow Medicine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2100033</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Augusta, KS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1400126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Beckmann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4101335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4103283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944</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Bells Savoy SG</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4104019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300011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Black Spur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4104159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1401584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Bridgeport Stone</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4100007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3400460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Chico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4103360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3401299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Garfield SG</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4103909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4102886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GMS  TXI</w:t>
            </w:r>
          </w:p>
        </w:tc>
        <w:tc>
          <w:tcPr>
            <w:tcW w:w="980" w:type="dxa"/>
            <w:vAlign w:val="bottom"/>
          </w:tcPr>
          <w:p>
            <w:pPr>
              <w:jc w:val="right"/>
              <w:ind w:right="321"/>
              <w:spacing w:after="0"/>
              <w:rPr>
                <w:sz w:val="20"/>
                <w:szCs w:val="20"/>
                <w:color w:val="auto"/>
              </w:rPr>
            </w:pPr>
            <w:r>
              <w:rPr>
                <w:rFonts w:ascii="Arial" w:cs="Arial" w:eastAsia="Arial" w:hAnsi="Arial"/>
                <w:sz w:val="20"/>
                <w:szCs w:val="20"/>
                <w:color w:val="auto"/>
              </w:rPr>
              <w:t>C335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301614</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Helotes</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4103137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4103829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Hondo</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4104708</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4104090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Hugo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3400061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4105230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Idabel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3400507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Jena Aggregates</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1601298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Jones Mill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301586</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4105170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Mill Creek Limestone</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3401859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Mill Creek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3401285</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Perryville Aggregates</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1601417</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Poteet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4101342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Rio Medina</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4103594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4101337</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Sawyer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3401634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3401651</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South Texas Port #2</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4104204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4102852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Washita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3402049</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Webberville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4104363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Woodworth Aggregates</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1601070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7"/>
              </w:rPr>
              <w:t>Cottonwood Sand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504418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Fountain Sand Gravel</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503821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Granite Canyon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4800018</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Greeley 35th Ready Mix</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503215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4"/>
              </w:rPr>
              <w:t>Greeley 35th Sand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504613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Guernsey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4800004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Milford Quarry  Utah</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4202177</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Parkdale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504635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504382</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PC Portable Plant 4</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4801565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w w:val="94"/>
              </w:rPr>
              <w:t>Penrose Sand and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504509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269</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Portable Crushing</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503984</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504359</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Portable Plant 21</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504520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504136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Riverbend Sand Gravel</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504841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9"/>
              </w:rPr>
              <w:t>Spanish Springs Quarry Co</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2600803</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Spec Agg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500860</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504526</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Taft Shop</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504735</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Hunter Cement</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4102820</w:t>
            </w:r>
          </w:p>
        </w:tc>
        <w:tc>
          <w:tcPr>
            <w:tcW w:w="58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20"/>
                <w:szCs w:val="20"/>
                <w:color w:val="auto"/>
              </w:rPr>
              <w:t>Midlothian Cement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4100071</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60" w:type="dxa"/>
            <w:vAlign w:val="bottom"/>
          </w:tcPr>
          <w:p>
            <w:pPr>
              <w:ind w:left="260"/>
              <w:spacing w:after="0"/>
              <w:rPr>
                <w:sz w:val="20"/>
                <w:szCs w:val="20"/>
                <w:color w:val="auto"/>
              </w:rPr>
            </w:pPr>
            <w:r>
              <w:rPr>
                <w:rFonts w:ascii="Arial" w:cs="Arial" w:eastAsia="Arial" w:hAnsi="Arial"/>
                <w:sz w:val="20"/>
                <w:szCs w:val="20"/>
                <w:color w:val="auto"/>
              </w:rPr>
              <w:t>no</w:t>
            </w:r>
          </w:p>
        </w:tc>
        <w:tc>
          <w:tcPr>
            <w:tcW w:w="820" w:type="dxa"/>
            <w:vAlign w:val="bottom"/>
          </w:tcPr>
          <w:p>
            <w:pPr>
              <w:ind w:left="300"/>
              <w:spacing w:after="0"/>
              <w:rPr>
                <w:sz w:val="20"/>
                <w:szCs w:val="20"/>
                <w:color w:val="auto"/>
              </w:rPr>
            </w:pPr>
            <w:r>
              <w:rPr>
                <w:rFonts w:ascii="Arial" w:cs="Arial" w:eastAsia="Arial" w:hAnsi="Arial"/>
                <w:sz w:val="20"/>
                <w:szCs w:val="20"/>
                <w:color w:val="auto"/>
              </w:rPr>
              <w:t>no</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w w:val="93"/>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4"/>
              </w:rPr>
              <w:t>Geology and Exploration</w:t>
            </w:r>
          </w:p>
        </w:tc>
        <w:tc>
          <w:tcPr>
            <w:tcW w:w="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B7127</w:t>
            </w:r>
          </w:p>
        </w:tc>
        <w:tc>
          <w:tcPr>
            <w:tcW w:w="62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Beaver Creek****</w:t>
            </w:r>
          </w:p>
        </w:tc>
        <w:tc>
          <w:tcPr>
            <w:tcW w:w="960" w:type="dxa"/>
            <w:vAlign w:val="bottom"/>
          </w:tcPr>
          <w:p>
            <w:pPr>
              <w:ind w:left="140"/>
              <w:spacing w:after="0"/>
              <w:rPr>
                <w:sz w:val="20"/>
                <w:szCs w:val="20"/>
                <w:color w:val="auto"/>
              </w:rPr>
            </w:pPr>
            <w:r>
              <w:rPr>
                <w:rFonts w:ascii="Arial" w:cs="Arial" w:eastAsia="Arial" w:hAnsi="Arial"/>
                <w:sz w:val="20"/>
                <w:szCs w:val="20"/>
                <w:color w:val="auto"/>
              </w:rPr>
              <w:t>1800109</w:t>
            </w:r>
          </w:p>
        </w:tc>
        <w:tc>
          <w:tcPr>
            <w:tcW w:w="620" w:type="dxa"/>
            <w:vAlign w:val="bottom"/>
          </w:tcPr>
          <w:p>
            <w:pPr>
              <w:jc w:val="center"/>
              <w:ind w:right="61"/>
              <w:spacing w:after="0"/>
              <w:rPr>
                <w:sz w:val="20"/>
                <w:szCs w:val="20"/>
                <w:color w:val="auto"/>
              </w:rPr>
            </w:pPr>
            <w:r>
              <w:rPr>
                <w:rFonts w:ascii="Arial" w:cs="Arial" w:eastAsia="Arial" w:hAnsi="Arial"/>
                <w:sz w:val="20"/>
                <w:szCs w:val="20"/>
                <w:color w:val="auto"/>
                <w:w w:val="89"/>
              </w:rPr>
              <w:t>1</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118</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Woodville Stone</w:t>
            </w:r>
          </w:p>
        </w:tc>
        <w:tc>
          <w:tcPr>
            <w:tcW w:w="9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3300156</w:t>
            </w:r>
          </w:p>
        </w:tc>
        <w:tc>
          <w:tcPr>
            <w:tcW w:w="62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6</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100" w:type="dxa"/>
            <w:vAlign w:val="bottom"/>
          </w:tcPr>
          <w:p>
            <w:pPr>
              <w:spacing w:after="0"/>
              <w:rPr>
                <w:sz w:val="20"/>
                <w:szCs w:val="20"/>
                <w:color w:val="auto"/>
              </w:rPr>
            </w:pPr>
            <w:r>
              <w:rPr>
                <w:rFonts w:ascii="Arial" w:cs="Arial" w:eastAsia="Arial" w:hAnsi="Arial"/>
                <w:sz w:val="20"/>
                <w:szCs w:val="20"/>
                <w:color w:val="auto"/>
              </w:rPr>
              <w:t>TOTALS</w:t>
            </w:r>
          </w:p>
        </w:tc>
        <w:tc>
          <w:tcPr>
            <w:tcW w:w="960" w:type="dxa"/>
            <w:vAlign w:val="bottom"/>
          </w:tcPr>
          <w:p>
            <w:pPr>
              <w:spacing w:after="0"/>
              <w:rPr>
                <w:sz w:val="22"/>
                <w:szCs w:val="22"/>
                <w:color w:val="auto"/>
              </w:rPr>
            </w:pPr>
          </w:p>
        </w:tc>
        <w:tc>
          <w:tcPr>
            <w:tcW w:w="620" w:type="dxa"/>
            <w:vAlign w:val="bottom"/>
          </w:tcPr>
          <w:p>
            <w:pPr>
              <w:jc w:val="center"/>
              <w:ind w:right="41"/>
              <w:spacing w:after="0"/>
              <w:rPr>
                <w:sz w:val="20"/>
                <w:szCs w:val="20"/>
                <w:color w:val="auto"/>
              </w:rPr>
            </w:pPr>
            <w:r>
              <w:rPr>
                <w:rFonts w:ascii="Arial" w:cs="Arial" w:eastAsia="Arial" w:hAnsi="Arial"/>
                <w:sz w:val="20"/>
                <w:szCs w:val="20"/>
                <w:color w:val="auto"/>
                <w:w w:val="89"/>
              </w:rPr>
              <w:t>25</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1</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b w:val="1"/>
                <w:bCs w:val="1"/>
                <w:color w:val="auto"/>
                <w:w w:val="87"/>
              </w:rPr>
              <w:t>7,033</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27</w:t>
            </w:r>
          </w:p>
        </w:tc>
        <w:tc>
          <w:tcPr>
            <w:tcW w:w="400" w:type="dxa"/>
            <w:vAlign w:val="bottom"/>
          </w:tcPr>
          <w:p>
            <w:pPr>
              <w:jc w:val="right"/>
              <w:spacing w:after="0"/>
              <w:rPr>
                <w:sz w:val="20"/>
                <w:szCs w:val="20"/>
                <w:color w:val="auto"/>
              </w:rPr>
            </w:pPr>
            <w:r>
              <w:rPr>
                <w:rFonts w:ascii="Arial" w:cs="Arial" w:eastAsia="Arial" w:hAnsi="Arial"/>
                <w:sz w:val="20"/>
                <w:szCs w:val="20"/>
                <w:color w:val="auto"/>
              </w:rPr>
              <w:t>9</w:t>
            </w: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*Of the 27 legal actions pending on June 30, 2018, 15 were contests of citations or orders referenced in Subpart B of CFR Part 2700, which includes contests of citations and orders issued under Section 104 of the Mine Act and contests of imminent danger orders under Section 107 of the Mine Act and 12 were contests of proposed penalties referenced in Subpart C of 29 CFR Part 2700, which are administrative proceedings before the Commission challenging a civil penalty that MSHA has proposed for the violation contained in a citation or order.</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**Sites acquired by the Company effective April 27, 2018 as part of the acquisition of Bluegrass Materials Company, LLC. Represents citations, orders, violations, assessments, etc. with respect to both the period of ownership by Bluegrass from April 1, 2018 through April 27, 2018 and the period of ownership by the Company from April 27, 2018 through June 30, 2018.</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***Site disposed of by the Company on April 27, 2018 as part of divestitures required in order to complete the acquisition of Bluegrass Materials Company, LLC. Represents citations, orders, violations, assessments, etc. with respect to the period of ownership by the Company from April 1, 2018 through April 27, 2018.</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****Site acquired by the Company on April 27, 2018 as part of the acquisition of Bluegrass Materials Company, LLC but disposed of by the Company on June 5, 2018 as a divestiture required in order to complete such acquisition. Represents citations, orders, violations, assessments, etc. with respect to the period of ownership by Bluegrass from April 1, 2018 through April 27, 2018 and the period of ownership by the Company from April 27, 2018 through June 5, 2018.</w:t>
      </w:r>
    </w:p>
    <w:p>
      <w:pPr>
        <w:spacing w:after="0" w:line="16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*****Site acquired by the Company on June 22, 2018 as part of the acquisition of assets from OMG Midwest, Inc. Represents citations, orders, violations, assessments, etc. with respect to the period of ownership by the Company from June 22, 2018 through June 30, 2018.</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2"/>
    </w:lvl>
  </w:abstractNum>
  <w:abstractNum w:abstractNumId="13">
    <w:nsid w:val="54E49EB4"/>
    <w:multiLevelType w:val="hybridMultilevel"/>
    <w:lvl w:ilvl="0">
      <w:lvlJc w:val="left"/>
      <w:lvlText w:val="%1."/>
      <w:numFmt w:val="decimal"/>
      <w:start w:val="2"/>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decimal"/>
      <w:start w:val="3"/>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6"/>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decimal"/>
      <w:start w:val="7"/>
    </w:lvl>
  </w:abstractNum>
  <w:abstractNum w:abstractNumId="22">
    <w:nsid w:val="737B8DDC"/>
    <w:multiLevelType w:val="hybridMultilevel"/>
    <w:lvl w:ilvl="0">
      <w:lvlJc w:val="left"/>
      <w:lvlText w:val="%1."/>
      <w:numFmt w:val="decimal"/>
      <w:start w:val="9"/>
    </w:lvl>
  </w:abstractNum>
  <w:abstractNum w:abstractNumId="23">
    <w:nsid w:val="6CEAF087"/>
    <w:multiLevelType w:val="hybridMultilevel"/>
    <w:lvl w:ilvl="0">
      <w:lvlJc w:val="left"/>
      <w:lvlText w:val="%1."/>
      <w:numFmt w:val="decimal"/>
      <w:start w:val="10"/>
    </w:lvl>
  </w:abstractNum>
  <w:abstractNum w:abstractNumId="24">
    <w:nsid w:val="22221A70"/>
    <w:multiLevelType w:val="hybridMultilevel"/>
    <w:lvl w:ilvl="0">
      <w:lvlJc w:val="left"/>
      <w:lvlText w:val="%1."/>
      <w:numFmt w:val="decimal"/>
      <w:start w:val="12"/>
    </w:lvl>
  </w:abstractNum>
  <w:abstractNum w:abstractNumId="25">
    <w:nsid w:val="4516DDE9"/>
    <w:multiLevelType w:val="hybridMultilevel"/>
    <w:lvl w:ilvl="0">
      <w:lvlJc w:val="left"/>
      <w:lvlText w:val="%1."/>
      <w:numFmt w:val="decimal"/>
      <w:start w:val="14"/>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lvl w:ilvl="1">
      <w:lvlJc w:val="left"/>
      <w:lvlText w:val="•"/>
      <w:numFmt w:val="bullet"/>
      <w:start w:val="1"/>
    </w:lvl>
  </w:abstractNum>
  <w:abstractNum w:abstractNumId="31">
    <w:nsid w:val="5072367"/>
    <w:multiLevelType w:val="hybridMultilevel"/>
    <w:lvl w:ilvl="0">
      <w:lvlJc w:val="left"/>
      <w:lvlText w:val="%1"/>
      <w:numFmt w:val="decimal"/>
      <w:start w:val="95"/>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5"/>
    </w:lvl>
    <w:lvl w:ilvl="1">
      <w:lvlJc w:val="left"/>
      <w:lvlText w:val="%2."/>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5"/>
    </w:lvl>
    <w:lvl w:ilvl="1">
      <w:lvlJc w:val="left"/>
      <w:lvlText w:val="%2."/>
      <w:numFmt w:val="lowerLetter"/>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2019-12-28T20:54:10Z</dcterms:created>
  <dcterms:modified xsi:type="dcterms:W3CDTF">2019-12-28T20:54:10Z</dcterms:modified>
</cp:coreProperties>
</file>